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Тиббий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-педагогика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факультети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кафедраларида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ўзлаштириш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ба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ҳолаш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ҳолати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Хамраев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А.А.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Маълумки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хозирги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кунда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Тошкент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тиббиёт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академияси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фаолиятида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соғли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қни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сақлаш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тизимининг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бирламчи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бўғинида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хизмат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кўрсатадиган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ҳамда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профилактик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вазифаларни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ташкиллаштира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оладиган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умумий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амалиёт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шифокорларини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(УАШ)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тайёрлаш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устувор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вазифаси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белгиланган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Шу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сабабли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тиббий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-педагогика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факультетида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малакали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тайёрлаш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дастурига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оилавий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поликлиника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қишлоқ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врачлик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пункти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(ҚВП)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шароитида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тарқалган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касалликларни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даволай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оладиган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профилактика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усул</w:t>
      </w:r>
      <w:proofErr w:type="spellEnd"/>
      <w:r w:rsidR="0045064D">
        <w:rPr>
          <w:rFonts w:ascii="Times New Roman CYR" w:hAnsi="Times New Roman CYR" w:cs="Times New Roman CYR"/>
          <w:sz w:val="28"/>
          <w:szCs w:val="28"/>
          <w:lang w:val="uz-Cyrl-UZ"/>
        </w:rPr>
        <w:t>лар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тамойилларини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64D">
        <w:rPr>
          <w:rFonts w:ascii="Times New Roman CYR" w:hAnsi="Times New Roman CYR" w:cs="Times New Roman CYR"/>
          <w:sz w:val="28"/>
          <w:szCs w:val="28"/>
          <w:lang w:val="uz-Cyrl-UZ"/>
        </w:rPr>
        <w:t>пухта ўзлаштирган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ҳамда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диспансеризация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реабилитация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64D">
        <w:rPr>
          <w:rFonts w:ascii="Times New Roman CYR" w:hAnsi="Times New Roman CYR" w:cs="Times New Roman CYR"/>
          <w:sz w:val="28"/>
          <w:szCs w:val="28"/>
          <w:lang w:val="uz-Cyrl-UZ"/>
        </w:rPr>
        <w:t>о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тайёрлашга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йўналтирилган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бўлиб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бунда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боғли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икки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масала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устувор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ҳисобланади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масалалар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ҚВПларда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олиб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тамойилларини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биладиган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мутахассисни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тайёрлаш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ҳамда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шакллантиришга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йўналтирилган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самарадорлигини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оширишда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ў</w:t>
      </w:r>
      <w:r>
        <w:rPr>
          <w:rFonts w:ascii="Times New Roman CYR" w:hAnsi="Times New Roman CYR" w:cs="Times New Roman CYR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ечимини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топади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Ушбу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мақсаднинг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оширилишини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таъминлаш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ёндашувлар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реал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вазиятга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яқинлаштириш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яъни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бўлажак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жойларида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этиладиган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шакллантиришни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тиббий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-педагогика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факультети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кафедралари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тайёрлашда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шаклланишида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асосий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таянч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ҳисобланади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фаолиятининг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таҳлили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қуйидагиларни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кўрсатди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C1564E" w:rsidRDefault="00C1564E" w:rsidP="00C156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Ўқитиш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тизимида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кўпинча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касалликларнинг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фақат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диагностика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даволаш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масалаларига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йўналтирилган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бўлиб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оилавий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поликлиника (ОП)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ҚВП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шароитида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профилактик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профилактик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йўналишларга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эътиборнинг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сустлиги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564E" w:rsidRDefault="00C1564E" w:rsidP="00C156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ҚВП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шароитида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томонидан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кўрсатилиши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лозим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маҳоратининг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етарли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даражада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шаклланмаслиги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1564E" w:rsidRDefault="00C1564E" w:rsidP="00C156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ҚВП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шароитида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ужжатлар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z-Cyrl-UZ"/>
        </w:rPr>
        <w:t>нинг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юритилиши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юзасидан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шаклланишига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эътиборнинг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сустлиги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564E" w:rsidRDefault="00C1564E" w:rsidP="00C1564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2-тоифа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хизматларига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тегишли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беморларнинг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шифохона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давоси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ёки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мутахассис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маслаҳатидан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сўнг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доимий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кузатувда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бўлиши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иккиламчи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учламчи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профилактика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юзасидан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жараёнидаги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мавжуд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муаммолар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масалаларнинг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ечими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қуйидагиларни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br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қилади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C1564E" w:rsidRDefault="00C1564E" w:rsidP="00C156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малакавий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тавсифномасига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йўналтирилган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ташкил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қилиш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564E" w:rsidRPr="00CA3E15" w:rsidRDefault="00C1564E" w:rsidP="00C1564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lastRenderedPageBreak/>
        <w:t>Энг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учрайдиган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патологик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ҳолат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касалликлар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муаммоларини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қилиш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учун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маҳорат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ўзлаштириш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z-Cyrl-UZ"/>
        </w:rPr>
        <w:t xml:space="preserve">га эътиборни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кучайтириш</w:t>
      </w:r>
      <w:r w:rsidRPr="00CA3E15">
        <w:rPr>
          <w:rFonts w:ascii="Times New Roman CYR" w:hAnsi="Times New Roman CYR" w:cs="Times New Roman CYR"/>
          <w:sz w:val="28"/>
          <w:szCs w:val="28"/>
        </w:rPr>
        <w:t>;</w:t>
      </w:r>
    </w:p>
    <w:p w:rsidR="00C1564E" w:rsidRDefault="00C1564E" w:rsidP="00C156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ҚВП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шароитида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A3E15">
        <w:rPr>
          <w:rFonts w:ascii="Times New Roman CYR" w:hAnsi="Times New Roman CYR" w:cs="Times New Roman CYR"/>
          <w:sz w:val="28"/>
          <w:szCs w:val="28"/>
        </w:rPr>
        <w:t>олиб</w:t>
      </w:r>
      <w:proofErr w:type="spellEnd"/>
      <w:r w:rsidRPr="00CA3E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A3E15">
        <w:rPr>
          <w:rFonts w:ascii="Times New Roman CYR" w:hAnsi="Times New Roman CYR" w:cs="Times New Roman CYR"/>
          <w:sz w:val="28"/>
          <w:szCs w:val="28"/>
        </w:rPr>
        <w:t>бориш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мониторинг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диспансеризация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ҳамда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реабилитация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тамойилларини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ўқитиш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1564E" w:rsidRDefault="00C1564E" w:rsidP="00C156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УАШ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тайёрлашда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ҚВПдаги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реал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вазиятдаги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мавжуд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муаммо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эҳтиёжларни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инобатга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564E" w:rsidRDefault="00C1564E" w:rsidP="00C156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Таянч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ўзлаштири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ли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таъминлаш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20B3">
        <w:rPr>
          <w:rFonts w:ascii="Times New Roman CYR" w:hAnsi="Times New Roman CYR" w:cs="Times New Roman CYR"/>
          <w:sz w:val="28"/>
          <w:szCs w:val="28"/>
          <w:lang w:val="uz-Cyrl-UZ"/>
        </w:rPr>
        <w:t xml:space="preserve">вазифаларни амалга ошириш учун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реал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вазиятга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яқинлаштириш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яъни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бўлажак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жойларида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фаолият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олиб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бориш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лари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учун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лозим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шакллантириш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420B3">
        <w:rPr>
          <w:rFonts w:ascii="Times New Roman CYR" w:hAnsi="Times New Roman CYR" w:cs="Times New Roman CYR"/>
          <w:sz w:val="28"/>
          <w:szCs w:val="28"/>
          <w:lang w:val="uz-Cyrl-UZ"/>
        </w:rPr>
        <w:t>лозим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420B3">
        <w:rPr>
          <w:rFonts w:ascii="Times New Roman CYR" w:hAnsi="Times New Roman CYR" w:cs="Times New Roman CYR"/>
          <w:sz w:val="28"/>
          <w:szCs w:val="28"/>
          <w:lang w:val="uz-Cyrl-UZ"/>
        </w:rPr>
        <w:t>Бу эса ўз навбатида</w:t>
      </w:r>
      <w:r>
        <w:rPr>
          <w:rFonts w:ascii="Times New Roman CYR" w:hAnsi="Times New Roman CYR" w:cs="Times New Roman CYR"/>
          <w:sz w:val="28"/>
          <w:szCs w:val="28"/>
        </w:rPr>
        <w:t xml:space="preserve">  ҚВП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шароитида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зарур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бўлган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таянч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эгаллашни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50%/50%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таъминлайдиган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машғулотларни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нг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ягона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методикасини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яратиш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хамда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мавзуга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эгаллашга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ёрдам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берувчи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аниқ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қаршиликлар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келтириб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чиқармайдиган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ўт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к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азилишини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тақ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о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этади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ўт</w:t>
      </w:r>
      <w:proofErr w:type="spellEnd"/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к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азишда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дарснинг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асосий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вазифа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босқичларига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таркибига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ўқитувчи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 xml:space="preserve">томонидан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бошқариш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усулларига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таянч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билимларни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таъминлайдиган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тестлар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вазиятли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масалалар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ёрдамчи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материалларга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ахборот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ресурси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элементларга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эътибор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қаратиш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лозим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 xml:space="preserve">Кафедраларда талабаларни ўқитишда амалий кўникмаларнинг ўрни ўрганилганда қуйидагилар аниқланди: </w:t>
      </w:r>
    </w:p>
    <w:p w:rsidR="00C1564E" w:rsidRDefault="00C1564E" w:rsidP="00C1564E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z-Cyrl-UZ"/>
        </w:rPr>
      </w:pPr>
      <w:r>
        <w:rPr>
          <w:rFonts w:ascii="Times New Roman CYR" w:hAnsi="Times New Roman CYR" w:cs="Times New Roman CYR"/>
          <w:sz w:val="28"/>
          <w:szCs w:val="28"/>
          <w:lang w:val="uz-Cyrl-UZ"/>
        </w:rPr>
        <w:t>Аксарият кафедраларда машғулот хронологияси (кун тартиби) 50%/50%  нисбатда режалаштирилган ва 60/40 нисбатдаги баҳолаш йўлга қўйилган;</w:t>
      </w:r>
    </w:p>
    <w:p w:rsidR="00C1564E" w:rsidRDefault="00C1564E" w:rsidP="00C1564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  <w:lang w:val="uz-Cyrl-UZ"/>
        </w:rPr>
      </w:pPr>
      <w:r>
        <w:rPr>
          <w:rFonts w:ascii="Times New Roman CYR" w:hAnsi="Times New Roman CYR" w:cs="Times New Roman CYR"/>
          <w:sz w:val="28"/>
          <w:szCs w:val="28"/>
          <w:lang w:val="uz-Cyrl-UZ"/>
        </w:rPr>
        <w:t>Онкология ва нур таш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ис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лаш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 xml:space="preserve"> кафедрасида 50%/50%  нисбатда машғулот ўтиш ва 60/40 нисбатда  баҳолаш тартибларига риоя қилинмайди; </w:t>
      </w:r>
    </w:p>
    <w:p w:rsidR="00C1564E" w:rsidRDefault="00C1564E" w:rsidP="00C1564E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z-Cyrl-UZ"/>
        </w:rPr>
        <w:t>Педагогика ва психология, Онкология ва нур таш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ислаш,   2-сон факультет ва госпитал жаррохлик кафедраларида “Амалий кўникмалар хонаси” мавжуд эмас;</w:t>
      </w:r>
    </w:p>
    <w:p w:rsidR="00C1564E" w:rsidRPr="00CA3E15" w:rsidRDefault="00C1564E" w:rsidP="00C1564E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z-Cyrl-UZ"/>
        </w:rPr>
      </w:pP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Онкология ва нур ташхислаш кафедрасида фан 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ўқув 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>режасидаги 4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 та 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амалий кўникмани ўзлаштириш имкони йўқ (кўкрак безини пайпаслаш, ан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>о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>ректал текширув, лимфа тугунчалар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>ни пайпаслашни ўргатувчи  муляж ва тренажерлар йўқ);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 Факультет ва госпитал хирургия, нормал ва патологик физиология, педагогика ва психология, нур ташҳислаш, травматология ва нейрохирургия  кафедраларида а</w:t>
      </w:r>
      <w:proofErr w:type="spellStart"/>
      <w:r w:rsidRPr="00CA3E15">
        <w:rPr>
          <w:rFonts w:ascii="Times New Roman CYR" w:hAnsi="Times New Roman CYR" w:cs="Times New Roman CYR"/>
          <w:sz w:val="28"/>
          <w:szCs w:val="28"/>
        </w:rPr>
        <w:t>малий</w:t>
      </w:r>
      <w:proofErr w:type="spellEnd"/>
      <w:r w:rsidRPr="00CA3E15">
        <w:rPr>
          <w:rFonts w:ascii="Times New Roman CYR" w:hAnsi="Times New Roman CYR" w:cs="Times New Roman CYR"/>
          <w:sz w:val="28"/>
          <w:szCs w:val="28"/>
        </w:rPr>
        <w:t xml:space="preserve"> к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ўникмалар бўйича видеороликлар тайёрланмаган. 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Қайд этиш лозимки, 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 халқ тиббиёти ва реабилитология, 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юқумли 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касалликлар ва болалар </w:t>
      </w:r>
      <w:r w:rsidR="00F27406" w:rsidRPr="00CA3E15">
        <w:rPr>
          <w:rFonts w:ascii="Times New Roman CYR" w:hAnsi="Times New Roman CYR" w:cs="Times New Roman CYR"/>
          <w:sz w:val="28"/>
          <w:szCs w:val="28"/>
          <w:lang w:val="uz-Cyrl-UZ"/>
        </w:rPr>
        <w:t xml:space="preserve">юқумли </w:t>
      </w:r>
      <w:r w:rsidRPr="00CA3E15">
        <w:rPr>
          <w:rFonts w:ascii="Times New Roman CYR" w:hAnsi="Times New Roman CYR" w:cs="Times New Roman CYR"/>
          <w:sz w:val="28"/>
          <w:szCs w:val="28"/>
          <w:lang w:val="uz-Cyrl-UZ"/>
        </w:rPr>
        <w:t>касалликлари, фтизиатрия кафедраларида видеороликлар сифатли тайёрланган ва ўқув жараёнида кенг қўлланилади.</w:t>
      </w:r>
    </w:p>
    <w:p w:rsidR="00C1564E" w:rsidRDefault="00C1564E" w:rsidP="00C15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</w:pPr>
    </w:p>
    <w:p w:rsidR="00C1564E" w:rsidRDefault="00C1564E" w:rsidP="00C15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>4-, 5- ва 6-курс талабалари билан ўтказилган аноним тарздаги анкета-сўровнома натижалари таҳлили қуйидагиларни кўрсатди:</w:t>
      </w:r>
    </w:p>
    <w:p w:rsidR="00C1564E" w:rsidRDefault="00C1564E" w:rsidP="00C15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</w:pPr>
    </w:p>
    <w:p w:rsidR="00C1564E" w:rsidRPr="00C1564E" w:rsidRDefault="00C1564E" w:rsidP="00C1564E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uz-Cyrl-UZ"/>
        </w:rPr>
      </w:pPr>
      <w:r w:rsidRPr="00C1564E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z-Cyrl-UZ"/>
        </w:rPr>
        <w:t>Навбатчилик турганмисиз?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деган саволга 3 -курс талабалари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Ҳа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– 25 %  ва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Йўқ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 –55%, 5-курс талабалари  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Ҳа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– 81 %  ва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Йўқ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 –19% ва 6-курс талабалари 100%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Ҳа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” деб 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жавоб бери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шган. Бу кўрсаткичлар талабалар бемор билан мулоқ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о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тда бўлса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>лар-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да</w:t>
      </w:r>
      <w:r w:rsidR="00F27406">
        <w:rPr>
          <w:rFonts w:ascii="Times New Roman CYR" w:hAnsi="Times New Roman CYR" w:cs="Times New Roman CYR"/>
          <w:sz w:val="28"/>
          <w:szCs w:val="28"/>
          <w:lang w:val="uz-Cyrl-UZ"/>
        </w:rPr>
        <w:t xml:space="preserve">, 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кўрилган беморлар та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лили ўқитувчилар томондан</w:t>
      </w:r>
      <w:r w:rsidRPr="00C1564E"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 xml:space="preserve"> 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суст ўтказилишидан далолат беради.</w:t>
      </w:r>
    </w:p>
    <w:p w:rsidR="00C1564E" w:rsidRPr="00C1564E" w:rsidRDefault="00C1564E" w:rsidP="00C1564E">
      <w:pPr>
        <w:numPr>
          <w:ilvl w:val="0"/>
          <w:numId w:val="16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</w:pPr>
      <w:r w:rsidRPr="00C1564E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z-Cyrl-UZ"/>
        </w:rPr>
        <w:t>Беморларда амалий кўникмалар бажариладими?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деган саволга 3 -курс талабалари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Ҳа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– 60 %  ва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Йўқ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 –40%, 5-курс талабалари  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Ҳа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– 75 %  ва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Йўқ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 –25 % ва 6-курс талабалари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Ҳа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– 98,2 %  ва “</w:t>
      </w:r>
      <w:r w:rsidRPr="00C1564E">
        <w:rPr>
          <w:rFonts w:ascii="Times New Roman CYR" w:hAnsi="Times New Roman CYR" w:cs="Times New Roman CYR"/>
          <w:i/>
          <w:iCs/>
          <w:sz w:val="28"/>
          <w:szCs w:val="28"/>
          <w:lang w:val="uz-Cyrl-UZ"/>
        </w:rPr>
        <w:t>Йўқ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”  –1,8 % деб кўрсатишган.  Бу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 xml:space="preserve">, 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 </w:t>
      </w:r>
      <w:r w:rsidR="00F736DF" w:rsidRPr="00C1564E">
        <w:rPr>
          <w:rFonts w:ascii="Times New Roman CYR" w:hAnsi="Times New Roman CYR" w:cs="Times New Roman CYR"/>
          <w:sz w:val="28"/>
          <w:szCs w:val="28"/>
          <w:lang w:val="uz-Cyrl-UZ"/>
        </w:rPr>
        <w:t>педагог ходимлар томон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r w:rsidR="00F736DF"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дан 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талабаларни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нг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амалий кўникмаларни ўзла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ш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тириш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ларини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етарли 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 xml:space="preserve">даражада 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 xml:space="preserve">назорат 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қилинмаслиги</w:t>
      </w:r>
      <w:r w:rsidRPr="00C1564E">
        <w:rPr>
          <w:rFonts w:ascii="Times New Roman CYR" w:hAnsi="Times New Roman CYR" w:cs="Times New Roman CYR"/>
          <w:sz w:val="28"/>
          <w:szCs w:val="28"/>
          <w:lang w:val="uz-Cyrl-UZ"/>
        </w:rPr>
        <w:t>дан далолат беради.</w:t>
      </w:r>
    </w:p>
    <w:p w:rsidR="00C1564E" w:rsidRDefault="00C1564E" w:rsidP="00C1564E">
      <w:pPr>
        <w:numPr>
          <w:ilvl w:val="0"/>
          <w:numId w:val="17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Курация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навбатчиликда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кўрилган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беморлар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та</w:t>
      </w:r>
      <w:r w:rsidR="00F736DF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z-Cyrl-UZ"/>
        </w:rPr>
        <w:t>ҳ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лили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ўтказиладими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?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саволга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3 -курс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– 34 %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Йўқ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 –66%, 5-курс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“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– 58%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Йўқ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 –42%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6-курс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– 91,3 %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Йўқ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”  –8,7 %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жавоб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беришган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1564E" w:rsidRDefault="00C1564E" w:rsidP="00C1564E">
      <w:pPr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Оилавий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поликлиникада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шуғулланганингизда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жараён</w:t>
      </w:r>
      <w:proofErr w:type="spellEnd"/>
      <w:r w:rsidR="00F736DF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z-Cyrl-UZ"/>
        </w:rPr>
        <w:t>и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нинг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қайси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қисм</w:t>
      </w:r>
      <w:proofErr w:type="spellEnd"/>
      <w:r w:rsidR="00F736DF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z-Cyrl-UZ"/>
        </w:rPr>
        <w:t>и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га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кўпроқ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вақт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ажратилган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саволга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асбобларда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 xml:space="preserve">бажариладиган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малака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етарли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даражада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ўзлаштирмаганли</w:t>
      </w:r>
      <w:proofErr w:type="spellEnd"/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 xml:space="preserve">клари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клиник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фикрлашнинг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шаклланишида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>
        <w:rPr>
          <w:rFonts w:ascii="Times New Roman CYR" w:hAnsi="Times New Roman CYR" w:cs="Times New Roman CYR"/>
          <w:sz w:val="28"/>
          <w:szCs w:val="28"/>
        </w:rPr>
        <w:t xml:space="preserve">им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ўрин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эгаллайдиган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курацияси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</w:t>
      </w:r>
      <w:r w:rsidR="00F736DF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>
        <w:rPr>
          <w:rFonts w:ascii="Times New Roman CYR" w:hAnsi="Times New Roman CYR" w:cs="Times New Roman CYR"/>
          <w:sz w:val="28"/>
          <w:szCs w:val="28"/>
        </w:rPr>
        <w:t xml:space="preserve">лили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етарли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даражада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ўтказилмаслиги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томонидан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қайд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қилинган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F736DF" w:rsidP="00C156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z-Cyrl-UZ"/>
        </w:rPr>
        <w:t>Ю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қорида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кўрсатилган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мақсадни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амалга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ошириш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 xml:space="preserve"> яъни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бўлажак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УАШ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тайёрлашда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муваффақиятга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эришиш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 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z-Cyrl-UZ"/>
        </w:rPr>
        <w:t>б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илим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z-Cyrl-UZ"/>
        </w:rPr>
        <w:t xml:space="preserve">ни ўзлаштириш даражасининг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назорати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z-Cyrl-UZ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тўғри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қўйилган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аниқ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вазифа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яратилган шарт-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шароитлар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билан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белгиланади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Бу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эса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таянч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билим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ўзлаштириш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назоратини</w:t>
      </w:r>
      <w:proofErr w:type="spellEnd"/>
      <w:r w:rsidR="0005652F">
        <w:rPr>
          <w:rFonts w:ascii="Times New Roman CYR" w:hAnsi="Times New Roman CYR" w:cs="Times New Roman CYR"/>
          <w:sz w:val="28"/>
          <w:szCs w:val="28"/>
          <w:lang w:val="uz-Cyrl-UZ"/>
        </w:rPr>
        <w:t>нг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="00C1564E">
        <w:rPr>
          <w:rFonts w:ascii="Times New Roman CYR" w:hAnsi="Times New Roman CYR" w:cs="Times New Roman CYR"/>
          <w:sz w:val="28"/>
          <w:szCs w:val="28"/>
        </w:rPr>
        <w:t>тўғри</w:t>
      </w:r>
      <w:proofErr w:type="spellEnd"/>
      <w:proofErr w:type="gram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ташкиллаштири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ли</w:t>
      </w:r>
      <w:r w:rsidR="00C1564E">
        <w:rPr>
          <w:rFonts w:ascii="Times New Roman CYR" w:hAnsi="Times New Roman CYR" w:cs="Times New Roman CYR"/>
          <w:sz w:val="28"/>
          <w:szCs w:val="28"/>
        </w:rPr>
        <w:t>ши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ни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талаб этади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proofErr w:type="gramStart"/>
      <w:r w:rsidR="00C1564E">
        <w:rPr>
          <w:rFonts w:ascii="Times New Roman CYR" w:hAnsi="Times New Roman CYR" w:cs="Times New Roman CYR"/>
          <w:sz w:val="28"/>
          <w:szCs w:val="28"/>
        </w:rPr>
        <w:t>Факультетимиздаги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кафедраларда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бу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олат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ўрганилганда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оралиқ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назорат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ўтказилишида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кўникма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лар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га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етарли даражада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эътибор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берилмаслиги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,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якуний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назорат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ОСКИ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шакл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да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ўтказил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а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диган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имти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 w:rsidR="00C1564E">
        <w:rPr>
          <w:rFonts w:ascii="Times New Roman CYR" w:hAnsi="Times New Roman CYR" w:cs="Times New Roman CYR"/>
          <w:sz w:val="28"/>
          <w:szCs w:val="28"/>
        </w:rPr>
        <w:t>он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 саволларига 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аксари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я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т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кафедраларда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режадаги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 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 тўлиқ 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киритилмаганлиги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 ОСКИ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ўтказишда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бажариш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учун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керакли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бўлган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жи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озлар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ҳамда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асбоб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-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ускуналар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нинг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етарли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эмас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лиги</w:t>
      </w:r>
      <w:r w:rsidR="00C1564E">
        <w:rPr>
          <w:rFonts w:ascii="Times New Roman CYR" w:hAnsi="Times New Roman CYR" w:cs="Times New Roman CYR"/>
          <w:sz w:val="28"/>
          <w:szCs w:val="28"/>
        </w:rPr>
        <w:t xml:space="preserve"> (фтизиатрия,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халқ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тиббиёти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реабил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тология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жисмоний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тарбия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кафедралари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>)</w:t>
      </w:r>
      <w:r w:rsidR="00B250AB">
        <w:rPr>
          <w:rFonts w:ascii="Times New Roman CYR" w:hAnsi="Times New Roman CYR" w:cs="Times New Roman CYR"/>
          <w:sz w:val="28"/>
          <w:szCs w:val="28"/>
          <w:lang w:val="uz-Cyrl-UZ"/>
        </w:rPr>
        <w:t xml:space="preserve">,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мавжуд жиҳозларнинг</w:t>
      </w:r>
      <w:proofErr w:type="gram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 маънавий ва моддий жиҳатдан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эскирганлиги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аниқланди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C1564E" w:rsidP="00C15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Тиббий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-педагогика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факультетида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талабалар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томон</w:t>
      </w:r>
      <w:proofErr w:type="spellEnd"/>
      <w:r w:rsidR="00595463"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ўзлаштири</w:t>
      </w:r>
      <w:proofErr w:type="spellEnd"/>
      <w:r w:rsidR="00595463"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>ли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</w:t>
      </w:r>
      <w:r w:rsidR="00595463"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ни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яхшилаш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мавжуд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муаммоларни</w:t>
      </w:r>
      <w:proofErr w:type="spellEnd"/>
      <w:r w:rsidR="00595463">
        <w:rPr>
          <w:rFonts w:ascii="Times New Roman CYR" w:hAnsi="Times New Roman CYR" w:cs="Times New Roman CYR"/>
          <w:b/>
          <w:bCs/>
          <w:sz w:val="28"/>
          <w:szCs w:val="28"/>
          <w:lang w:val="uz-Cyrl-UZ"/>
        </w:rPr>
        <w:t>нг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ечими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борасидаги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таклиф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чора-тадбирлар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C1564E" w:rsidRDefault="00C1564E" w:rsidP="00C1564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Амалий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ни</w:t>
      </w:r>
      <w:r w:rsidR="0005652F">
        <w:rPr>
          <w:rFonts w:ascii="Times New Roman CYR" w:hAnsi="Times New Roman CYR" w:cs="Times New Roman CYR"/>
          <w:sz w:val="28"/>
          <w:szCs w:val="28"/>
          <w:lang w:val="uz-Cyrl-UZ"/>
        </w:rPr>
        <w:t>нг ўзлаштирилишини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 қатъий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назоратини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таъминлаш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мақсадида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ўзлаштириш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карталарини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ишлаб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чиқиш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C1564E" w:rsidRDefault="00C1564E" w:rsidP="00C1564E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Ўқув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жараёнидаги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хронологиясида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беморлар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лилига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етарли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вақт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ажратиш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C1564E" w:rsidRDefault="00C1564E" w:rsidP="00C1564E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Клиник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кафедраларда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навбатчилигига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урғу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1564E" w:rsidRDefault="00C1564E" w:rsidP="00C1564E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Оралиқ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назорат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5463">
        <w:rPr>
          <w:rFonts w:ascii="Times New Roman CYR" w:hAnsi="Times New Roman CYR" w:cs="Times New Roman CYR"/>
          <w:sz w:val="28"/>
          <w:szCs w:val="28"/>
          <w:lang w:val="uz-Cyrl-UZ"/>
        </w:rPr>
        <w:t xml:space="preserve">саволларида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улушини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кўпайтириш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1564E" w:rsidRDefault="00595463" w:rsidP="00C1564E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z-Cyrl-UZ"/>
        </w:rPr>
        <w:t>Т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алабаларда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ўзлаштиришда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01F1">
        <w:rPr>
          <w:rFonts w:ascii="Times New Roman CYR" w:hAnsi="Times New Roman CYR" w:cs="Times New Roman CYR"/>
          <w:sz w:val="28"/>
          <w:szCs w:val="28"/>
          <w:lang w:val="uz-Cyrl-UZ"/>
        </w:rPr>
        <w:t>ў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қув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лабораториялар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ўрнини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564E">
        <w:rPr>
          <w:rFonts w:ascii="Times New Roman CYR" w:hAnsi="Times New Roman CYR" w:cs="Times New Roman CYR"/>
          <w:sz w:val="28"/>
          <w:szCs w:val="28"/>
        </w:rPr>
        <w:t>кучайтириш</w:t>
      </w:r>
      <w:proofErr w:type="spellEnd"/>
      <w:r w:rsidR="00C1564E"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C1564E" w:rsidP="00C1564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Талабалар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 xml:space="preserve">ўқув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фан</w:t>
      </w:r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якунлаш</w:t>
      </w:r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лари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билан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бирга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нг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мажбурий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турларини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бажара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олиши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шарт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эканлигини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низомига</w:t>
      </w:r>
      <w:bookmarkStart w:id="0" w:name="_GoBack"/>
      <w:bookmarkEnd w:id="0"/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холда</w:t>
      </w:r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 xml:space="preserve">,  талаба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якуний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назоратдан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қониқарсиз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исобланиши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таклифини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киритиш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C1564E" w:rsidP="00C1564E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қатор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кафедраларда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бажариш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учун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мўлжалланган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муляжлар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тренажерлар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</w:t>
      </w:r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озларни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имкон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даражасида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янгилаш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ўрнини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тўлдириш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о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ишлаб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чиқиш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кўникмалар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хоналарини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яратиш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</w:t>
      </w:r>
      <w:proofErr w:type="spellEnd"/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озлаш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C1564E" w:rsidP="00C1564E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Кафедраларнинг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ёш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педагог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ходимлари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учун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амалий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машғулотлар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хронологияси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ба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олаш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мезонлари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6CC2">
        <w:rPr>
          <w:rFonts w:ascii="Times New Roman CYR" w:hAnsi="Times New Roman CYR" w:cs="Times New Roman CYR"/>
          <w:sz w:val="28"/>
          <w:szCs w:val="28"/>
          <w:lang w:val="uz-Cyrl-UZ"/>
        </w:rPr>
        <w:t>ҳ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ақидаги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семинарни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қайтадан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ташкил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қилиш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564E" w:rsidRDefault="00C1564E" w:rsidP="00C156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A53" w:rsidRDefault="00826A53"/>
    <w:sectPr w:rsidR="00826A53" w:rsidSect="009D3E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D7A"/>
    <w:multiLevelType w:val="singleLevel"/>
    <w:tmpl w:val="F588FE8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2EA36A4"/>
    <w:multiLevelType w:val="singleLevel"/>
    <w:tmpl w:val="C772F6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14E1032"/>
    <w:multiLevelType w:val="singleLevel"/>
    <w:tmpl w:val="F588FE8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0265CA"/>
    <w:multiLevelType w:val="singleLevel"/>
    <w:tmpl w:val="76121E9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72127391"/>
    <w:multiLevelType w:val="singleLevel"/>
    <w:tmpl w:val="C772F6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4"/>
  </w:num>
  <w:num w:numId="20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4E"/>
    <w:rsid w:val="0005652F"/>
    <w:rsid w:val="0045064D"/>
    <w:rsid w:val="00510694"/>
    <w:rsid w:val="00595463"/>
    <w:rsid w:val="00826A53"/>
    <w:rsid w:val="008E6CC2"/>
    <w:rsid w:val="00A83F27"/>
    <w:rsid w:val="00B250AB"/>
    <w:rsid w:val="00B420B3"/>
    <w:rsid w:val="00B701F1"/>
    <w:rsid w:val="00C1564E"/>
    <w:rsid w:val="00CA3E15"/>
    <w:rsid w:val="00F27406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2018-05-27T12:12:00Z</dcterms:created>
  <dcterms:modified xsi:type="dcterms:W3CDTF">2018-05-27T14:07:00Z</dcterms:modified>
</cp:coreProperties>
</file>