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C4F6" w14:textId="4A8D3803" w:rsidR="005144B8" w:rsidRPr="00AE3627" w:rsidRDefault="0041190C" w:rsidP="00983425">
      <w:pPr>
        <w:spacing w:line="360" w:lineRule="auto"/>
        <w:jc w:val="center"/>
        <w:rPr>
          <w:rFonts w:ascii="Cambria" w:hAnsi="Cambria"/>
          <w:color w:val="006600"/>
          <w:szCs w:val="28"/>
          <w:lang w:val="it-IT"/>
        </w:rPr>
      </w:pPr>
      <w:r w:rsidRPr="00AE3627">
        <w:rPr>
          <w:rFonts w:ascii="Cambria" w:hAnsi="Cambria"/>
          <w:noProof/>
          <w:color w:val="006600"/>
          <w:sz w:val="32"/>
          <w:szCs w:val="24"/>
          <w:lang w:val="it-IT"/>
        </w:rPr>
        <mc:AlternateContent>
          <mc:Choice Requires="wps">
            <w:drawing>
              <wp:anchor distT="0" distB="0" distL="114300" distR="114300" simplePos="0" relativeHeight="251672576" behindDoc="0" locked="0" layoutInCell="1" allowOverlap="1" wp14:anchorId="4399AEAB" wp14:editId="50FF1B5E">
                <wp:simplePos x="0" y="0"/>
                <wp:positionH relativeFrom="margin">
                  <wp:posOffset>-132715</wp:posOffset>
                </wp:positionH>
                <wp:positionV relativeFrom="paragraph">
                  <wp:posOffset>-521970</wp:posOffset>
                </wp:positionV>
                <wp:extent cx="6464300" cy="495300"/>
                <wp:effectExtent l="0" t="0" r="12700" b="19050"/>
                <wp:wrapNone/>
                <wp:docPr id="3" name="Прямоугольник 3"/>
                <wp:cNvGraphicFramePr/>
                <a:graphic xmlns:a="http://schemas.openxmlformats.org/drawingml/2006/main">
                  <a:graphicData uri="http://schemas.microsoft.com/office/word/2010/wordprocessingShape">
                    <wps:wsp>
                      <wps:cNvSpPr/>
                      <wps:spPr>
                        <a:xfrm>
                          <a:off x="0" y="0"/>
                          <a:ext cx="64643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A6C30" id="Прямоугольник 3" o:spid="_x0000_s1026" style="position:absolute;margin-left:-10.45pt;margin-top:-41.1pt;width:509pt;height:39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" fillcolor="white [3212]" strokecolor="white [3212]" strokeweight="1pt">
                <w10:wrap anchorx="margin"/>
              </v:rect>
            </w:pict>
          </mc:Fallback>
        </mc:AlternateContent>
      </w:r>
    </w:p>
    <w:p w14:paraId="7F4281E4" w14:textId="0D17DCFC" w:rsidR="00511F71" w:rsidRPr="00AE3627" w:rsidRDefault="00C55784" w:rsidP="00983425">
      <w:pPr>
        <w:spacing w:line="360" w:lineRule="auto"/>
        <w:jc w:val="center"/>
        <w:rPr>
          <w:rFonts w:ascii="Cambria" w:hAnsi="Cambria"/>
          <w:b/>
          <w:bCs/>
          <w:color w:val="006600"/>
          <w:sz w:val="36"/>
          <w:szCs w:val="36"/>
        </w:rPr>
      </w:pPr>
      <w:r w:rsidRPr="00AE3627">
        <w:rPr>
          <w:rFonts w:ascii="Cambria" w:hAnsi="Cambria"/>
          <w:b/>
          <w:bCs/>
          <w:color w:val="006600"/>
          <w:sz w:val="36"/>
          <w:szCs w:val="36"/>
        </w:rPr>
        <w:t>TASHKENT MEDICAL ACADEMY</w:t>
      </w:r>
    </w:p>
    <w:p w14:paraId="04ADA8C4" w14:textId="2580ECE3" w:rsidR="005144B8" w:rsidRPr="00AE3627" w:rsidRDefault="00494A2A" w:rsidP="00983425">
      <w:pPr>
        <w:spacing w:line="360" w:lineRule="auto"/>
        <w:jc w:val="center"/>
        <w:rPr>
          <w:rFonts w:ascii="Cambria" w:hAnsi="Cambria"/>
          <w:b/>
          <w:bCs/>
          <w:color w:val="006600"/>
          <w:sz w:val="36"/>
          <w:szCs w:val="36"/>
        </w:rPr>
      </w:pPr>
      <w:r w:rsidRPr="00AE3627">
        <w:rPr>
          <w:rFonts w:ascii="Cambria" w:hAnsi="Cambria"/>
          <w:b/>
          <w:bCs/>
          <w:color w:val="006600"/>
          <w:sz w:val="36"/>
          <w:szCs w:val="36"/>
        </w:rPr>
        <w:t>«MEDICAL JOURNAL OF YOUNG SCIENTISTS»</w:t>
      </w:r>
    </w:p>
    <w:p w14:paraId="5E0C7CC8" w14:textId="201BE6F7" w:rsidR="00494A2A" w:rsidRPr="00AE3627" w:rsidRDefault="00494A2A" w:rsidP="00983425">
      <w:pPr>
        <w:spacing w:line="360" w:lineRule="auto"/>
        <w:jc w:val="center"/>
        <w:rPr>
          <w:rFonts w:ascii="Cambria" w:hAnsi="Cambria"/>
          <w:b/>
          <w:bCs/>
          <w:color w:val="006600"/>
          <w:sz w:val="36"/>
          <w:szCs w:val="36"/>
        </w:rPr>
      </w:pPr>
    </w:p>
    <w:p w14:paraId="73D23BFB" w14:textId="1213E12F" w:rsidR="005144B8" w:rsidRPr="006D439F" w:rsidRDefault="00645554" w:rsidP="00983425">
      <w:pPr>
        <w:spacing w:line="360" w:lineRule="auto"/>
        <w:jc w:val="center"/>
        <w:rPr>
          <w:rFonts w:ascii="Cambria" w:hAnsi="Cambria"/>
          <w:b/>
          <w:bCs/>
        </w:rPr>
      </w:pPr>
      <w:r w:rsidRPr="00645554">
        <w:rPr>
          <w:rFonts w:ascii="Cambria" w:hAnsi="Cambria"/>
          <w:b/>
          <w:bCs/>
        </w:rPr>
        <w:t>SPECIALTY: «FIELD OF MEDICINE»</w:t>
      </w:r>
    </w:p>
    <w:p w14:paraId="6353FEBF" w14:textId="77777777" w:rsidR="005144B8" w:rsidRPr="006D439F" w:rsidRDefault="005144B8" w:rsidP="00983425">
      <w:pPr>
        <w:spacing w:line="360" w:lineRule="auto"/>
        <w:rPr>
          <w:rFonts w:ascii="Cambria" w:hAnsi="Cambria"/>
          <w:sz w:val="22"/>
          <w:szCs w:val="18"/>
        </w:rPr>
      </w:pPr>
    </w:p>
    <w:p w14:paraId="2860DB40" w14:textId="585D1D7A" w:rsidR="005144B8" w:rsidRPr="006D439F" w:rsidRDefault="00C22E4D" w:rsidP="00983425">
      <w:pPr>
        <w:spacing w:line="360" w:lineRule="auto"/>
        <w:jc w:val="center"/>
        <w:rPr>
          <w:rFonts w:ascii="Cambria" w:hAnsi="Cambria"/>
          <w:b/>
          <w:bCs/>
        </w:rPr>
      </w:pPr>
      <w:r w:rsidRPr="00AE3627">
        <w:rPr>
          <w:rFonts w:ascii="Cambria" w:hAnsi="Cambria"/>
          <w:b/>
          <w:bCs/>
        </w:rPr>
        <w:t>ISSN</w:t>
      </w:r>
      <w:r w:rsidRPr="006D439F">
        <w:rPr>
          <w:rFonts w:ascii="Cambria" w:hAnsi="Cambria"/>
          <w:b/>
          <w:bCs/>
        </w:rPr>
        <w:t xml:space="preserve"> </w:t>
      </w:r>
      <w:r w:rsidR="004A03FB" w:rsidRPr="006D439F">
        <w:rPr>
          <w:rFonts w:ascii="Cambria" w:hAnsi="Cambria"/>
          <w:b/>
          <w:bCs/>
        </w:rPr>
        <w:t>2181-3485</w:t>
      </w:r>
    </w:p>
    <w:p w14:paraId="26C7F560" w14:textId="7FA3C1D0" w:rsidR="005144B8" w:rsidRPr="006D439F" w:rsidRDefault="005144B8" w:rsidP="00983425">
      <w:pPr>
        <w:spacing w:line="360" w:lineRule="auto"/>
        <w:jc w:val="center"/>
        <w:rPr>
          <w:rFonts w:ascii="Cambria" w:hAnsi="Cambria"/>
          <w:b/>
          <w:bCs/>
          <w:sz w:val="24"/>
          <w:szCs w:val="20"/>
        </w:rPr>
      </w:pPr>
    </w:p>
    <w:p w14:paraId="601D3685" w14:textId="57026D87" w:rsidR="005144B8" w:rsidRPr="006D439F" w:rsidRDefault="005144B8" w:rsidP="00983425">
      <w:pPr>
        <w:spacing w:line="360" w:lineRule="auto"/>
        <w:rPr>
          <w:rFonts w:ascii="Cambria" w:hAnsi="Cambria"/>
          <w:sz w:val="22"/>
          <w:szCs w:val="18"/>
        </w:rPr>
      </w:pPr>
    </w:p>
    <w:p w14:paraId="5BC17391" w14:textId="15D2DA6E" w:rsidR="005144B8" w:rsidRPr="00645554" w:rsidRDefault="00645554" w:rsidP="00983425">
      <w:pPr>
        <w:spacing w:line="360" w:lineRule="auto"/>
        <w:jc w:val="center"/>
        <w:rPr>
          <w:rFonts w:ascii="Cambria" w:hAnsi="Cambria"/>
          <w:b/>
          <w:bCs/>
          <w:sz w:val="22"/>
          <w:szCs w:val="18"/>
        </w:rPr>
      </w:pPr>
      <w:r w:rsidRPr="00645554">
        <w:rPr>
          <w:rFonts w:ascii="Cambria" w:hAnsi="Cambria"/>
          <w:b/>
          <w:bCs/>
          <w:sz w:val="22"/>
          <w:szCs w:val="18"/>
        </w:rPr>
        <w:t>This document is a copy of the electronic document formed in accordance with the Regulations on the Single interactive state services portal of the Republic of Uzbekistan, approved by the Cabinet of Ministers of the Republic of Uzbekistan dated September 5, 2017 No 728.</w:t>
      </w:r>
    </w:p>
    <w:p w14:paraId="277B670E" w14:textId="77777777" w:rsidR="005144B8" w:rsidRPr="00645554" w:rsidRDefault="005144B8" w:rsidP="00983425">
      <w:pPr>
        <w:spacing w:line="360" w:lineRule="auto"/>
        <w:rPr>
          <w:rFonts w:ascii="Cambria" w:hAnsi="Cambria"/>
          <w:sz w:val="22"/>
          <w:szCs w:val="18"/>
        </w:rPr>
      </w:pPr>
    </w:p>
    <w:p w14:paraId="789DB878" w14:textId="6691878A" w:rsidR="00AE6256" w:rsidRDefault="00AE6256" w:rsidP="00983425">
      <w:pPr>
        <w:spacing w:line="360" w:lineRule="auto"/>
        <w:jc w:val="center"/>
        <w:rPr>
          <w:rFonts w:ascii="Cambria" w:hAnsi="Cambria"/>
          <w:b/>
          <w:bCs/>
          <w:sz w:val="36"/>
          <w:szCs w:val="28"/>
        </w:rPr>
      </w:pPr>
    </w:p>
    <w:p w14:paraId="7BE044E7" w14:textId="77777777" w:rsidR="00AE6256" w:rsidRDefault="00AE6256" w:rsidP="00983425">
      <w:pPr>
        <w:spacing w:line="360" w:lineRule="auto"/>
        <w:jc w:val="center"/>
        <w:rPr>
          <w:rFonts w:ascii="Cambria" w:hAnsi="Cambria"/>
          <w:b/>
          <w:bCs/>
          <w:sz w:val="36"/>
          <w:szCs w:val="28"/>
        </w:rPr>
      </w:pPr>
    </w:p>
    <w:p w14:paraId="442D54B5" w14:textId="55BAD73E" w:rsidR="005144B8" w:rsidRPr="006D439F" w:rsidRDefault="005144B8" w:rsidP="00983425">
      <w:pPr>
        <w:spacing w:line="360" w:lineRule="auto"/>
        <w:jc w:val="center"/>
        <w:rPr>
          <w:rFonts w:ascii="Cambria" w:hAnsi="Cambria"/>
          <w:b/>
          <w:bCs/>
          <w:sz w:val="36"/>
          <w:szCs w:val="28"/>
        </w:rPr>
      </w:pPr>
      <w:r w:rsidRPr="006D439F">
        <w:rPr>
          <w:rFonts w:ascii="Cambria" w:hAnsi="Cambria"/>
          <w:b/>
          <w:bCs/>
          <w:sz w:val="36"/>
          <w:szCs w:val="28"/>
        </w:rPr>
        <w:t xml:space="preserve">№ </w:t>
      </w:r>
      <w:r w:rsidR="002E1CF7" w:rsidRPr="006D439F">
        <w:rPr>
          <w:rFonts w:ascii="Cambria" w:hAnsi="Cambria"/>
          <w:b/>
          <w:bCs/>
          <w:sz w:val="36"/>
          <w:szCs w:val="28"/>
        </w:rPr>
        <w:t>1</w:t>
      </w:r>
      <w:r w:rsidRPr="006D439F">
        <w:rPr>
          <w:rFonts w:ascii="Cambria" w:hAnsi="Cambria"/>
          <w:b/>
          <w:bCs/>
          <w:sz w:val="36"/>
          <w:szCs w:val="28"/>
        </w:rPr>
        <w:t xml:space="preserve"> (</w:t>
      </w:r>
      <w:r w:rsidR="00931954" w:rsidRPr="006D439F">
        <w:rPr>
          <w:rFonts w:ascii="Cambria" w:hAnsi="Cambria"/>
          <w:b/>
          <w:bCs/>
          <w:sz w:val="36"/>
          <w:szCs w:val="28"/>
        </w:rPr>
        <w:t>0</w:t>
      </w:r>
      <w:r w:rsidR="00CC5612" w:rsidRPr="006D439F">
        <w:rPr>
          <w:rFonts w:ascii="Cambria" w:hAnsi="Cambria"/>
          <w:b/>
          <w:bCs/>
          <w:sz w:val="36"/>
          <w:szCs w:val="28"/>
        </w:rPr>
        <w:t>6</w:t>
      </w:r>
      <w:r w:rsidRPr="006D439F">
        <w:rPr>
          <w:rFonts w:ascii="Cambria" w:hAnsi="Cambria"/>
          <w:b/>
          <w:bCs/>
          <w:sz w:val="36"/>
          <w:szCs w:val="28"/>
        </w:rPr>
        <w:t>), 202</w:t>
      </w:r>
      <w:r w:rsidR="00931954" w:rsidRPr="006D439F">
        <w:rPr>
          <w:rFonts w:ascii="Cambria" w:hAnsi="Cambria"/>
          <w:b/>
          <w:bCs/>
          <w:sz w:val="36"/>
          <w:szCs w:val="28"/>
        </w:rPr>
        <w:t>2</w:t>
      </w:r>
      <w:r w:rsidR="0051624A" w:rsidRPr="006D439F">
        <w:rPr>
          <w:rFonts w:ascii="Cambria" w:hAnsi="Cambria"/>
          <w:b/>
          <w:bCs/>
          <w:sz w:val="36"/>
          <w:szCs w:val="28"/>
        </w:rPr>
        <w:t xml:space="preserve"> </w:t>
      </w:r>
    </w:p>
    <w:p w14:paraId="1A178EAE" w14:textId="2C565629" w:rsidR="005144B8" w:rsidRPr="006D439F" w:rsidRDefault="005144B8" w:rsidP="00983425">
      <w:pPr>
        <w:spacing w:line="360" w:lineRule="auto"/>
        <w:rPr>
          <w:rFonts w:ascii="Cambria" w:hAnsi="Cambria"/>
          <w:sz w:val="22"/>
          <w:szCs w:val="18"/>
        </w:rPr>
      </w:pPr>
    </w:p>
    <w:p w14:paraId="58E8F33B" w14:textId="3B937BA2" w:rsidR="00CC5612" w:rsidRPr="006D439F" w:rsidRDefault="00CC5612" w:rsidP="00983425">
      <w:pPr>
        <w:spacing w:line="360" w:lineRule="auto"/>
        <w:rPr>
          <w:rFonts w:ascii="Cambria" w:hAnsi="Cambria"/>
          <w:sz w:val="22"/>
          <w:szCs w:val="18"/>
        </w:rPr>
      </w:pPr>
    </w:p>
    <w:p w14:paraId="522A0DC5" w14:textId="71C18AC8" w:rsidR="00CC5612" w:rsidRDefault="00CC5612" w:rsidP="00983425">
      <w:pPr>
        <w:spacing w:line="360" w:lineRule="auto"/>
        <w:rPr>
          <w:rFonts w:ascii="Cambria" w:hAnsi="Cambria"/>
          <w:sz w:val="22"/>
          <w:szCs w:val="18"/>
        </w:rPr>
      </w:pPr>
    </w:p>
    <w:p w14:paraId="28F605F5" w14:textId="77777777" w:rsidR="00AE6256" w:rsidRPr="006D439F" w:rsidRDefault="00AE6256" w:rsidP="00983425">
      <w:pPr>
        <w:spacing w:line="360" w:lineRule="auto"/>
        <w:rPr>
          <w:rFonts w:ascii="Cambria" w:hAnsi="Cambria"/>
          <w:sz w:val="22"/>
          <w:szCs w:val="18"/>
        </w:rPr>
      </w:pPr>
    </w:p>
    <w:p w14:paraId="0903B3BF" w14:textId="6E134D92" w:rsidR="00CC5612" w:rsidRPr="006D439F" w:rsidRDefault="00CC5612" w:rsidP="00983425">
      <w:pPr>
        <w:spacing w:line="360" w:lineRule="auto"/>
        <w:rPr>
          <w:rFonts w:ascii="Cambria" w:hAnsi="Cambria"/>
          <w:sz w:val="22"/>
          <w:szCs w:val="18"/>
        </w:rPr>
      </w:pPr>
    </w:p>
    <w:p w14:paraId="74EED13D" w14:textId="77777777" w:rsidR="007343F6" w:rsidRDefault="007343F6" w:rsidP="00983425">
      <w:pPr>
        <w:spacing w:line="360" w:lineRule="auto"/>
        <w:ind w:firstLine="567"/>
        <w:jc w:val="both"/>
        <w:rPr>
          <w:rFonts w:ascii="Cambria" w:hAnsi="Cambria"/>
          <w:sz w:val="24"/>
          <w:szCs w:val="20"/>
          <w:lang w:val="uz-Cyrl-UZ"/>
        </w:rPr>
      </w:pPr>
    </w:p>
    <w:p w14:paraId="454670FE" w14:textId="77777777" w:rsidR="007343F6" w:rsidRDefault="007343F6" w:rsidP="00983425">
      <w:pPr>
        <w:spacing w:line="360" w:lineRule="auto"/>
        <w:ind w:firstLine="567"/>
        <w:jc w:val="both"/>
        <w:rPr>
          <w:rFonts w:ascii="Cambria" w:hAnsi="Cambria"/>
          <w:sz w:val="24"/>
          <w:szCs w:val="20"/>
          <w:lang w:val="uz-Cyrl-UZ"/>
        </w:rPr>
      </w:pPr>
    </w:p>
    <w:p w14:paraId="40BA8DD6" w14:textId="77777777" w:rsidR="00983425" w:rsidRPr="00983425" w:rsidRDefault="00983425" w:rsidP="00983425">
      <w:pPr>
        <w:spacing w:line="276" w:lineRule="auto"/>
        <w:ind w:firstLine="567"/>
        <w:jc w:val="both"/>
        <w:rPr>
          <w:rFonts w:ascii="Cambria" w:hAnsi="Cambria"/>
          <w:i/>
          <w:iCs/>
          <w:sz w:val="24"/>
          <w:szCs w:val="20"/>
          <w:lang w:val="uz-Cyrl-UZ"/>
        </w:rPr>
      </w:pPr>
      <w:r w:rsidRPr="00983425">
        <w:rPr>
          <w:rFonts w:ascii="Cambria" w:hAnsi="Cambria"/>
          <w:i/>
          <w:iCs/>
          <w:sz w:val="24"/>
          <w:szCs w:val="20"/>
          <w:lang w:val="uz-Cyrl-UZ"/>
        </w:rPr>
        <w:t>The publications in the journal are considered to be published in the defense of dissertations for academic degrees in Uzbekistan and abroad.</w:t>
      </w:r>
    </w:p>
    <w:p w14:paraId="32B1E983" w14:textId="77777777" w:rsidR="00983425" w:rsidRDefault="00983425" w:rsidP="00983425">
      <w:pPr>
        <w:spacing w:line="276" w:lineRule="auto"/>
        <w:ind w:firstLine="567"/>
        <w:jc w:val="both"/>
        <w:rPr>
          <w:rFonts w:ascii="Cambria" w:hAnsi="Cambria"/>
          <w:i/>
          <w:iCs/>
          <w:sz w:val="24"/>
          <w:szCs w:val="20"/>
          <w:lang w:val="uz-Cyrl-UZ"/>
        </w:rPr>
      </w:pPr>
    </w:p>
    <w:p w14:paraId="4FE01153" w14:textId="72991C2D" w:rsidR="00983425" w:rsidRPr="00983425" w:rsidRDefault="00983425" w:rsidP="00983425">
      <w:pPr>
        <w:spacing w:line="276" w:lineRule="auto"/>
        <w:ind w:firstLine="567"/>
        <w:jc w:val="both"/>
        <w:rPr>
          <w:rFonts w:ascii="Cambria" w:hAnsi="Cambria"/>
          <w:i/>
          <w:iCs/>
          <w:sz w:val="24"/>
          <w:szCs w:val="20"/>
          <w:lang w:val="uz-Cyrl-UZ"/>
        </w:rPr>
      </w:pPr>
      <w:r w:rsidRPr="00983425">
        <w:rPr>
          <w:rFonts w:ascii="Cambria" w:hAnsi="Cambria"/>
          <w:i/>
          <w:iCs/>
          <w:sz w:val="24"/>
          <w:szCs w:val="20"/>
          <w:lang w:val="uz-Cyrl-UZ"/>
        </w:rPr>
        <w:t>Articles that have not previously been published anywhere and have not been submitted for publication in other publications will be accepted for publication. Articles received by the editors will be considered. The authors of the publication are responsible for the accuracy of the information provided in the articles. When using the materials, reference to the journal and the authors of the article is required.</w:t>
      </w:r>
    </w:p>
    <w:p w14:paraId="4403C31A" w14:textId="77777777" w:rsidR="00983425" w:rsidRDefault="00983425" w:rsidP="00983425">
      <w:pPr>
        <w:spacing w:line="276" w:lineRule="auto"/>
        <w:ind w:firstLine="567"/>
        <w:jc w:val="both"/>
        <w:rPr>
          <w:rFonts w:ascii="Cambria" w:hAnsi="Cambria"/>
          <w:i/>
          <w:iCs/>
          <w:sz w:val="24"/>
          <w:szCs w:val="20"/>
          <w:lang w:val="uz-Cyrl-UZ"/>
        </w:rPr>
      </w:pPr>
    </w:p>
    <w:p w14:paraId="5EBF0EE5" w14:textId="76DAD7AA" w:rsidR="00CC5612" w:rsidRPr="00983425" w:rsidRDefault="00AE6256" w:rsidP="00983425">
      <w:pPr>
        <w:spacing w:line="276" w:lineRule="auto"/>
        <w:ind w:firstLine="567"/>
        <w:jc w:val="both"/>
        <w:rPr>
          <w:rFonts w:ascii="Cambria" w:hAnsi="Cambria"/>
          <w:i/>
          <w:iCs/>
          <w:sz w:val="22"/>
          <w:szCs w:val="18"/>
        </w:rPr>
      </w:pPr>
      <w:r w:rsidRPr="00AE3627">
        <w:rPr>
          <w:rFonts w:ascii="Cambria" w:hAnsi="Cambria"/>
          <w:noProof/>
          <w:color w:val="006600"/>
          <w:sz w:val="32"/>
          <w:szCs w:val="24"/>
          <w:lang w:val="it-IT"/>
        </w:rPr>
        <mc:AlternateContent>
          <mc:Choice Requires="wps">
            <w:drawing>
              <wp:anchor distT="0" distB="0" distL="114300" distR="114300" simplePos="0" relativeHeight="251700224" behindDoc="0" locked="0" layoutInCell="1" allowOverlap="1" wp14:anchorId="3665840A" wp14:editId="3B24CDF8">
                <wp:simplePos x="0" y="0"/>
                <wp:positionH relativeFrom="margin">
                  <wp:posOffset>-302684</wp:posOffset>
                </wp:positionH>
                <wp:positionV relativeFrom="paragraph">
                  <wp:posOffset>255058</wp:posOffset>
                </wp:positionV>
                <wp:extent cx="6464300" cy="495300"/>
                <wp:effectExtent l="0" t="0" r="12700" b="19050"/>
                <wp:wrapNone/>
                <wp:docPr id="5" name="Прямоугольник 5"/>
                <wp:cNvGraphicFramePr/>
                <a:graphic xmlns:a="http://schemas.openxmlformats.org/drawingml/2006/main">
                  <a:graphicData uri="http://schemas.microsoft.com/office/word/2010/wordprocessingShape">
                    <wps:wsp>
                      <wps:cNvSpPr/>
                      <wps:spPr>
                        <a:xfrm>
                          <a:off x="0" y="0"/>
                          <a:ext cx="64643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5F12A" id="Прямоугольник 5" o:spid="_x0000_s1026" style="position:absolute;margin-left:-23.85pt;margin-top:20.1pt;width:509pt;height:39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" fillcolor="white [3212]" strokecolor="white [3212]" strokeweight="1pt">
                <w10:wrap anchorx="margin"/>
              </v:rect>
            </w:pict>
          </mc:Fallback>
        </mc:AlternateContent>
      </w:r>
      <w:r w:rsidR="00983425" w:rsidRPr="00983425">
        <w:rPr>
          <w:rFonts w:ascii="Cambria" w:hAnsi="Cambria"/>
          <w:i/>
          <w:iCs/>
          <w:sz w:val="24"/>
          <w:szCs w:val="20"/>
          <w:lang w:val="uz-Cyrl-UZ"/>
        </w:rPr>
        <w:t>The materials will be published in the author's edition.</w:t>
      </w:r>
    </w:p>
    <w:p w14:paraId="4DEA3AB8" w14:textId="75DD7B9F" w:rsidR="009928F4" w:rsidRPr="00983425" w:rsidRDefault="009928F4" w:rsidP="00382C7B">
      <w:pPr>
        <w:jc w:val="center"/>
        <w:rPr>
          <w:rFonts w:ascii="Cambria" w:hAnsi="Cambria"/>
          <w:sz w:val="22"/>
          <w:szCs w:val="18"/>
        </w:rPr>
        <w:sectPr w:rsidR="009928F4" w:rsidRPr="00983425" w:rsidSect="001B41EC">
          <w:headerReference w:type="even" r:id="rId8"/>
          <w:headerReference w:type="default" r:id="rId9"/>
          <w:footerReference w:type="even" r:id="rId10"/>
          <w:footerReference w:type="default" r:id="rId11"/>
          <w:type w:val="continuous"/>
          <w:pgSz w:w="11907" w:h="16840" w:code="9"/>
          <w:pgMar w:top="1418" w:right="1134" w:bottom="1134" w:left="1134" w:header="907" w:footer="794" w:gutter="0"/>
          <w:cols w:space="708"/>
          <w:docGrid w:linePitch="381"/>
        </w:sectPr>
      </w:pPr>
    </w:p>
    <w:p w14:paraId="641CD1C4" w14:textId="2B61D3B4" w:rsidR="00AE3627" w:rsidRPr="00983425" w:rsidRDefault="00AE6256" w:rsidP="0010390C">
      <w:pPr>
        <w:spacing w:line="276" w:lineRule="auto"/>
        <w:jc w:val="center"/>
        <w:rPr>
          <w:rFonts w:ascii="Cambria" w:hAnsi="Cambria"/>
          <w:b/>
          <w:bCs/>
          <w:sz w:val="24"/>
          <w:szCs w:val="24"/>
        </w:rPr>
      </w:pPr>
      <w:r w:rsidRPr="00AE3627">
        <w:rPr>
          <w:rFonts w:ascii="Cambria" w:hAnsi="Cambria"/>
          <w:noProof/>
          <w:color w:val="006600"/>
          <w:sz w:val="32"/>
          <w:szCs w:val="24"/>
          <w:lang w:val="it-IT"/>
        </w:rPr>
        <w:lastRenderedPageBreak/>
        <mc:AlternateContent>
          <mc:Choice Requires="wps">
            <w:drawing>
              <wp:anchor distT="0" distB="0" distL="114300" distR="114300" simplePos="0" relativeHeight="251698176" behindDoc="0" locked="0" layoutInCell="1" allowOverlap="1" wp14:anchorId="7DD3A8F3" wp14:editId="63036553">
                <wp:simplePos x="0" y="0"/>
                <wp:positionH relativeFrom="margin">
                  <wp:align>center</wp:align>
                </wp:positionH>
                <wp:positionV relativeFrom="paragraph">
                  <wp:posOffset>-515620</wp:posOffset>
                </wp:positionV>
                <wp:extent cx="6464300" cy="495300"/>
                <wp:effectExtent l="0" t="0" r="12700" b="19050"/>
                <wp:wrapNone/>
                <wp:docPr id="4" name="Прямоугольник 4"/>
                <wp:cNvGraphicFramePr/>
                <a:graphic xmlns:a="http://schemas.openxmlformats.org/drawingml/2006/main">
                  <a:graphicData uri="http://schemas.microsoft.com/office/word/2010/wordprocessingShape">
                    <wps:wsp>
                      <wps:cNvSpPr/>
                      <wps:spPr>
                        <a:xfrm>
                          <a:off x="0" y="0"/>
                          <a:ext cx="64643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FC6B1" id="Прямоугольник 4" o:spid="_x0000_s1026" style="position:absolute;margin-left:0;margin-top:-40.6pt;width:509pt;height:39pt;z-index:251698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" fillcolor="white [3212]" strokecolor="white [3212]" strokeweight="1pt">
                <w10:wrap anchorx="margin"/>
              </v:rect>
            </w:pict>
          </mc:Fallback>
        </mc:AlternateContent>
      </w:r>
    </w:p>
    <w:p w14:paraId="67BBB775" w14:textId="6569EACE" w:rsidR="001629A9" w:rsidRPr="00713BD9" w:rsidRDefault="00F327D5" w:rsidP="00AF5EDA">
      <w:pPr>
        <w:spacing w:line="264" w:lineRule="auto"/>
        <w:jc w:val="center"/>
        <w:rPr>
          <w:rFonts w:ascii="Cambria" w:hAnsi="Cambria"/>
          <w:b/>
          <w:bCs/>
          <w:szCs w:val="28"/>
        </w:rPr>
      </w:pPr>
      <w:r w:rsidRPr="00DF7EEA">
        <w:rPr>
          <w:rFonts w:ascii="Cambria" w:hAnsi="Cambria"/>
          <w:b/>
          <w:bCs/>
          <w:szCs w:val="28"/>
        </w:rPr>
        <w:t>TAHRIR</w:t>
      </w:r>
      <w:r w:rsidRPr="00713BD9">
        <w:rPr>
          <w:rFonts w:ascii="Cambria" w:hAnsi="Cambria"/>
          <w:b/>
          <w:bCs/>
          <w:szCs w:val="28"/>
        </w:rPr>
        <w:t xml:space="preserve"> </w:t>
      </w:r>
      <w:r w:rsidRPr="00DF7EEA">
        <w:rPr>
          <w:rFonts w:ascii="Cambria" w:hAnsi="Cambria"/>
          <w:b/>
          <w:bCs/>
          <w:szCs w:val="28"/>
        </w:rPr>
        <w:t>HAY</w:t>
      </w:r>
      <w:r w:rsidRPr="00713BD9">
        <w:rPr>
          <w:rFonts w:ascii="Cambria" w:hAnsi="Cambria"/>
          <w:b/>
          <w:bCs/>
          <w:szCs w:val="28"/>
        </w:rPr>
        <w:t>'</w:t>
      </w:r>
      <w:r w:rsidRPr="00DF7EEA">
        <w:rPr>
          <w:rFonts w:ascii="Cambria" w:hAnsi="Cambria"/>
          <w:b/>
          <w:bCs/>
          <w:szCs w:val="28"/>
        </w:rPr>
        <w:t>ATI</w:t>
      </w:r>
    </w:p>
    <w:p w14:paraId="7A5CD880" w14:textId="232B73A1" w:rsidR="00983425" w:rsidRPr="00AA1E48" w:rsidRDefault="00713BD9" w:rsidP="00240B28">
      <w:pPr>
        <w:spacing w:line="276" w:lineRule="auto"/>
        <w:jc w:val="center"/>
        <w:rPr>
          <w:rFonts w:ascii="Cambria" w:hAnsi="Cambria"/>
          <w:color w:val="0070C0"/>
          <w:sz w:val="24"/>
          <w:szCs w:val="24"/>
        </w:rPr>
      </w:pPr>
      <w:r w:rsidRPr="00AA1E48">
        <w:rPr>
          <w:rFonts w:ascii="Cambria" w:hAnsi="Cambria"/>
          <w:b/>
          <w:bCs/>
          <w:color w:val="0070C0"/>
          <w:sz w:val="24"/>
          <w:szCs w:val="24"/>
        </w:rPr>
        <w:t>EDITOR-IN-CHIEF</w:t>
      </w:r>
    </w:p>
    <w:p w14:paraId="42CDC89E" w14:textId="41768A67" w:rsidR="001629A9" w:rsidRPr="00713BD9" w:rsidRDefault="00713BD9" w:rsidP="00240B28">
      <w:pPr>
        <w:spacing w:line="276" w:lineRule="auto"/>
        <w:jc w:val="center"/>
        <w:rPr>
          <w:rFonts w:ascii="Cambria" w:hAnsi="Cambria"/>
          <w:sz w:val="24"/>
          <w:szCs w:val="24"/>
        </w:rPr>
      </w:pPr>
      <w:r w:rsidRPr="00713BD9">
        <w:rPr>
          <w:rFonts w:ascii="Cambria" w:hAnsi="Cambria"/>
          <w:sz w:val="24"/>
          <w:szCs w:val="24"/>
        </w:rPr>
        <w:t xml:space="preserve">Shadmanov Alisher Kayumovich </w:t>
      </w:r>
    </w:p>
    <w:p w14:paraId="734A84A2" w14:textId="734BA605" w:rsidR="00983425" w:rsidRDefault="00983425" w:rsidP="00240B28">
      <w:pPr>
        <w:spacing w:line="276" w:lineRule="auto"/>
        <w:jc w:val="center"/>
        <w:rPr>
          <w:rFonts w:ascii="Cambria" w:hAnsi="Cambria"/>
          <w:b/>
          <w:bCs/>
          <w:sz w:val="24"/>
          <w:szCs w:val="24"/>
        </w:rPr>
      </w:pPr>
    </w:p>
    <w:p w14:paraId="382D10CB" w14:textId="77777777" w:rsidR="00240B28" w:rsidRDefault="00240B28" w:rsidP="00240B28">
      <w:pPr>
        <w:spacing w:line="276" w:lineRule="auto"/>
        <w:jc w:val="center"/>
        <w:rPr>
          <w:rFonts w:ascii="Cambria" w:hAnsi="Cambria"/>
          <w:b/>
          <w:bCs/>
          <w:sz w:val="24"/>
          <w:szCs w:val="24"/>
        </w:rPr>
      </w:pPr>
    </w:p>
    <w:p w14:paraId="6CC08936" w14:textId="5C698DA6" w:rsidR="00713BD9" w:rsidRPr="00AA1E48" w:rsidRDefault="00AA1E48" w:rsidP="00240B28">
      <w:pPr>
        <w:spacing w:line="276" w:lineRule="auto"/>
        <w:jc w:val="center"/>
        <w:rPr>
          <w:rFonts w:ascii="Cambria" w:hAnsi="Cambria"/>
          <w:color w:val="0070C0"/>
          <w:sz w:val="24"/>
          <w:szCs w:val="24"/>
        </w:rPr>
      </w:pPr>
      <w:r w:rsidRPr="00AA1E48">
        <w:rPr>
          <w:rFonts w:ascii="Cambria" w:hAnsi="Cambria"/>
          <w:b/>
          <w:bCs/>
          <w:color w:val="0070C0"/>
          <w:sz w:val="24"/>
          <w:szCs w:val="24"/>
        </w:rPr>
        <w:t>DEPUTY EDITOR-IN-CHIEF</w:t>
      </w:r>
      <w:r w:rsidR="001629A9" w:rsidRPr="00AA1E48">
        <w:rPr>
          <w:rFonts w:ascii="Cambria" w:hAnsi="Cambria"/>
          <w:color w:val="0070C0"/>
          <w:sz w:val="24"/>
          <w:szCs w:val="24"/>
        </w:rPr>
        <w:t xml:space="preserve"> </w:t>
      </w:r>
    </w:p>
    <w:p w14:paraId="5D442EDB" w14:textId="3E3AFA27" w:rsidR="00CC5612" w:rsidRPr="00983425" w:rsidRDefault="00713BD9" w:rsidP="00240B28">
      <w:pPr>
        <w:spacing w:line="276" w:lineRule="auto"/>
        <w:jc w:val="center"/>
        <w:rPr>
          <w:rFonts w:ascii="Cambria" w:hAnsi="Cambria"/>
          <w:sz w:val="24"/>
          <w:szCs w:val="24"/>
        </w:rPr>
      </w:pPr>
      <w:r w:rsidRPr="00713BD9">
        <w:rPr>
          <w:rFonts w:ascii="Cambria" w:hAnsi="Cambria"/>
          <w:sz w:val="24"/>
          <w:szCs w:val="24"/>
        </w:rPr>
        <w:t>Shayxova Guli Islamovna</w:t>
      </w:r>
    </w:p>
    <w:p w14:paraId="23693ACF" w14:textId="71387927" w:rsidR="00713BD9" w:rsidRDefault="00713BD9" w:rsidP="00240B28">
      <w:pPr>
        <w:spacing w:line="276" w:lineRule="auto"/>
        <w:jc w:val="center"/>
        <w:rPr>
          <w:rFonts w:ascii="Cambria" w:hAnsi="Cambria"/>
          <w:b/>
          <w:bCs/>
          <w:sz w:val="24"/>
          <w:szCs w:val="24"/>
        </w:rPr>
      </w:pPr>
    </w:p>
    <w:p w14:paraId="1E8CCF78" w14:textId="77777777" w:rsidR="00240B28" w:rsidRDefault="00240B28" w:rsidP="00240B28">
      <w:pPr>
        <w:spacing w:line="276" w:lineRule="auto"/>
        <w:jc w:val="center"/>
        <w:rPr>
          <w:rFonts w:ascii="Cambria" w:hAnsi="Cambria"/>
          <w:b/>
          <w:bCs/>
          <w:sz w:val="24"/>
          <w:szCs w:val="24"/>
        </w:rPr>
      </w:pPr>
    </w:p>
    <w:p w14:paraId="295EA894" w14:textId="77777777" w:rsidR="00AA1E48" w:rsidRPr="00AA1E48" w:rsidRDefault="00AA1E48" w:rsidP="00240B28">
      <w:pPr>
        <w:spacing w:line="276" w:lineRule="auto"/>
        <w:jc w:val="center"/>
        <w:rPr>
          <w:rFonts w:ascii="Cambria" w:hAnsi="Cambria"/>
          <w:b/>
          <w:bCs/>
          <w:color w:val="0070C0"/>
          <w:sz w:val="24"/>
          <w:szCs w:val="24"/>
        </w:rPr>
      </w:pPr>
      <w:r w:rsidRPr="00AA1E48">
        <w:rPr>
          <w:rFonts w:ascii="Cambria" w:hAnsi="Cambria"/>
          <w:b/>
          <w:bCs/>
          <w:color w:val="0070C0"/>
          <w:sz w:val="24"/>
          <w:szCs w:val="24"/>
        </w:rPr>
        <w:t>RESPONSIBLE SECRETARY</w:t>
      </w:r>
    </w:p>
    <w:p w14:paraId="26484F89" w14:textId="28EEC187" w:rsidR="00CC5612" w:rsidRPr="00713BD9" w:rsidRDefault="00AA1E48" w:rsidP="00240B28">
      <w:pPr>
        <w:spacing w:line="276" w:lineRule="auto"/>
        <w:jc w:val="center"/>
        <w:rPr>
          <w:rFonts w:ascii="Cambria" w:hAnsi="Cambria"/>
          <w:sz w:val="24"/>
          <w:szCs w:val="24"/>
        </w:rPr>
      </w:pPr>
      <w:r w:rsidRPr="00AA1E48">
        <w:rPr>
          <w:rFonts w:ascii="Cambria" w:hAnsi="Cambria"/>
          <w:sz w:val="24"/>
          <w:szCs w:val="24"/>
        </w:rPr>
        <w:t>Alimukhamedov Dilshod Shavkatovich</w:t>
      </w:r>
    </w:p>
    <w:p w14:paraId="13E77E63" w14:textId="1B0003A4" w:rsidR="004E3D55" w:rsidRDefault="004E3D55" w:rsidP="00240B28">
      <w:pPr>
        <w:spacing w:line="276" w:lineRule="auto"/>
        <w:jc w:val="center"/>
        <w:rPr>
          <w:rFonts w:ascii="Cambria" w:hAnsi="Cambria"/>
          <w:sz w:val="24"/>
          <w:szCs w:val="24"/>
        </w:rPr>
      </w:pPr>
    </w:p>
    <w:p w14:paraId="6A986445" w14:textId="77777777" w:rsidR="00240B28" w:rsidRPr="00713BD9" w:rsidRDefault="00240B28" w:rsidP="00240B28">
      <w:pPr>
        <w:spacing w:line="276" w:lineRule="auto"/>
        <w:jc w:val="center"/>
        <w:rPr>
          <w:rFonts w:ascii="Cambria" w:hAnsi="Cambria"/>
          <w:sz w:val="24"/>
          <w:szCs w:val="24"/>
        </w:rPr>
      </w:pPr>
    </w:p>
    <w:p w14:paraId="04863A16" w14:textId="77777777" w:rsidR="00AA1E48" w:rsidRPr="006D439F" w:rsidRDefault="00AA1E48" w:rsidP="00240B28">
      <w:pPr>
        <w:spacing w:line="276" w:lineRule="auto"/>
        <w:jc w:val="center"/>
        <w:rPr>
          <w:rFonts w:ascii="Cambria" w:hAnsi="Cambria"/>
          <w:b/>
          <w:bCs/>
          <w:color w:val="0070C0"/>
          <w:sz w:val="24"/>
          <w:szCs w:val="24"/>
        </w:rPr>
      </w:pPr>
      <w:r w:rsidRPr="006D439F">
        <w:rPr>
          <w:rFonts w:ascii="Cambria" w:hAnsi="Cambria"/>
          <w:b/>
          <w:bCs/>
          <w:color w:val="0070C0"/>
          <w:sz w:val="24"/>
          <w:szCs w:val="24"/>
        </w:rPr>
        <w:t>EDITORIAL BOARD</w:t>
      </w:r>
    </w:p>
    <w:p w14:paraId="499BBAAF" w14:textId="7680365F" w:rsidR="00CC5612" w:rsidRPr="006D439F" w:rsidRDefault="00CC5612" w:rsidP="00240B28">
      <w:pPr>
        <w:spacing w:line="276" w:lineRule="auto"/>
        <w:jc w:val="center"/>
        <w:rPr>
          <w:rFonts w:ascii="Cambria" w:hAnsi="Cambria"/>
          <w:sz w:val="24"/>
          <w:szCs w:val="24"/>
        </w:rPr>
      </w:pPr>
    </w:p>
    <w:tbl>
      <w:tblPr>
        <w:tblStyle w:val="a5"/>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4"/>
        <w:gridCol w:w="2449"/>
        <w:gridCol w:w="2279"/>
        <w:gridCol w:w="283"/>
        <w:gridCol w:w="2555"/>
      </w:tblGrid>
      <w:tr w:rsidR="008F6605" w:rsidRPr="00E7758B" w14:paraId="10184F77" w14:textId="1D6121EE" w:rsidTr="008F6605">
        <w:trPr>
          <w:jc w:val="center"/>
        </w:trPr>
        <w:tc>
          <w:tcPr>
            <w:tcW w:w="1980" w:type="dxa"/>
          </w:tcPr>
          <w:p w14:paraId="7B3E945E" w14:textId="77777777" w:rsidR="008F6605" w:rsidRPr="00E7758B" w:rsidRDefault="008F6605" w:rsidP="00240B28">
            <w:pPr>
              <w:spacing w:line="276" w:lineRule="auto"/>
              <w:jc w:val="right"/>
              <w:rPr>
                <w:rFonts w:ascii="Cambria" w:hAnsi="Cambria"/>
                <w:sz w:val="24"/>
                <w:szCs w:val="24"/>
                <w:lang w:val="es-MX"/>
              </w:rPr>
            </w:pPr>
            <w:r w:rsidRPr="00E7758B">
              <w:rPr>
                <w:rFonts w:ascii="Cambria" w:hAnsi="Cambria"/>
                <w:sz w:val="24"/>
                <w:szCs w:val="24"/>
                <w:lang w:val="es-MX"/>
              </w:rPr>
              <w:t>Agliulin D.R.</w:t>
            </w:r>
          </w:p>
        </w:tc>
        <w:tc>
          <w:tcPr>
            <w:tcW w:w="234" w:type="dxa"/>
            <w:vMerge w:val="restart"/>
          </w:tcPr>
          <w:p w14:paraId="2ACEC9DE" w14:textId="7BB663EF" w:rsidR="008F6605" w:rsidRPr="00E7758B" w:rsidRDefault="008F6605" w:rsidP="00240B28">
            <w:pPr>
              <w:spacing w:line="276" w:lineRule="auto"/>
              <w:jc w:val="center"/>
              <w:rPr>
                <w:rFonts w:ascii="Cambria" w:hAnsi="Cambria"/>
                <w:sz w:val="24"/>
                <w:szCs w:val="24"/>
                <w:lang w:val="es-MX"/>
              </w:rPr>
            </w:pPr>
            <w:r>
              <w:rPr>
                <w:rFonts w:ascii="Cambria" w:hAnsi="Cambria"/>
                <w:noProof/>
                <w:sz w:val="24"/>
                <w:szCs w:val="24"/>
                <w:lang w:val="es-MX"/>
              </w:rPr>
              <mc:AlternateContent>
                <mc:Choice Requires="wps">
                  <w:drawing>
                    <wp:anchor distT="0" distB="0" distL="114300" distR="114300" simplePos="0" relativeHeight="251712512" behindDoc="0" locked="0" layoutInCell="1" allowOverlap="1" wp14:anchorId="53FE3870" wp14:editId="6943F058">
                      <wp:simplePos x="0" y="0"/>
                      <wp:positionH relativeFrom="column">
                        <wp:posOffset>-10795</wp:posOffset>
                      </wp:positionH>
                      <wp:positionV relativeFrom="paragraph">
                        <wp:posOffset>-14605</wp:posOffset>
                      </wp:positionV>
                      <wp:extent cx="0" cy="2484000"/>
                      <wp:effectExtent l="19050" t="0" r="19050" b="31115"/>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0" cy="2484000"/>
                              </a:xfrm>
                              <a:prstGeom prst="line">
                                <a:avLst/>
                              </a:prstGeom>
                              <a:ln w="28575">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1A078" id="Прямая соединительная линия 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15pt" to="-.8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" strokecolor="#2f5496 [2404]" strokeweight="2.25pt">
                      <v:stroke joinstyle="miter"/>
                    </v:line>
                  </w:pict>
                </mc:Fallback>
              </mc:AlternateContent>
            </w:r>
          </w:p>
        </w:tc>
        <w:tc>
          <w:tcPr>
            <w:tcW w:w="2449" w:type="dxa"/>
            <w:tcBorders>
              <w:right w:val="single" w:sz="18" w:space="0" w:color="C45911" w:themeColor="accent2" w:themeShade="BF"/>
            </w:tcBorders>
          </w:tcPr>
          <w:p w14:paraId="5A231CE4" w14:textId="6870FFBD" w:rsidR="008F6605" w:rsidRPr="008F6605" w:rsidRDefault="004424E4" w:rsidP="00240B28">
            <w:pPr>
              <w:spacing w:line="276" w:lineRule="auto"/>
              <w:rPr>
                <w:rFonts w:ascii="Cambria" w:hAnsi="Cambria"/>
                <w:sz w:val="22"/>
                <w:lang w:val="es-MX"/>
              </w:rPr>
            </w:pPr>
            <w:r>
              <w:rPr>
                <w:sz w:val="22"/>
              </w:rPr>
              <w:t>PhD</w:t>
            </w:r>
            <w:r w:rsidRPr="008F6605">
              <w:rPr>
                <w:sz w:val="22"/>
              </w:rPr>
              <w:t xml:space="preserve"> (</w:t>
            </w:r>
            <w:r w:rsidR="008F6605" w:rsidRPr="008F6605">
              <w:rPr>
                <w:sz w:val="22"/>
              </w:rPr>
              <w:t>Russia)</w:t>
            </w:r>
          </w:p>
        </w:tc>
        <w:tc>
          <w:tcPr>
            <w:tcW w:w="2279" w:type="dxa"/>
            <w:tcBorders>
              <w:left w:val="single" w:sz="18" w:space="0" w:color="C45911" w:themeColor="accent2" w:themeShade="BF"/>
            </w:tcBorders>
          </w:tcPr>
          <w:p w14:paraId="57C6BB5C" w14:textId="30820046" w:rsidR="008F6605" w:rsidRPr="00E7758B" w:rsidRDefault="008F6605" w:rsidP="00240B28">
            <w:pPr>
              <w:spacing w:line="276" w:lineRule="auto"/>
              <w:jc w:val="right"/>
              <w:rPr>
                <w:rFonts w:ascii="Cambria" w:hAnsi="Cambria"/>
                <w:sz w:val="24"/>
                <w:szCs w:val="24"/>
                <w:lang w:val="es-MX"/>
              </w:rPr>
            </w:pPr>
            <w:r w:rsidRPr="00E7758B">
              <w:rPr>
                <w:rFonts w:ascii="Cambria" w:hAnsi="Cambria"/>
                <w:sz w:val="24"/>
                <w:szCs w:val="24"/>
              </w:rPr>
              <w:t>Salomova F.I.</w:t>
            </w:r>
          </w:p>
        </w:tc>
        <w:tc>
          <w:tcPr>
            <w:tcW w:w="283" w:type="dxa"/>
            <w:vMerge w:val="restart"/>
          </w:tcPr>
          <w:p w14:paraId="35523A4E" w14:textId="4E7C4CAB" w:rsidR="008F6605" w:rsidRPr="00E7758B" w:rsidRDefault="008F6605" w:rsidP="00240B28">
            <w:pPr>
              <w:spacing w:line="276" w:lineRule="auto"/>
              <w:ind w:left="-113" w:right="-113"/>
              <w:rPr>
                <w:rFonts w:ascii="Cambria" w:hAnsi="Cambria"/>
                <w:sz w:val="24"/>
                <w:szCs w:val="24"/>
                <w:lang w:val="es-MX"/>
              </w:rPr>
            </w:pPr>
            <w:r>
              <w:rPr>
                <w:rFonts w:ascii="Cambria" w:hAnsi="Cambria"/>
                <w:noProof/>
                <w:sz w:val="24"/>
                <w:szCs w:val="24"/>
                <w:lang w:val="es-MX"/>
              </w:rPr>
              <mc:AlternateContent>
                <mc:Choice Requires="wps">
                  <w:drawing>
                    <wp:anchor distT="0" distB="0" distL="114300" distR="114300" simplePos="0" relativeHeight="251713536" behindDoc="0" locked="0" layoutInCell="1" allowOverlap="1" wp14:anchorId="119627CC" wp14:editId="68CA75D4">
                      <wp:simplePos x="0" y="0"/>
                      <wp:positionH relativeFrom="column">
                        <wp:posOffset>10795</wp:posOffset>
                      </wp:positionH>
                      <wp:positionV relativeFrom="paragraph">
                        <wp:posOffset>-12065</wp:posOffset>
                      </wp:positionV>
                      <wp:extent cx="0" cy="2484000"/>
                      <wp:effectExtent l="19050" t="0" r="19050" b="31115"/>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0" cy="2484000"/>
                              </a:xfrm>
                              <a:prstGeom prst="line">
                                <a:avLst/>
                              </a:prstGeom>
                              <a:ln w="28575">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6BC2F" id="Прямая соединительная линия 8"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5pt" to=".8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" strokecolor="#2f5496 [2404]" strokeweight="2.25pt">
                      <v:stroke joinstyle="miter"/>
                    </v:line>
                  </w:pict>
                </mc:Fallback>
              </mc:AlternateContent>
            </w:r>
          </w:p>
        </w:tc>
        <w:tc>
          <w:tcPr>
            <w:tcW w:w="2555" w:type="dxa"/>
          </w:tcPr>
          <w:p w14:paraId="325F643B" w14:textId="3B9B95CC" w:rsidR="008F6605" w:rsidRPr="008F6605" w:rsidRDefault="00240B28" w:rsidP="00240B28">
            <w:pPr>
              <w:spacing w:line="276" w:lineRule="auto"/>
              <w:rPr>
                <w:rFonts w:ascii="Cambria" w:hAnsi="Cambria"/>
                <w:sz w:val="24"/>
                <w:szCs w:val="20"/>
                <w:lang w:val="es-MX"/>
              </w:rPr>
            </w:pPr>
            <w:r>
              <w:rPr>
                <w:sz w:val="24"/>
                <w:szCs w:val="20"/>
              </w:rPr>
              <w:t>DMSc</w:t>
            </w:r>
            <w:r w:rsidR="008F6605" w:rsidRPr="008F6605">
              <w:rPr>
                <w:sz w:val="24"/>
                <w:szCs w:val="20"/>
              </w:rPr>
              <w:t xml:space="preserve"> (Tashkent)</w:t>
            </w:r>
          </w:p>
        </w:tc>
      </w:tr>
      <w:tr w:rsidR="008F6605" w:rsidRPr="00E7758B" w14:paraId="16C29BF7" w14:textId="1094EAD3" w:rsidTr="008F6605">
        <w:trPr>
          <w:jc w:val="center"/>
        </w:trPr>
        <w:tc>
          <w:tcPr>
            <w:tcW w:w="1980" w:type="dxa"/>
          </w:tcPr>
          <w:p w14:paraId="0FAD4CA5"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Achilov D.D.</w:t>
            </w:r>
          </w:p>
        </w:tc>
        <w:tc>
          <w:tcPr>
            <w:tcW w:w="234" w:type="dxa"/>
            <w:vMerge/>
          </w:tcPr>
          <w:p w14:paraId="06620334" w14:textId="58E8A582"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79218A46" w14:textId="5144EA8D" w:rsidR="008F6605" w:rsidRPr="008F6605" w:rsidRDefault="008F6605" w:rsidP="00240B28">
            <w:pPr>
              <w:spacing w:line="276" w:lineRule="auto"/>
              <w:rPr>
                <w:rFonts w:ascii="Cambria" w:hAnsi="Cambria"/>
                <w:sz w:val="22"/>
              </w:rPr>
            </w:pPr>
            <w:r w:rsidRPr="008F6605">
              <w:rPr>
                <w:sz w:val="22"/>
              </w:rPr>
              <w:t>PhD (Termez)</w:t>
            </w:r>
          </w:p>
        </w:tc>
        <w:tc>
          <w:tcPr>
            <w:tcW w:w="2279" w:type="dxa"/>
            <w:tcBorders>
              <w:left w:val="single" w:sz="18" w:space="0" w:color="C45911" w:themeColor="accent2" w:themeShade="BF"/>
            </w:tcBorders>
          </w:tcPr>
          <w:p w14:paraId="1197B44C" w14:textId="78A20E5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Canaeva M.J.</w:t>
            </w:r>
          </w:p>
        </w:tc>
        <w:tc>
          <w:tcPr>
            <w:tcW w:w="283" w:type="dxa"/>
            <w:vMerge/>
          </w:tcPr>
          <w:p w14:paraId="6CFE3CFF" w14:textId="41F77CD2" w:rsidR="008F6605" w:rsidRPr="00E7758B" w:rsidRDefault="008F6605" w:rsidP="00240B28">
            <w:pPr>
              <w:spacing w:line="276" w:lineRule="auto"/>
              <w:rPr>
                <w:rFonts w:ascii="Cambria" w:hAnsi="Cambria"/>
                <w:sz w:val="24"/>
                <w:szCs w:val="24"/>
              </w:rPr>
            </w:pPr>
          </w:p>
        </w:tc>
        <w:tc>
          <w:tcPr>
            <w:tcW w:w="2555" w:type="dxa"/>
          </w:tcPr>
          <w:p w14:paraId="3C016DC1" w14:textId="3E925403" w:rsidR="008F6605" w:rsidRPr="008F6605" w:rsidRDefault="00240B28" w:rsidP="00240B28">
            <w:pPr>
              <w:spacing w:line="276" w:lineRule="auto"/>
              <w:rPr>
                <w:rFonts w:ascii="Cambria" w:hAnsi="Cambria"/>
                <w:sz w:val="24"/>
                <w:szCs w:val="20"/>
              </w:rPr>
            </w:pPr>
            <w:r>
              <w:rPr>
                <w:sz w:val="24"/>
                <w:szCs w:val="20"/>
              </w:rPr>
              <w:t>DMSc</w:t>
            </w:r>
            <w:r w:rsidR="008F6605" w:rsidRPr="008F6605">
              <w:rPr>
                <w:sz w:val="24"/>
                <w:szCs w:val="20"/>
              </w:rPr>
              <w:t xml:space="preserve"> (Tashkent)</w:t>
            </w:r>
          </w:p>
        </w:tc>
      </w:tr>
      <w:tr w:rsidR="008F6605" w:rsidRPr="00E7758B" w14:paraId="3A823748" w14:textId="1DDC5B6F" w:rsidTr="008F6605">
        <w:trPr>
          <w:jc w:val="center"/>
        </w:trPr>
        <w:tc>
          <w:tcPr>
            <w:tcW w:w="1980" w:type="dxa"/>
          </w:tcPr>
          <w:p w14:paraId="42E60203"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Ganiev A.A.</w:t>
            </w:r>
          </w:p>
        </w:tc>
        <w:tc>
          <w:tcPr>
            <w:tcW w:w="234" w:type="dxa"/>
            <w:vMerge/>
          </w:tcPr>
          <w:p w14:paraId="0CE7F82C" w14:textId="702247F0"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3A28639C" w14:textId="3EECD859"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(Tashkent)</w:t>
            </w:r>
          </w:p>
        </w:tc>
        <w:tc>
          <w:tcPr>
            <w:tcW w:w="2279" w:type="dxa"/>
            <w:tcBorders>
              <w:left w:val="single" w:sz="18" w:space="0" w:color="C45911" w:themeColor="accent2" w:themeShade="BF"/>
            </w:tcBorders>
          </w:tcPr>
          <w:p w14:paraId="23CD3A8F" w14:textId="1D5F2766"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Sidikov A.A.</w:t>
            </w:r>
          </w:p>
        </w:tc>
        <w:tc>
          <w:tcPr>
            <w:tcW w:w="283" w:type="dxa"/>
            <w:vMerge/>
          </w:tcPr>
          <w:p w14:paraId="1D258CED" w14:textId="58680878" w:rsidR="008F6605" w:rsidRPr="00E7758B" w:rsidRDefault="008F6605" w:rsidP="00240B28">
            <w:pPr>
              <w:spacing w:line="276" w:lineRule="auto"/>
              <w:rPr>
                <w:rFonts w:ascii="Cambria" w:hAnsi="Cambria"/>
                <w:sz w:val="24"/>
                <w:szCs w:val="24"/>
              </w:rPr>
            </w:pPr>
          </w:p>
        </w:tc>
        <w:tc>
          <w:tcPr>
            <w:tcW w:w="2555" w:type="dxa"/>
          </w:tcPr>
          <w:p w14:paraId="29AC6E64" w14:textId="3F922F46" w:rsidR="008F6605" w:rsidRPr="008F6605" w:rsidRDefault="00240B28" w:rsidP="00240B28">
            <w:pPr>
              <w:spacing w:line="276" w:lineRule="auto"/>
              <w:rPr>
                <w:rFonts w:ascii="Cambria" w:hAnsi="Cambria"/>
                <w:sz w:val="24"/>
                <w:szCs w:val="20"/>
              </w:rPr>
            </w:pPr>
            <w:r>
              <w:rPr>
                <w:sz w:val="24"/>
                <w:szCs w:val="20"/>
              </w:rPr>
              <w:t>DMSc</w:t>
            </w:r>
            <w:r w:rsidR="008F6605" w:rsidRPr="008F6605">
              <w:rPr>
                <w:sz w:val="24"/>
                <w:szCs w:val="20"/>
              </w:rPr>
              <w:t xml:space="preserve"> (Fergana)</w:t>
            </w:r>
          </w:p>
        </w:tc>
      </w:tr>
      <w:tr w:rsidR="008F6605" w:rsidRPr="00E7758B" w14:paraId="7ECB370E" w14:textId="5713CD97" w:rsidTr="008F6605">
        <w:trPr>
          <w:jc w:val="center"/>
        </w:trPr>
        <w:tc>
          <w:tcPr>
            <w:tcW w:w="1980" w:type="dxa"/>
          </w:tcPr>
          <w:p w14:paraId="308F964E"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Iskandarova G.T.</w:t>
            </w:r>
          </w:p>
        </w:tc>
        <w:tc>
          <w:tcPr>
            <w:tcW w:w="234" w:type="dxa"/>
            <w:vMerge/>
          </w:tcPr>
          <w:p w14:paraId="0F85FD50" w14:textId="6E2EA89D"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2253AAC6" w14:textId="6B69743F" w:rsidR="008F6605" w:rsidRPr="008F6605" w:rsidRDefault="008F6605" w:rsidP="00240B28">
            <w:pPr>
              <w:spacing w:line="276" w:lineRule="auto"/>
              <w:rPr>
                <w:rFonts w:ascii="Cambria" w:hAnsi="Cambria"/>
                <w:sz w:val="22"/>
              </w:rPr>
            </w:pPr>
            <w:r w:rsidRPr="008F6605">
              <w:rPr>
                <w:sz w:val="22"/>
              </w:rPr>
              <w:t>professor (Tashkent)</w:t>
            </w:r>
          </w:p>
        </w:tc>
        <w:tc>
          <w:tcPr>
            <w:tcW w:w="2279" w:type="dxa"/>
            <w:tcBorders>
              <w:left w:val="single" w:sz="18" w:space="0" w:color="C45911" w:themeColor="accent2" w:themeShade="BF"/>
            </w:tcBorders>
          </w:tcPr>
          <w:p w14:paraId="72D2AF6A" w14:textId="062E4752"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Sobirov U.YU.</w:t>
            </w:r>
          </w:p>
        </w:tc>
        <w:tc>
          <w:tcPr>
            <w:tcW w:w="283" w:type="dxa"/>
            <w:vMerge/>
          </w:tcPr>
          <w:p w14:paraId="34FDA52D" w14:textId="6DC831E8" w:rsidR="008F6605" w:rsidRPr="00E7758B" w:rsidRDefault="008F6605" w:rsidP="00240B28">
            <w:pPr>
              <w:spacing w:line="276" w:lineRule="auto"/>
              <w:rPr>
                <w:rFonts w:ascii="Cambria" w:hAnsi="Cambria"/>
                <w:sz w:val="24"/>
                <w:szCs w:val="24"/>
              </w:rPr>
            </w:pPr>
          </w:p>
        </w:tc>
        <w:tc>
          <w:tcPr>
            <w:tcW w:w="2555" w:type="dxa"/>
          </w:tcPr>
          <w:p w14:paraId="2DC2FCD6" w14:textId="17EB4765" w:rsidR="008F6605" w:rsidRPr="008F6605" w:rsidRDefault="008F6605" w:rsidP="00240B28">
            <w:pPr>
              <w:spacing w:line="276" w:lineRule="auto"/>
              <w:rPr>
                <w:rFonts w:ascii="Cambria" w:hAnsi="Cambria"/>
                <w:sz w:val="24"/>
                <w:szCs w:val="20"/>
              </w:rPr>
            </w:pPr>
            <w:r w:rsidRPr="008F6605">
              <w:rPr>
                <w:sz w:val="24"/>
                <w:szCs w:val="20"/>
              </w:rPr>
              <w:t>professor (Tashkent)</w:t>
            </w:r>
          </w:p>
        </w:tc>
      </w:tr>
      <w:tr w:rsidR="008F6605" w:rsidRPr="00E7758B" w14:paraId="6974F822" w14:textId="2C6A758F" w:rsidTr="008F6605">
        <w:trPr>
          <w:jc w:val="center"/>
        </w:trPr>
        <w:tc>
          <w:tcPr>
            <w:tcW w:w="1980" w:type="dxa"/>
          </w:tcPr>
          <w:p w14:paraId="550C1F14" w14:textId="6B486B35"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Matnazarova G.S.</w:t>
            </w:r>
          </w:p>
        </w:tc>
        <w:tc>
          <w:tcPr>
            <w:tcW w:w="234" w:type="dxa"/>
            <w:vMerge/>
          </w:tcPr>
          <w:p w14:paraId="4D111A02" w14:textId="0F077491"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241F8D1B" w14:textId="4E972607"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(Tashkent)</w:t>
            </w:r>
          </w:p>
        </w:tc>
        <w:tc>
          <w:tcPr>
            <w:tcW w:w="2279" w:type="dxa"/>
            <w:tcBorders>
              <w:left w:val="single" w:sz="18" w:space="0" w:color="C45911" w:themeColor="accent2" w:themeShade="BF"/>
            </w:tcBorders>
          </w:tcPr>
          <w:p w14:paraId="008EA75A" w14:textId="299D52F6" w:rsidR="008F6605" w:rsidRPr="00E7758B" w:rsidRDefault="008F6605" w:rsidP="00240B28">
            <w:pPr>
              <w:spacing w:line="276" w:lineRule="auto"/>
              <w:jc w:val="right"/>
              <w:rPr>
                <w:rFonts w:ascii="Cambria" w:hAnsi="Cambria"/>
                <w:sz w:val="24"/>
                <w:szCs w:val="24"/>
              </w:rPr>
            </w:pPr>
            <w:r w:rsidRPr="00697A53">
              <w:rPr>
                <w:rFonts w:ascii="Cambria" w:hAnsi="Cambria"/>
                <w:sz w:val="24"/>
                <w:szCs w:val="24"/>
              </w:rPr>
              <w:t>Tazhieva</w:t>
            </w:r>
            <w:r w:rsidRPr="00E7758B">
              <w:rPr>
                <w:rFonts w:ascii="Cambria" w:hAnsi="Cambria"/>
                <w:sz w:val="24"/>
                <w:szCs w:val="24"/>
              </w:rPr>
              <w:t xml:space="preserve"> Z.B.</w:t>
            </w:r>
          </w:p>
        </w:tc>
        <w:tc>
          <w:tcPr>
            <w:tcW w:w="283" w:type="dxa"/>
            <w:vMerge/>
          </w:tcPr>
          <w:p w14:paraId="50AE9FA5" w14:textId="27B98D8C" w:rsidR="008F6605" w:rsidRPr="00E7758B" w:rsidRDefault="008F6605" w:rsidP="00240B28">
            <w:pPr>
              <w:spacing w:line="276" w:lineRule="auto"/>
              <w:rPr>
                <w:rFonts w:ascii="Cambria" w:hAnsi="Cambria"/>
                <w:sz w:val="24"/>
                <w:szCs w:val="24"/>
              </w:rPr>
            </w:pPr>
          </w:p>
        </w:tc>
        <w:tc>
          <w:tcPr>
            <w:tcW w:w="2555" w:type="dxa"/>
          </w:tcPr>
          <w:p w14:paraId="0B2CC44C" w14:textId="0AEE76BA" w:rsidR="008F6605" w:rsidRPr="008F6605" w:rsidRDefault="008F6605" w:rsidP="00240B28">
            <w:pPr>
              <w:spacing w:line="276" w:lineRule="auto"/>
              <w:rPr>
                <w:rFonts w:ascii="Cambria" w:hAnsi="Cambria"/>
                <w:sz w:val="24"/>
                <w:szCs w:val="20"/>
              </w:rPr>
            </w:pPr>
            <w:r w:rsidRPr="008F6605">
              <w:rPr>
                <w:sz w:val="24"/>
                <w:szCs w:val="20"/>
              </w:rPr>
              <w:t>PhD (Urgench)</w:t>
            </w:r>
          </w:p>
        </w:tc>
      </w:tr>
      <w:tr w:rsidR="008F6605" w:rsidRPr="00E7758B" w14:paraId="4116B28F" w14:textId="4F7346D0" w:rsidTr="008F6605">
        <w:trPr>
          <w:jc w:val="center"/>
        </w:trPr>
        <w:tc>
          <w:tcPr>
            <w:tcW w:w="1980" w:type="dxa"/>
          </w:tcPr>
          <w:p w14:paraId="47601A73" w14:textId="74DBD478"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Mirzoeva M.R.</w:t>
            </w:r>
          </w:p>
        </w:tc>
        <w:tc>
          <w:tcPr>
            <w:tcW w:w="234" w:type="dxa"/>
            <w:vMerge/>
          </w:tcPr>
          <w:p w14:paraId="4CE38F69" w14:textId="2C0F96F3"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51017C9F" w14:textId="230A1C2B"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(Bukhara)</w:t>
            </w:r>
          </w:p>
        </w:tc>
        <w:tc>
          <w:tcPr>
            <w:tcW w:w="2279" w:type="dxa"/>
            <w:tcBorders>
              <w:left w:val="single" w:sz="18" w:space="0" w:color="C45911" w:themeColor="accent2" w:themeShade="BF"/>
            </w:tcBorders>
          </w:tcPr>
          <w:p w14:paraId="322B0B57" w14:textId="59F71B21"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Tashkenbaeva U.A.</w:t>
            </w:r>
          </w:p>
        </w:tc>
        <w:tc>
          <w:tcPr>
            <w:tcW w:w="283" w:type="dxa"/>
            <w:vMerge/>
          </w:tcPr>
          <w:p w14:paraId="743A7BA2" w14:textId="77777777" w:rsidR="008F6605" w:rsidRPr="00E7758B" w:rsidRDefault="008F6605" w:rsidP="00240B28">
            <w:pPr>
              <w:spacing w:line="276" w:lineRule="auto"/>
              <w:rPr>
                <w:rFonts w:ascii="Cambria" w:hAnsi="Cambria"/>
                <w:sz w:val="24"/>
                <w:szCs w:val="24"/>
              </w:rPr>
            </w:pPr>
          </w:p>
        </w:tc>
        <w:tc>
          <w:tcPr>
            <w:tcW w:w="2555" w:type="dxa"/>
          </w:tcPr>
          <w:p w14:paraId="1470840A" w14:textId="2621DDA0" w:rsidR="008F6605" w:rsidRPr="008F6605" w:rsidRDefault="00240B28" w:rsidP="00240B28">
            <w:pPr>
              <w:spacing w:line="276" w:lineRule="auto"/>
              <w:rPr>
                <w:rFonts w:ascii="Cambria" w:hAnsi="Cambria"/>
                <w:sz w:val="24"/>
                <w:szCs w:val="20"/>
              </w:rPr>
            </w:pPr>
            <w:r>
              <w:rPr>
                <w:sz w:val="24"/>
                <w:szCs w:val="20"/>
              </w:rPr>
              <w:t>DMSc</w:t>
            </w:r>
            <w:r w:rsidR="008F6605" w:rsidRPr="008F6605">
              <w:rPr>
                <w:sz w:val="24"/>
                <w:szCs w:val="20"/>
              </w:rPr>
              <w:t xml:space="preserve"> (Tashkent)</w:t>
            </w:r>
          </w:p>
        </w:tc>
      </w:tr>
      <w:tr w:rsidR="008F6605" w:rsidRPr="00E7758B" w14:paraId="69BFB6BD" w14:textId="3B862B61" w:rsidTr="008F6605">
        <w:trPr>
          <w:jc w:val="center"/>
        </w:trPr>
        <w:tc>
          <w:tcPr>
            <w:tcW w:w="1980" w:type="dxa"/>
          </w:tcPr>
          <w:p w14:paraId="1ECCE6C7" w14:textId="61FD7B69"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Murtazaev S.S.</w:t>
            </w:r>
          </w:p>
        </w:tc>
        <w:tc>
          <w:tcPr>
            <w:tcW w:w="234" w:type="dxa"/>
            <w:vMerge/>
          </w:tcPr>
          <w:p w14:paraId="35BE1711" w14:textId="6D1EAB8F"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5887B88C" w14:textId="41F4A94B"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(Tashkent)</w:t>
            </w:r>
          </w:p>
        </w:tc>
        <w:tc>
          <w:tcPr>
            <w:tcW w:w="2279" w:type="dxa"/>
            <w:tcBorders>
              <w:left w:val="single" w:sz="18" w:space="0" w:color="C45911" w:themeColor="accent2" w:themeShade="BF"/>
            </w:tcBorders>
          </w:tcPr>
          <w:p w14:paraId="26AFB44D" w14:textId="2DB04608"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Tusunov J.X.</w:t>
            </w:r>
          </w:p>
        </w:tc>
        <w:tc>
          <w:tcPr>
            <w:tcW w:w="283" w:type="dxa"/>
            <w:vMerge/>
          </w:tcPr>
          <w:p w14:paraId="3475A1E8" w14:textId="77777777" w:rsidR="008F6605" w:rsidRPr="00E7758B" w:rsidRDefault="008F6605" w:rsidP="00240B28">
            <w:pPr>
              <w:spacing w:line="276" w:lineRule="auto"/>
              <w:rPr>
                <w:rFonts w:ascii="Cambria" w:hAnsi="Cambria"/>
                <w:sz w:val="24"/>
                <w:szCs w:val="24"/>
              </w:rPr>
            </w:pPr>
          </w:p>
        </w:tc>
        <w:tc>
          <w:tcPr>
            <w:tcW w:w="2555" w:type="dxa"/>
          </w:tcPr>
          <w:p w14:paraId="253B0779" w14:textId="33E1D4A2" w:rsidR="008F6605" w:rsidRPr="008F6605" w:rsidRDefault="008F6605" w:rsidP="00240B28">
            <w:pPr>
              <w:spacing w:line="276" w:lineRule="auto"/>
              <w:rPr>
                <w:rFonts w:ascii="Cambria" w:hAnsi="Cambria"/>
                <w:sz w:val="24"/>
                <w:szCs w:val="20"/>
              </w:rPr>
            </w:pPr>
            <w:r w:rsidRPr="008F6605">
              <w:rPr>
                <w:sz w:val="24"/>
                <w:szCs w:val="20"/>
              </w:rPr>
              <w:t>PhD (Tashkent)</w:t>
            </w:r>
          </w:p>
        </w:tc>
      </w:tr>
      <w:tr w:rsidR="008F6605" w:rsidRPr="00E7758B" w14:paraId="445FED3A" w14:textId="649A81A0" w:rsidTr="008F6605">
        <w:trPr>
          <w:jc w:val="center"/>
        </w:trPr>
        <w:tc>
          <w:tcPr>
            <w:tcW w:w="1980" w:type="dxa"/>
          </w:tcPr>
          <w:p w14:paraId="7AD24F5E"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Narzikulova K.I.</w:t>
            </w:r>
          </w:p>
        </w:tc>
        <w:tc>
          <w:tcPr>
            <w:tcW w:w="234" w:type="dxa"/>
            <w:vMerge/>
          </w:tcPr>
          <w:p w14:paraId="713BB9C3" w14:textId="4CA8917F"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1B526E58" w14:textId="047787EE"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(Tashkent)</w:t>
            </w:r>
          </w:p>
        </w:tc>
        <w:tc>
          <w:tcPr>
            <w:tcW w:w="2279" w:type="dxa"/>
            <w:tcBorders>
              <w:left w:val="single" w:sz="18" w:space="0" w:color="C45911" w:themeColor="accent2" w:themeShade="BF"/>
            </w:tcBorders>
          </w:tcPr>
          <w:p w14:paraId="72DAA787" w14:textId="3DB9F5C1" w:rsidR="008F6605" w:rsidRPr="00E7758B" w:rsidRDefault="008F6605" w:rsidP="00240B28">
            <w:pPr>
              <w:spacing w:line="276" w:lineRule="auto"/>
              <w:jc w:val="right"/>
              <w:rPr>
                <w:rFonts w:ascii="Cambria" w:hAnsi="Cambria"/>
                <w:sz w:val="24"/>
                <w:szCs w:val="24"/>
              </w:rPr>
            </w:pPr>
            <w:r>
              <w:rPr>
                <w:rFonts w:ascii="Cambria" w:hAnsi="Cambria"/>
                <w:sz w:val="24"/>
                <w:szCs w:val="24"/>
              </w:rPr>
              <w:t>Kh</w:t>
            </w:r>
            <w:r w:rsidRPr="00E7758B">
              <w:rPr>
                <w:rFonts w:ascii="Cambria" w:hAnsi="Cambria"/>
                <w:sz w:val="24"/>
                <w:szCs w:val="24"/>
              </w:rPr>
              <w:t>asanova D.A.</w:t>
            </w:r>
          </w:p>
        </w:tc>
        <w:tc>
          <w:tcPr>
            <w:tcW w:w="283" w:type="dxa"/>
            <w:vMerge/>
          </w:tcPr>
          <w:p w14:paraId="2FFCABA0" w14:textId="77777777" w:rsidR="008F6605" w:rsidRPr="00E7758B" w:rsidRDefault="008F6605" w:rsidP="00240B28">
            <w:pPr>
              <w:spacing w:line="276" w:lineRule="auto"/>
              <w:rPr>
                <w:rFonts w:ascii="Cambria" w:hAnsi="Cambria"/>
                <w:sz w:val="24"/>
                <w:szCs w:val="24"/>
              </w:rPr>
            </w:pPr>
          </w:p>
        </w:tc>
        <w:tc>
          <w:tcPr>
            <w:tcW w:w="2555" w:type="dxa"/>
          </w:tcPr>
          <w:p w14:paraId="166BBAB5" w14:textId="23CC8896" w:rsidR="008F6605" w:rsidRPr="008F6605" w:rsidRDefault="00240B28" w:rsidP="00240B28">
            <w:pPr>
              <w:spacing w:line="276" w:lineRule="auto"/>
              <w:rPr>
                <w:rFonts w:ascii="Cambria" w:hAnsi="Cambria"/>
                <w:sz w:val="24"/>
                <w:szCs w:val="20"/>
              </w:rPr>
            </w:pPr>
            <w:r>
              <w:rPr>
                <w:sz w:val="24"/>
                <w:szCs w:val="20"/>
              </w:rPr>
              <w:t>DMSc</w:t>
            </w:r>
            <w:r w:rsidR="008F6605" w:rsidRPr="008F6605">
              <w:rPr>
                <w:sz w:val="24"/>
                <w:szCs w:val="20"/>
              </w:rPr>
              <w:t xml:space="preserve"> (Bukhara)</w:t>
            </w:r>
          </w:p>
        </w:tc>
      </w:tr>
      <w:tr w:rsidR="008F6605" w:rsidRPr="00E7758B" w14:paraId="702FCC2E" w14:textId="3DE67497" w:rsidTr="008F6605">
        <w:trPr>
          <w:jc w:val="center"/>
        </w:trPr>
        <w:tc>
          <w:tcPr>
            <w:tcW w:w="1980" w:type="dxa"/>
          </w:tcPr>
          <w:p w14:paraId="2F1C99F2"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Nosirov M.M.</w:t>
            </w:r>
          </w:p>
        </w:tc>
        <w:tc>
          <w:tcPr>
            <w:tcW w:w="234" w:type="dxa"/>
            <w:vMerge/>
          </w:tcPr>
          <w:p w14:paraId="774AA483" w14:textId="79E29B69"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0596405C" w14:textId="696F136C" w:rsidR="008F6605" w:rsidRPr="008F6605" w:rsidRDefault="008F6605" w:rsidP="00240B28">
            <w:pPr>
              <w:spacing w:line="276" w:lineRule="auto"/>
              <w:rPr>
                <w:rFonts w:ascii="Cambria" w:hAnsi="Cambria"/>
                <w:sz w:val="22"/>
              </w:rPr>
            </w:pPr>
            <w:r w:rsidRPr="008F6605">
              <w:rPr>
                <w:sz w:val="22"/>
              </w:rPr>
              <w:t>PhD (Andizhan)</w:t>
            </w:r>
          </w:p>
        </w:tc>
        <w:tc>
          <w:tcPr>
            <w:tcW w:w="2279" w:type="dxa"/>
            <w:tcBorders>
              <w:left w:val="single" w:sz="18" w:space="0" w:color="C45911" w:themeColor="accent2" w:themeShade="BF"/>
            </w:tcBorders>
          </w:tcPr>
          <w:p w14:paraId="18CBD1AC" w14:textId="390E09D9" w:rsidR="008F6605" w:rsidRPr="00E7758B" w:rsidRDefault="008F6605" w:rsidP="00240B28">
            <w:pPr>
              <w:spacing w:line="276" w:lineRule="auto"/>
              <w:jc w:val="right"/>
              <w:rPr>
                <w:rFonts w:ascii="Cambria" w:hAnsi="Cambria"/>
                <w:sz w:val="24"/>
                <w:szCs w:val="24"/>
              </w:rPr>
            </w:pPr>
            <w:r>
              <w:rPr>
                <w:rFonts w:ascii="Cambria" w:hAnsi="Cambria"/>
                <w:sz w:val="24"/>
                <w:szCs w:val="24"/>
              </w:rPr>
              <w:t>Kh</w:t>
            </w:r>
            <w:r w:rsidRPr="00E7758B">
              <w:rPr>
                <w:rFonts w:ascii="Cambria" w:hAnsi="Cambria"/>
                <w:sz w:val="24"/>
                <w:szCs w:val="24"/>
              </w:rPr>
              <w:t>asanova M.A.</w:t>
            </w:r>
          </w:p>
        </w:tc>
        <w:tc>
          <w:tcPr>
            <w:tcW w:w="283" w:type="dxa"/>
            <w:vMerge/>
          </w:tcPr>
          <w:p w14:paraId="38D3DE71" w14:textId="77777777" w:rsidR="008F6605" w:rsidRPr="00E7758B" w:rsidRDefault="008F6605" w:rsidP="00240B28">
            <w:pPr>
              <w:spacing w:line="276" w:lineRule="auto"/>
              <w:rPr>
                <w:rFonts w:ascii="Cambria" w:hAnsi="Cambria"/>
                <w:sz w:val="24"/>
                <w:szCs w:val="24"/>
              </w:rPr>
            </w:pPr>
          </w:p>
        </w:tc>
        <w:tc>
          <w:tcPr>
            <w:tcW w:w="2555" w:type="dxa"/>
          </w:tcPr>
          <w:p w14:paraId="4D139F98" w14:textId="7FB9AB2E" w:rsidR="008F6605" w:rsidRPr="008F6605" w:rsidRDefault="004424E4" w:rsidP="00240B28">
            <w:pPr>
              <w:spacing w:line="276" w:lineRule="auto"/>
              <w:rPr>
                <w:rFonts w:ascii="Cambria" w:hAnsi="Cambria"/>
                <w:sz w:val="24"/>
                <w:szCs w:val="20"/>
              </w:rPr>
            </w:pPr>
            <w:r>
              <w:rPr>
                <w:sz w:val="24"/>
                <w:szCs w:val="20"/>
              </w:rPr>
              <w:t>PhD</w:t>
            </w:r>
            <w:r w:rsidRPr="008F6605">
              <w:rPr>
                <w:sz w:val="24"/>
                <w:szCs w:val="20"/>
              </w:rPr>
              <w:t xml:space="preserve"> (</w:t>
            </w:r>
            <w:r w:rsidR="008F6605" w:rsidRPr="008F6605">
              <w:rPr>
                <w:sz w:val="24"/>
                <w:szCs w:val="20"/>
              </w:rPr>
              <w:t>Tashkent)</w:t>
            </w:r>
          </w:p>
        </w:tc>
      </w:tr>
      <w:tr w:rsidR="008F6605" w:rsidRPr="00E7758B" w14:paraId="30C96379" w14:textId="04DE62CA" w:rsidTr="008F6605">
        <w:trPr>
          <w:jc w:val="center"/>
        </w:trPr>
        <w:tc>
          <w:tcPr>
            <w:tcW w:w="1980" w:type="dxa"/>
          </w:tcPr>
          <w:p w14:paraId="74B8FAD7"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Oripov F.S.</w:t>
            </w:r>
          </w:p>
        </w:tc>
        <w:tc>
          <w:tcPr>
            <w:tcW w:w="234" w:type="dxa"/>
            <w:vMerge/>
          </w:tcPr>
          <w:p w14:paraId="777C0D4D" w14:textId="05710907"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6D174545" w14:textId="44529502"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(Samarkand)</w:t>
            </w:r>
          </w:p>
        </w:tc>
        <w:tc>
          <w:tcPr>
            <w:tcW w:w="2279" w:type="dxa"/>
            <w:tcBorders>
              <w:left w:val="single" w:sz="18" w:space="0" w:color="C45911" w:themeColor="accent2" w:themeShade="BF"/>
            </w:tcBorders>
          </w:tcPr>
          <w:p w14:paraId="0EA0DB1A" w14:textId="140C6882" w:rsidR="008F6605" w:rsidRPr="00E7758B" w:rsidRDefault="008F6605" w:rsidP="00240B28">
            <w:pPr>
              <w:spacing w:line="276" w:lineRule="auto"/>
              <w:jc w:val="right"/>
              <w:rPr>
                <w:rFonts w:ascii="Cambria" w:hAnsi="Cambria"/>
                <w:sz w:val="24"/>
                <w:szCs w:val="24"/>
              </w:rPr>
            </w:pPr>
            <w:r>
              <w:rPr>
                <w:rFonts w:ascii="Cambria" w:hAnsi="Cambria"/>
                <w:sz w:val="24"/>
                <w:szCs w:val="24"/>
              </w:rPr>
              <w:t>Kh</w:t>
            </w:r>
            <w:r w:rsidRPr="00E7758B">
              <w:rPr>
                <w:rFonts w:ascii="Cambria" w:hAnsi="Cambria"/>
                <w:sz w:val="24"/>
                <w:szCs w:val="24"/>
              </w:rPr>
              <w:t>van O.I.</w:t>
            </w:r>
          </w:p>
        </w:tc>
        <w:tc>
          <w:tcPr>
            <w:tcW w:w="283" w:type="dxa"/>
            <w:vMerge/>
          </w:tcPr>
          <w:p w14:paraId="0A9CC1C4" w14:textId="77777777" w:rsidR="008F6605" w:rsidRPr="00E7758B" w:rsidRDefault="008F6605" w:rsidP="00240B28">
            <w:pPr>
              <w:spacing w:line="276" w:lineRule="auto"/>
              <w:rPr>
                <w:rFonts w:ascii="Cambria" w:hAnsi="Cambria"/>
                <w:sz w:val="24"/>
                <w:szCs w:val="24"/>
              </w:rPr>
            </w:pPr>
          </w:p>
        </w:tc>
        <w:tc>
          <w:tcPr>
            <w:tcW w:w="2555" w:type="dxa"/>
          </w:tcPr>
          <w:p w14:paraId="62808751" w14:textId="27CA755A" w:rsidR="008F6605" w:rsidRPr="008F6605" w:rsidRDefault="00240B28" w:rsidP="00240B28">
            <w:pPr>
              <w:spacing w:line="276" w:lineRule="auto"/>
              <w:rPr>
                <w:rFonts w:ascii="Cambria" w:hAnsi="Cambria"/>
                <w:sz w:val="24"/>
                <w:szCs w:val="20"/>
              </w:rPr>
            </w:pPr>
            <w:r>
              <w:rPr>
                <w:sz w:val="24"/>
                <w:szCs w:val="20"/>
              </w:rPr>
              <w:t>DMSc</w:t>
            </w:r>
            <w:r w:rsidR="008F6605" w:rsidRPr="008F6605">
              <w:rPr>
                <w:sz w:val="24"/>
                <w:szCs w:val="20"/>
              </w:rPr>
              <w:t xml:space="preserve"> (Tashkent)</w:t>
            </w:r>
          </w:p>
        </w:tc>
      </w:tr>
      <w:tr w:rsidR="008F6605" w:rsidRPr="00E7758B" w14:paraId="7BECAA9D" w14:textId="77D42782" w:rsidTr="008F6605">
        <w:trPr>
          <w:jc w:val="center"/>
        </w:trPr>
        <w:tc>
          <w:tcPr>
            <w:tcW w:w="1980" w:type="dxa"/>
          </w:tcPr>
          <w:p w14:paraId="38F9F917" w14:textId="25D3275A"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Ra</w:t>
            </w:r>
            <w:r>
              <w:rPr>
                <w:rFonts w:ascii="Cambria" w:hAnsi="Cambria"/>
                <w:sz w:val="24"/>
                <w:szCs w:val="24"/>
              </w:rPr>
              <w:t>kh</w:t>
            </w:r>
            <w:r w:rsidRPr="00E7758B">
              <w:rPr>
                <w:rFonts w:ascii="Cambria" w:hAnsi="Cambria"/>
                <w:sz w:val="24"/>
                <w:szCs w:val="24"/>
              </w:rPr>
              <w:t>imov B.B.</w:t>
            </w:r>
          </w:p>
        </w:tc>
        <w:tc>
          <w:tcPr>
            <w:tcW w:w="234" w:type="dxa"/>
            <w:vMerge/>
          </w:tcPr>
          <w:p w14:paraId="68D5C2EA" w14:textId="5C740B03"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6BA389DC" w14:textId="5D493A64" w:rsidR="008F6605" w:rsidRPr="008F6605" w:rsidRDefault="00240B28" w:rsidP="00240B28">
            <w:pPr>
              <w:spacing w:line="276" w:lineRule="auto"/>
              <w:rPr>
                <w:rFonts w:ascii="Cambria" w:hAnsi="Cambria"/>
                <w:sz w:val="22"/>
              </w:rPr>
            </w:pPr>
            <w:r>
              <w:rPr>
                <w:sz w:val="22"/>
              </w:rPr>
              <w:t>DMSc</w:t>
            </w:r>
            <w:r w:rsidR="008F6605" w:rsidRPr="008F6605">
              <w:rPr>
                <w:sz w:val="22"/>
              </w:rPr>
              <w:t xml:space="preserve"> (South Korea)</w:t>
            </w:r>
          </w:p>
        </w:tc>
        <w:tc>
          <w:tcPr>
            <w:tcW w:w="2279" w:type="dxa"/>
            <w:tcBorders>
              <w:left w:val="single" w:sz="18" w:space="0" w:color="C45911" w:themeColor="accent2" w:themeShade="BF"/>
            </w:tcBorders>
          </w:tcPr>
          <w:p w14:paraId="0BED2173" w14:textId="3B716638" w:rsidR="008F6605" w:rsidRPr="00E7758B" w:rsidRDefault="008F6605" w:rsidP="00240B28">
            <w:pPr>
              <w:spacing w:line="276" w:lineRule="auto"/>
              <w:jc w:val="right"/>
              <w:rPr>
                <w:rFonts w:ascii="Cambria" w:hAnsi="Cambria"/>
                <w:sz w:val="24"/>
                <w:szCs w:val="24"/>
              </w:rPr>
            </w:pPr>
            <w:r>
              <w:rPr>
                <w:rFonts w:ascii="Cambria" w:hAnsi="Cambria"/>
                <w:sz w:val="24"/>
                <w:szCs w:val="24"/>
                <w:lang w:val="it-IT"/>
              </w:rPr>
              <w:t>Kh</w:t>
            </w:r>
            <w:r w:rsidRPr="00E7758B">
              <w:rPr>
                <w:rFonts w:ascii="Cambria" w:hAnsi="Cambria"/>
                <w:sz w:val="24"/>
                <w:szCs w:val="24"/>
                <w:lang w:val="it-IT"/>
              </w:rPr>
              <w:t>olmatova B.T.</w:t>
            </w:r>
          </w:p>
        </w:tc>
        <w:tc>
          <w:tcPr>
            <w:tcW w:w="283" w:type="dxa"/>
            <w:vMerge/>
          </w:tcPr>
          <w:p w14:paraId="44BD8E20" w14:textId="77777777" w:rsidR="008F6605" w:rsidRPr="00E7758B" w:rsidRDefault="008F6605" w:rsidP="00240B28">
            <w:pPr>
              <w:spacing w:line="276" w:lineRule="auto"/>
              <w:rPr>
                <w:rFonts w:ascii="Cambria" w:hAnsi="Cambria"/>
                <w:sz w:val="24"/>
                <w:szCs w:val="24"/>
              </w:rPr>
            </w:pPr>
          </w:p>
        </w:tc>
        <w:tc>
          <w:tcPr>
            <w:tcW w:w="2555" w:type="dxa"/>
          </w:tcPr>
          <w:p w14:paraId="20FC9473" w14:textId="024A210B" w:rsidR="008F6605" w:rsidRPr="008F6605" w:rsidRDefault="008F6605" w:rsidP="00240B28">
            <w:pPr>
              <w:spacing w:line="276" w:lineRule="auto"/>
              <w:rPr>
                <w:rFonts w:ascii="Cambria" w:hAnsi="Cambria"/>
                <w:sz w:val="24"/>
                <w:szCs w:val="20"/>
              </w:rPr>
            </w:pPr>
            <w:r w:rsidRPr="008F6605">
              <w:rPr>
                <w:sz w:val="24"/>
                <w:szCs w:val="20"/>
              </w:rPr>
              <w:t>professor (Tashkent)</w:t>
            </w:r>
          </w:p>
        </w:tc>
      </w:tr>
      <w:tr w:rsidR="008F6605" w:rsidRPr="00E7758B" w14:paraId="49C93392" w14:textId="14D7BAC0" w:rsidTr="008F6605">
        <w:trPr>
          <w:jc w:val="center"/>
        </w:trPr>
        <w:tc>
          <w:tcPr>
            <w:tcW w:w="1980" w:type="dxa"/>
          </w:tcPr>
          <w:p w14:paraId="415A463E" w14:textId="77777777"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rPr>
              <w:t>Rustamova M.T.</w:t>
            </w:r>
          </w:p>
        </w:tc>
        <w:tc>
          <w:tcPr>
            <w:tcW w:w="234" w:type="dxa"/>
            <w:vMerge/>
          </w:tcPr>
          <w:p w14:paraId="3F458015" w14:textId="6AD75824" w:rsidR="008F6605" w:rsidRPr="00E7758B" w:rsidRDefault="008F6605" w:rsidP="00240B28">
            <w:pPr>
              <w:spacing w:line="276" w:lineRule="auto"/>
              <w:jc w:val="center"/>
              <w:rPr>
                <w:rFonts w:ascii="Cambria" w:hAnsi="Cambria"/>
                <w:sz w:val="24"/>
                <w:szCs w:val="24"/>
              </w:rPr>
            </w:pPr>
          </w:p>
        </w:tc>
        <w:tc>
          <w:tcPr>
            <w:tcW w:w="2449" w:type="dxa"/>
            <w:tcBorders>
              <w:right w:val="single" w:sz="18" w:space="0" w:color="C45911" w:themeColor="accent2" w:themeShade="BF"/>
            </w:tcBorders>
          </w:tcPr>
          <w:p w14:paraId="684F6B03" w14:textId="6EEFAC7B" w:rsidR="008F6605" w:rsidRPr="008F6605" w:rsidRDefault="008F6605" w:rsidP="00240B28">
            <w:pPr>
              <w:spacing w:line="276" w:lineRule="auto"/>
              <w:rPr>
                <w:rFonts w:ascii="Cambria" w:hAnsi="Cambria"/>
                <w:sz w:val="22"/>
              </w:rPr>
            </w:pPr>
            <w:r w:rsidRPr="008F6605">
              <w:rPr>
                <w:sz w:val="22"/>
              </w:rPr>
              <w:t>professor (Tashkent)</w:t>
            </w:r>
          </w:p>
        </w:tc>
        <w:tc>
          <w:tcPr>
            <w:tcW w:w="2279" w:type="dxa"/>
            <w:tcBorders>
              <w:left w:val="single" w:sz="18" w:space="0" w:color="C45911" w:themeColor="accent2" w:themeShade="BF"/>
            </w:tcBorders>
          </w:tcPr>
          <w:p w14:paraId="7574DA57" w14:textId="152E9194" w:rsidR="008F6605" w:rsidRPr="00E7758B" w:rsidRDefault="008F6605" w:rsidP="00240B28">
            <w:pPr>
              <w:spacing w:line="276" w:lineRule="auto"/>
              <w:jc w:val="right"/>
              <w:rPr>
                <w:rFonts w:ascii="Cambria" w:hAnsi="Cambria"/>
                <w:sz w:val="24"/>
                <w:szCs w:val="24"/>
              </w:rPr>
            </w:pPr>
            <w:r w:rsidRPr="00E7758B">
              <w:rPr>
                <w:rFonts w:ascii="Cambria" w:hAnsi="Cambria"/>
                <w:sz w:val="24"/>
                <w:szCs w:val="24"/>
                <w:lang w:val="de-DE"/>
              </w:rPr>
              <w:t>Chon Xi Kim</w:t>
            </w:r>
          </w:p>
        </w:tc>
        <w:tc>
          <w:tcPr>
            <w:tcW w:w="283" w:type="dxa"/>
            <w:vMerge/>
          </w:tcPr>
          <w:p w14:paraId="6E5C371F" w14:textId="77777777" w:rsidR="008F6605" w:rsidRPr="00E7758B" w:rsidRDefault="008F6605" w:rsidP="00240B28">
            <w:pPr>
              <w:spacing w:line="276" w:lineRule="auto"/>
              <w:rPr>
                <w:rFonts w:ascii="Cambria" w:hAnsi="Cambria"/>
                <w:sz w:val="24"/>
                <w:szCs w:val="24"/>
              </w:rPr>
            </w:pPr>
          </w:p>
        </w:tc>
        <w:tc>
          <w:tcPr>
            <w:tcW w:w="2555" w:type="dxa"/>
          </w:tcPr>
          <w:p w14:paraId="3324095B" w14:textId="37F95C2A" w:rsidR="008F6605" w:rsidRPr="008F6605" w:rsidRDefault="008F6605" w:rsidP="00240B28">
            <w:pPr>
              <w:spacing w:line="276" w:lineRule="auto"/>
              <w:rPr>
                <w:rFonts w:ascii="Cambria" w:hAnsi="Cambria"/>
                <w:sz w:val="24"/>
                <w:szCs w:val="20"/>
              </w:rPr>
            </w:pPr>
            <w:r w:rsidRPr="008F6605">
              <w:rPr>
                <w:sz w:val="24"/>
                <w:szCs w:val="20"/>
              </w:rPr>
              <w:t>PhD (South Korea)</w:t>
            </w:r>
          </w:p>
        </w:tc>
      </w:tr>
    </w:tbl>
    <w:p w14:paraId="02FD0897" w14:textId="33EA02B4" w:rsidR="00CC5612" w:rsidRDefault="00CC5612" w:rsidP="00240B28">
      <w:pPr>
        <w:spacing w:line="276" w:lineRule="auto"/>
        <w:jc w:val="center"/>
        <w:rPr>
          <w:rFonts w:ascii="Cambria" w:hAnsi="Cambria"/>
          <w:sz w:val="24"/>
          <w:szCs w:val="24"/>
          <w:lang w:val="de-DE"/>
        </w:rPr>
      </w:pPr>
    </w:p>
    <w:p w14:paraId="33768DC1" w14:textId="77777777" w:rsidR="00240B28" w:rsidRPr="00E7758B" w:rsidRDefault="00240B28" w:rsidP="00240B28">
      <w:pPr>
        <w:spacing w:line="276" w:lineRule="auto"/>
        <w:jc w:val="center"/>
        <w:rPr>
          <w:rFonts w:ascii="Cambria" w:hAnsi="Cambria"/>
          <w:sz w:val="24"/>
          <w:szCs w:val="24"/>
          <w:lang w:val="de-DE"/>
        </w:rPr>
      </w:pPr>
    </w:p>
    <w:p w14:paraId="314F256F" w14:textId="022ECEF0" w:rsidR="00F327D5" w:rsidRPr="00240B28" w:rsidRDefault="00240B28" w:rsidP="00240B28">
      <w:pPr>
        <w:spacing w:line="276" w:lineRule="auto"/>
        <w:jc w:val="center"/>
        <w:rPr>
          <w:rFonts w:ascii="Cambria" w:hAnsi="Cambria"/>
          <w:b/>
          <w:bCs/>
          <w:color w:val="0070C0"/>
          <w:sz w:val="24"/>
          <w:szCs w:val="24"/>
          <w:lang w:val="de-DE"/>
        </w:rPr>
      </w:pPr>
      <w:r w:rsidRPr="00240B28">
        <w:rPr>
          <w:rFonts w:ascii="Cambria" w:hAnsi="Cambria"/>
          <w:b/>
          <w:bCs/>
          <w:color w:val="0070C0"/>
          <w:sz w:val="24"/>
          <w:szCs w:val="24"/>
          <w:lang w:val="de-DE"/>
        </w:rPr>
        <w:t>EDITOR'S MEMBERS</w:t>
      </w:r>
      <w:r w:rsidR="00F327D5" w:rsidRPr="00240B28">
        <w:rPr>
          <w:rFonts w:ascii="Cambria" w:hAnsi="Cambria"/>
          <w:b/>
          <w:bCs/>
          <w:color w:val="0070C0"/>
          <w:sz w:val="24"/>
          <w:szCs w:val="24"/>
          <w:lang w:val="de-DE"/>
        </w:rPr>
        <w:t xml:space="preserve">: </w:t>
      </w:r>
    </w:p>
    <w:p w14:paraId="501BA471" w14:textId="3E75C876" w:rsidR="00F327D5" w:rsidRDefault="00F327D5" w:rsidP="00240B28">
      <w:pPr>
        <w:spacing w:line="276" w:lineRule="auto"/>
        <w:jc w:val="center"/>
        <w:rPr>
          <w:rFonts w:ascii="Cambria" w:hAnsi="Cambria"/>
          <w:sz w:val="24"/>
          <w:szCs w:val="24"/>
          <w:lang w:val="de-D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gridCol w:w="3113"/>
      </w:tblGrid>
      <w:tr w:rsidR="00F327D5" w14:paraId="2882A87B" w14:textId="77777777" w:rsidTr="0010390C">
        <w:tc>
          <w:tcPr>
            <w:tcW w:w="3114" w:type="dxa"/>
          </w:tcPr>
          <w:p w14:paraId="63F8C134" w14:textId="19C85C34" w:rsidR="00F327D5" w:rsidRDefault="00240B28" w:rsidP="00240B28">
            <w:pPr>
              <w:spacing w:line="276" w:lineRule="auto"/>
              <w:jc w:val="center"/>
              <w:rPr>
                <w:rFonts w:ascii="Cambria" w:hAnsi="Cambria"/>
                <w:sz w:val="24"/>
                <w:szCs w:val="24"/>
                <w:lang w:val="de-DE"/>
              </w:rPr>
            </w:pPr>
            <w:r>
              <w:rPr>
                <w:rFonts w:ascii="Cambria" w:hAnsi="Cambria"/>
                <w:sz w:val="24"/>
                <w:szCs w:val="24"/>
                <w:lang w:val="de-DE"/>
              </w:rPr>
              <w:t>DMSc</w:t>
            </w:r>
            <w:r w:rsidR="00F327D5" w:rsidRPr="00F327D5">
              <w:rPr>
                <w:rFonts w:ascii="Cambria" w:hAnsi="Cambria"/>
                <w:sz w:val="24"/>
                <w:szCs w:val="24"/>
                <w:lang w:val="de-DE"/>
              </w:rPr>
              <w:t>, dotsent Azizova F.L.</w:t>
            </w:r>
          </w:p>
        </w:tc>
        <w:tc>
          <w:tcPr>
            <w:tcW w:w="3402" w:type="dxa"/>
          </w:tcPr>
          <w:p w14:paraId="5918DDFA" w14:textId="5EB953C9" w:rsidR="00F327D5" w:rsidRDefault="00F327D5" w:rsidP="00240B28">
            <w:pPr>
              <w:spacing w:line="276" w:lineRule="auto"/>
              <w:jc w:val="center"/>
              <w:rPr>
                <w:rFonts w:ascii="Cambria" w:hAnsi="Cambria"/>
                <w:sz w:val="24"/>
                <w:szCs w:val="24"/>
                <w:lang w:val="de-DE"/>
              </w:rPr>
            </w:pPr>
            <w:r w:rsidRPr="00F327D5">
              <w:rPr>
                <w:rFonts w:ascii="Cambria" w:hAnsi="Cambria"/>
                <w:sz w:val="24"/>
                <w:szCs w:val="24"/>
                <w:lang w:val="de-DE"/>
              </w:rPr>
              <w:t>professor Azizova F.X.</w:t>
            </w:r>
          </w:p>
        </w:tc>
        <w:tc>
          <w:tcPr>
            <w:tcW w:w="3113" w:type="dxa"/>
          </w:tcPr>
          <w:p w14:paraId="2A08A3DA" w14:textId="15EA56BC" w:rsidR="00F327D5" w:rsidRDefault="00F327D5" w:rsidP="00240B28">
            <w:pPr>
              <w:spacing w:line="276" w:lineRule="auto"/>
              <w:jc w:val="center"/>
              <w:rPr>
                <w:rFonts w:ascii="Cambria" w:hAnsi="Cambria"/>
                <w:sz w:val="24"/>
                <w:szCs w:val="24"/>
                <w:lang w:val="de-DE"/>
              </w:rPr>
            </w:pPr>
            <w:r w:rsidRPr="00F327D5">
              <w:rPr>
                <w:rFonts w:ascii="Cambria" w:hAnsi="Cambria"/>
                <w:sz w:val="24"/>
                <w:szCs w:val="24"/>
                <w:lang w:val="de-DE"/>
              </w:rPr>
              <w:t>professor Allaeva M.J.</w:t>
            </w:r>
          </w:p>
        </w:tc>
      </w:tr>
      <w:tr w:rsidR="00F327D5" w14:paraId="683D7DDC" w14:textId="77777777" w:rsidTr="0010390C">
        <w:tc>
          <w:tcPr>
            <w:tcW w:w="3114" w:type="dxa"/>
          </w:tcPr>
          <w:p w14:paraId="3E22839D" w14:textId="3685FBE7" w:rsidR="00F327D5" w:rsidRPr="00F327D5" w:rsidRDefault="00F327D5" w:rsidP="00240B28">
            <w:pPr>
              <w:spacing w:line="276" w:lineRule="auto"/>
              <w:jc w:val="center"/>
              <w:rPr>
                <w:rFonts w:ascii="Cambria" w:hAnsi="Cambria"/>
                <w:sz w:val="24"/>
                <w:szCs w:val="24"/>
                <w:lang w:val="de-DE"/>
              </w:rPr>
            </w:pPr>
            <w:r w:rsidRPr="00F327D5">
              <w:rPr>
                <w:rFonts w:ascii="Cambria" w:hAnsi="Cambria"/>
                <w:sz w:val="24"/>
                <w:szCs w:val="24"/>
                <w:lang w:val="de-DE"/>
              </w:rPr>
              <w:t>professor Kamilov X.P.</w:t>
            </w:r>
          </w:p>
        </w:tc>
        <w:tc>
          <w:tcPr>
            <w:tcW w:w="3402" w:type="dxa"/>
          </w:tcPr>
          <w:p w14:paraId="4D1FE07F" w14:textId="06D029A4" w:rsidR="00F327D5" w:rsidRPr="00F327D5" w:rsidRDefault="00F327D5" w:rsidP="00240B28">
            <w:pPr>
              <w:spacing w:line="276" w:lineRule="auto"/>
              <w:jc w:val="center"/>
              <w:rPr>
                <w:rFonts w:ascii="Cambria" w:hAnsi="Cambria"/>
                <w:sz w:val="24"/>
                <w:szCs w:val="24"/>
                <w:lang w:val="de-DE"/>
              </w:rPr>
            </w:pPr>
            <w:r w:rsidRPr="00F327D5">
              <w:rPr>
                <w:rFonts w:ascii="Cambria" w:hAnsi="Cambria"/>
                <w:sz w:val="24"/>
                <w:szCs w:val="24"/>
                <w:lang w:val="de-DE"/>
              </w:rPr>
              <w:t>professor Karimjonov I.A.</w:t>
            </w:r>
          </w:p>
        </w:tc>
        <w:tc>
          <w:tcPr>
            <w:tcW w:w="3113" w:type="dxa"/>
          </w:tcPr>
          <w:p w14:paraId="5AF44665" w14:textId="5A0E1D2C" w:rsidR="00F327D5" w:rsidRPr="00F327D5" w:rsidRDefault="00F327D5" w:rsidP="00240B28">
            <w:pPr>
              <w:spacing w:line="276" w:lineRule="auto"/>
              <w:jc w:val="center"/>
              <w:rPr>
                <w:rFonts w:ascii="Cambria" w:hAnsi="Cambria"/>
                <w:sz w:val="24"/>
                <w:szCs w:val="24"/>
                <w:lang w:val="de-DE"/>
              </w:rPr>
            </w:pPr>
            <w:r w:rsidRPr="00F327D5">
              <w:rPr>
                <w:rFonts w:ascii="Cambria" w:hAnsi="Cambria"/>
                <w:sz w:val="24"/>
                <w:szCs w:val="24"/>
                <w:lang w:val="it-IT"/>
              </w:rPr>
              <w:t>professor Karimova M.X.</w:t>
            </w:r>
          </w:p>
        </w:tc>
      </w:tr>
      <w:tr w:rsidR="00F327D5" w:rsidRPr="00645554" w14:paraId="0CA628BA" w14:textId="77777777" w:rsidTr="0010390C">
        <w:tc>
          <w:tcPr>
            <w:tcW w:w="3114" w:type="dxa"/>
          </w:tcPr>
          <w:p w14:paraId="736E0CED" w14:textId="4D1D8B8F" w:rsidR="00F327D5" w:rsidRPr="00F327D5" w:rsidRDefault="00240B28" w:rsidP="00240B28">
            <w:pPr>
              <w:spacing w:line="276" w:lineRule="auto"/>
              <w:jc w:val="center"/>
              <w:rPr>
                <w:rFonts w:ascii="Cambria" w:hAnsi="Cambria"/>
                <w:sz w:val="24"/>
                <w:szCs w:val="24"/>
                <w:lang w:val="es-MX"/>
              </w:rPr>
            </w:pPr>
            <w:r>
              <w:rPr>
                <w:rFonts w:ascii="Cambria" w:hAnsi="Cambria"/>
                <w:sz w:val="24"/>
                <w:szCs w:val="24"/>
                <w:lang w:val="es-MX"/>
              </w:rPr>
              <w:t>DMSc</w:t>
            </w:r>
            <w:r w:rsidR="00F327D5" w:rsidRPr="00F327D5">
              <w:rPr>
                <w:rFonts w:ascii="Cambria" w:hAnsi="Cambria"/>
                <w:sz w:val="24"/>
                <w:szCs w:val="24"/>
                <w:lang w:val="es-MX"/>
              </w:rPr>
              <w:t xml:space="preserve"> Nabieva D.A.</w:t>
            </w:r>
          </w:p>
        </w:tc>
        <w:tc>
          <w:tcPr>
            <w:tcW w:w="3402" w:type="dxa"/>
          </w:tcPr>
          <w:p w14:paraId="5FF2E2C5" w14:textId="7ADA2BAD"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lang w:val="es-MX"/>
              </w:rPr>
              <w:t>professor Nadjmutdinova D.K.</w:t>
            </w:r>
          </w:p>
        </w:tc>
        <w:tc>
          <w:tcPr>
            <w:tcW w:w="3113" w:type="dxa"/>
          </w:tcPr>
          <w:p w14:paraId="03F29761" w14:textId="6A8207A2" w:rsidR="00F327D5" w:rsidRPr="00F327D5" w:rsidRDefault="00240B28" w:rsidP="00240B28">
            <w:pPr>
              <w:spacing w:line="276" w:lineRule="auto"/>
              <w:jc w:val="center"/>
              <w:rPr>
                <w:rFonts w:ascii="Cambria" w:hAnsi="Cambria"/>
                <w:sz w:val="24"/>
                <w:szCs w:val="24"/>
                <w:lang w:val="es-MX"/>
              </w:rPr>
            </w:pPr>
            <w:r>
              <w:rPr>
                <w:rFonts w:ascii="Cambria" w:hAnsi="Cambria"/>
                <w:sz w:val="24"/>
                <w:szCs w:val="24"/>
                <w:lang w:val="es-MX"/>
              </w:rPr>
              <w:t>DMSc</w:t>
            </w:r>
            <w:r w:rsidR="00F327D5" w:rsidRPr="00F327D5">
              <w:rPr>
                <w:rFonts w:ascii="Cambria" w:hAnsi="Cambria"/>
                <w:sz w:val="24"/>
                <w:szCs w:val="24"/>
                <w:lang w:val="es-MX"/>
              </w:rPr>
              <w:t xml:space="preserve"> Nurillaeva N.M.</w:t>
            </w:r>
          </w:p>
        </w:tc>
      </w:tr>
      <w:tr w:rsidR="00F327D5" w:rsidRPr="00F327D5" w14:paraId="61943E2A" w14:textId="77777777" w:rsidTr="0010390C">
        <w:tc>
          <w:tcPr>
            <w:tcW w:w="3114" w:type="dxa"/>
          </w:tcPr>
          <w:p w14:paraId="227744F0" w14:textId="017FC119"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lang w:val="es-MX"/>
              </w:rPr>
              <w:t xml:space="preserve">professor Teshaev </w:t>
            </w:r>
            <w:r w:rsidRPr="00F327D5">
              <w:rPr>
                <w:rFonts w:ascii="Cambria" w:hAnsi="Cambria"/>
                <w:sz w:val="24"/>
                <w:szCs w:val="24"/>
                <w:lang w:val="de-DE"/>
              </w:rPr>
              <w:t>O.R.</w:t>
            </w:r>
          </w:p>
        </w:tc>
        <w:tc>
          <w:tcPr>
            <w:tcW w:w="3402" w:type="dxa"/>
          </w:tcPr>
          <w:p w14:paraId="549C810E" w14:textId="1ECA8768"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lang w:val="es-MX"/>
              </w:rPr>
              <w:t>professor Xaydarov N.K.</w:t>
            </w:r>
          </w:p>
        </w:tc>
        <w:tc>
          <w:tcPr>
            <w:tcW w:w="3113" w:type="dxa"/>
          </w:tcPr>
          <w:p w14:paraId="130FD612" w14:textId="196BCC36"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rPr>
              <w:t>professor Xakimov M.SH.</w:t>
            </w:r>
          </w:p>
        </w:tc>
      </w:tr>
      <w:tr w:rsidR="00F327D5" w:rsidRPr="00F327D5" w14:paraId="0C931BE7" w14:textId="77777777" w:rsidTr="0010390C">
        <w:tc>
          <w:tcPr>
            <w:tcW w:w="3114" w:type="dxa"/>
          </w:tcPr>
          <w:p w14:paraId="5088EDBE" w14:textId="1D1F8EE3"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rPr>
              <w:t>professor Xasanov U.S.</w:t>
            </w:r>
          </w:p>
        </w:tc>
        <w:tc>
          <w:tcPr>
            <w:tcW w:w="3402" w:type="dxa"/>
          </w:tcPr>
          <w:p w14:paraId="3015730F" w14:textId="5AB9687C" w:rsidR="00F327D5" w:rsidRPr="00F327D5" w:rsidRDefault="00240B28" w:rsidP="00240B28">
            <w:pPr>
              <w:spacing w:line="276" w:lineRule="auto"/>
              <w:jc w:val="center"/>
              <w:rPr>
                <w:rFonts w:ascii="Cambria" w:hAnsi="Cambria"/>
                <w:sz w:val="24"/>
                <w:szCs w:val="24"/>
                <w:lang w:val="es-MX"/>
              </w:rPr>
            </w:pPr>
            <w:r>
              <w:rPr>
                <w:rFonts w:ascii="Cambria" w:hAnsi="Cambria"/>
                <w:sz w:val="24"/>
                <w:szCs w:val="24"/>
                <w:lang w:val="es-MX"/>
              </w:rPr>
              <w:t>DMSc</w:t>
            </w:r>
            <w:r w:rsidR="00F327D5" w:rsidRPr="00F327D5">
              <w:rPr>
                <w:rFonts w:ascii="Cambria" w:hAnsi="Cambria"/>
                <w:sz w:val="24"/>
                <w:szCs w:val="24"/>
                <w:lang w:val="es-MX"/>
              </w:rPr>
              <w:t xml:space="preserve"> Xudoyqulova G.K.</w:t>
            </w:r>
          </w:p>
        </w:tc>
        <w:tc>
          <w:tcPr>
            <w:tcW w:w="3113" w:type="dxa"/>
          </w:tcPr>
          <w:p w14:paraId="41EBC28B" w14:textId="79978670" w:rsidR="00F327D5" w:rsidRPr="00F327D5" w:rsidRDefault="00F327D5" w:rsidP="00240B28">
            <w:pPr>
              <w:spacing w:line="276" w:lineRule="auto"/>
              <w:jc w:val="center"/>
              <w:rPr>
                <w:rFonts w:ascii="Cambria" w:hAnsi="Cambria"/>
                <w:sz w:val="24"/>
                <w:szCs w:val="24"/>
                <w:lang w:val="es-MX"/>
              </w:rPr>
            </w:pPr>
            <w:r w:rsidRPr="00F327D5">
              <w:rPr>
                <w:rFonts w:ascii="Cambria" w:hAnsi="Cambria"/>
                <w:sz w:val="24"/>
                <w:szCs w:val="24"/>
                <w:lang w:val="it-IT"/>
              </w:rPr>
              <w:t>professor Ermatov N.J.</w:t>
            </w:r>
          </w:p>
        </w:tc>
      </w:tr>
    </w:tbl>
    <w:p w14:paraId="47981EA6" w14:textId="3A172BB2" w:rsidR="00F327D5" w:rsidRDefault="00F327D5" w:rsidP="00240B28">
      <w:pPr>
        <w:spacing w:line="276" w:lineRule="auto"/>
        <w:jc w:val="center"/>
        <w:rPr>
          <w:rFonts w:ascii="Cambria" w:hAnsi="Cambria"/>
          <w:sz w:val="24"/>
          <w:szCs w:val="24"/>
          <w:lang w:val="es-MX"/>
        </w:rPr>
      </w:pPr>
    </w:p>
    <w:p w14:paraId="25F411CD" w14:textId="1F5B998D" w:rsidR="00240B28" w:rsidRDefault="00240B28" w:rsidP="00240B28">
      <w:pPr>
        <w:spacing w:line="276" w:lineRule="auto"/>
        <w:jc w:val="center"/>
        <w:rPr>
          <w:rFonts w:ascii="Cambria" w:hAnsi="Cambria"/>
          <w:sz w:val="24"/>
          <w:szCs w:val="24"/>
          <w:lang w:val="es-MX"/>
        </w:rPr>
      </w:pPr>
    </w:p>
    <w:p w14:paraId="181E72EB" w14:textId="77777777" w:rsidR="00240B28" w:rsidRPr="00F327D5" w:rsidRDefault="00240B28" w:rsidP="00240B28">
      <w:pPr>
        <w:spacing w:line="276" w:lineRule="auto"/>
        <w:jc w:val="center"/>
        <w:rPr>
          <w:rFonts w:ascii="Cambria" w:hAnsi="Cambria"/>
          <w:sz w:val="24"/>
          <w:szCs w:val="24"/>
          <w:lang w:val="es-MX"/>
        </w:rPr>
      </w:pPr>
    </w:p>
    <w:p w14:paraId="2519409B" w14:textId="76D41299" w:rsidR="005144B8" w:rsidRPr="00481AAB" w:rsidRDefault="00EF66F6" w:rsidP="00240B28">
      <w:pPr>
        <w:spacing w:line="276" w:lineRule="auto"/>
        <w:ind w:left="4536"/>
        <w:rPr>
          <w:rFonts w:ascii="Cambria" w:hAnsi="Cambria"/>
          <w:b/>
          <w:bCs/>
          <w:sz w:val="20"/>
          <w:szCs w:val="20"/>
          <w:lang w:val="es-MX"/>
        </w:rPr>
      </w:pPr>
      <w:r w:rsidRPr="00EF66F6">
        <w:rPr>
          <w:rFonts w:ascii="Cambria" w:hAnsi="Cambria"/>
          <w:b/>
          <w:bCs/>
          <w:sz w:val="20"/>
          <w:szCs w:val="20"/>
          <w:lang w:val="es-MX"/>
        </w:rPr>
        <w:t>Editorial address</w:t>
      </w:r>
      <w:r w:rsidR="005144B8" w:rsidRPr="00481AAB">
        <w:rPr>
          <w:rFonts w:ascii="Cambria" w:hAnsi="Cambria"/>
          <w:b/>
          <w:bCs/>
          <w:sz w:val="20"/>
          <w:szCs w:val="20"/>
          <w:lang w:val="es-MX"/>
        </w:rPr>
        <w:t>:</w:t>
      </w:r>
    </w:p>
    <w:p w14:paraId="3BEC23EA" w14:textId="191FB074" w:rsidR="00F04407" w:rsidRDefault="00AF5EDA" w:rsidP="00240B28">
      <w:pPr>
        <w:spacing w:line="276" w:lineRule="auto"/>
        <w:ind w:left="4536"/>
        <w:rPr>
          <w:rFonts w:ascii="Cambria" w:hAnsi="Cambria"/>
          <w:sz w:val="20"/>
          <w:szCs w:val="20"/>
        </w:rPr>
      </w:pPr>
      <w:r w:rsidRPr="00AE3627">
        <w:rPr>
          <w:rFonts w:ascii="Cambria" w:hAnsi="Cambria"/>
          <w:noProof/>
          <w:color w:val="006600"/>
          <w:sz w:val="32"/>
          <w:szCs w:val="24"/>
          <w:lang w:val="it-IT"/>
        </w:rPr>
        <mc:AlternateContent>
          <mc:Choice Requires="wps">
            <w:drawing>
              <wp:anchor distT="0" distB="0" distL="114300" distR="114300" simplePos="0" relativeHeight="251702272" behindDoc="0" locked="0" layoutInCell="1" allowOverlap="1" wp14:anchorId="33774C6C" wp14:editId="7FF7ABD0">
                <wp:simplePos x="0" y="0"/>
                <wp:positionH relativeFrom="margin">
                  <wp:align>center</wp:align>
                </wp:positionH>
                <wp:positionV relativeFrom="paragraph">
                  <wp:posOffset>996834</wp:posOffset>
                </wp:positionV>
                <wp:extent cx="6464300" cy="495300"/>
                <wp:effectExtent l="0" t="0" r="12700" b="19050"/>
                <wp:wrapNone/>
                <wp:docPr id="6" name="Прямоугольник 6"/>
                <wp:cNvGraphicFramePr/>
                <a:graphic xmlns:a="http://schemas.openxmlformats.org/drawingml/2006/main">
                  <a:graphicData uri="http://schemas.microsoft.com/office/word/2010/wordprocessingShape">
                    <wps:wsp>
                      <wps:cNvSpPr/>
                      <wps:spPr>
                        <a:xfrm>
                          <a:off x="0" y="0"/>
                          <a:ext cx="64643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89666" id="Прямоугольник 6" o:spid="_x0000_s1026" style="position:absolute;margin-left:0;margin-top:78.5pt;width:509pt;height:39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" fillcolor="white [3212]" strokecolor="white [3212]" strokeweight="1pt">
                <w10:wrap anchorx="margin"/>
              </v:rect>
            </w:pict>
          </mc:Fallback>
        </mc:AlternateContent>
      </w:r>
      <w:r w:rsidR="00481AAB" w:rsidRPr="00EF66F6">
        <w:rPr>
          <w:rFonts w:ascii="Cambria" w:hAnsi="Cambria"/>
          <w:sz w:val="20"/>
          <w:szCs w:val="20"/>
        </w:rPr>
        <w:t xml:space="preserve">Tashkent Medical Academy 100109, Tashkent, Uzbekistan </w:t>
      </w:r>
      <w:r w:rsidR="00EF66F6" w:rsidRPr="00EF66F6">
        <w:rPr>
          <w:rFonts w:ascii="Cambria" w:hAnsi="Cambria"/>
          <w:sz w:val="20"/>
          <w:szCs w:val="20"/>
        </w:rPr>
        <w:t xml:space="preserve">Almazar district, </w:t>
      </w:r>
      <w:r w:rsidR="00481AAB" w:rsidRPr="00EF66F6">
        <w:rPr>
          <w:rFonts w:ascii="Cambria" w:hAnsi="Cambria"/>
          <w:sz w:val="20"/>
          <w:szCs w:val="20"/>
        </w:rPr>
        <w:t>Farabi street 2</w:t>
      </w:r>
      <w:r w:rsidR="00B20AD8" w:rsidRPr="00EF66F6">
        <w:rPr>
          <w:rFonts w:ascii="Cambria" w:hAnsi="Cambria"/>
          <w:sz w:val="20"/>
          <w:szCs w:val="20"/>
        </w:rPr>
        <w:t>, tel.: +99878-150-7825, fax: +998 78 1507828, email:</w:t>
      </w:r>
      <w:r w:rsidR="00E0463D" w:rsidRPr="00EF66F6">
        <w:rPr>
          <w:rFonts w:ascii="Cambria" w:hAnsi="Cambria"/>
          <w:sz w:val="20"/>
          <w:szCs w:val="20"/>
        </w:rPr>
        <w:t xml:space="preserve"> </w:t>
      </w:r>
      <w:hyperlink r:id="rId12" w:history="1">
        <w:r w:rsidR="00500C3F" w:rsidRPr="0032046E">
          <w:rPr>
            <w:rStyle w:val="a3"/>
            <w:rFonts w:ascii="Cambria" w:hAnsi="Cambria"/>
            <w:sz w:val="20"/>
            <w:szCs w:val="20"/>
          </w:rPr>
          <w:t>mjys.tma@gmail.com</w:t>
        </w:r>
      </w:hyperlink>
    </w:p>
    <w:p w14:paraId="1FBB36F3" w14:textId="6D9D1BE7" w:rsidR="00500C3F" w:rsidRDefault="00500C3F" w:rsidP="00240B28">
      <w:pPr>
        <w:spacing w:line="276" w:lineRule="auto"/>
        <w:ind w:left="4536"/>
        <w:rPr>
          <w:rFonts w:ascii="Cambria" w:hAnsi="Cambria"/>
          <w:sz w:val="20"/>
          <w:szCs w:val="20"/>
        </w:rPr>
      </w:pPr>
    </w:p>
    <w:p w14:paraId="3F446FAB" w14:textId="3F7CCB9D" w:rsidR="00500C3F" w:rsidRDefault="00500C3F" w:rsidP="00240B28">
      <w:pPr>
        <w:spacing w:line="276" w:lineRule="auto"/>
        <w:ind w:left="4536"/>
        <w:rPr>
          <w:rFonts w:ascii="Cambria" w:hAnsi="Cambria"/>
          <w:sz w:val="20"/>
          <w:szCs w:val="20"/>
        </w:rPr>
      </w:pPr>
    </w:p>
    <w:p w14:paraId="319C0D5E" w14:textId="4AB9A5FD" w:rsidR="00500C3F" w:rsidRDefault="00500C3F" w:rsidP="00240B28">
      <w:pPr>
        <w:spacing w:line="276" w:lineRule="auto"/>
        <w:ind w:left="4536"/>
        <w:rPr>
          <w:rFonts w:ascii="Cambria" w:hAnsi="Cambria"/>
          <w:sz w:val="20"/>
          <w:szCs w:val="20"/>
        </w:rPr>
      </w:pPr>
    </w:p>
    <w:p w14:paraId="4F21C8C1" w14:textId="5E1F78E4" w:rsidR="00500C3F" w:rsidRDefault="00500C3F" w:rsidP="00240B28">
      <w:pPr>
        <w:spacing w:line="276" w:lineRule="auto"/>
        <w:ind w:left="4536"/>
        <w:rPr>
          <w:rFonts w:ascii="Cambria" w:hAnsi="Cambria"/>
          <w:sz w:val="20"/>
          <w:szCs w:val="20"/>
        </w:rPr>
      </w:pPr>
    </w:p>
    <w:p w14:paraId="7D77F2A4" w14:textId="122A0A02" w:rsidR="00500C3F" w:rsidRPr="00794C73" w:rsidRDefault="00500C3F" w:rsidP="00500C3F">
      <w:pPr>
        <w:spacing w:line="360" w:lineRule="auto"/>
        <w:ind w:firstLine="567"/>
        <w:jc w:val="both"/>
        <w:rPr>
          <w:rFonts w:cs="Times New Roman"/>
          <w:b/>
          <w:bCs/>
          <w:sz w:val="24"/>
          <w:szCs w:val="20"/>
        </w:rPr>
      </w:pPr>
      <w:r>
        <w:rPr>
          <w:rFonts w:cs="Times New Roman"/>
          <w:b/>
          <w:bCs/>
          <w:noProof/>
          <w:lang w:val="ru-RU"/>
        </w:rPr>
        <w:drawing>
          <wp:anchor distT="0" distB="0" distL="114300" distR="114300" simplePos="0" relativeHeight="251715584" behindDoc="0" locked="0" layoutInCell="1" allowOverlap="1" wp14:anchorId="508D0EDE" wp14:editId="4E804785">
            <wp:simplePos x="0" y="0"/>
            <wp:positionH relativeFrom="margin">
              <wp:posOffset>3679190</wp:posOffset>
            </wp:positionH>
            <wp:positionV relativeFrom="margin">
              <wp:posOffset>270510</wp:posOffset>
            </wp:positionV>
            <wp:extent cx="2444115" cy="3937000"/>
            <wp:effectExtent l="0" t="0" r="0" b="635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4411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C73">
        <w:rPr>
          <w:rFonts w:cs="Times New Roman"/>
          <w:sz w:val="24"/>
          <w:szCs w:val="20"/>
        </w:rPr>
        <w:t xml:space="preserve">I would like cordially welcome the readers, authors and publishers of the new journal </w:t>
      </w:r>
      <w:r>
        <w:rPr>
          <w:rFonts w:cs="Times New Roman"/>
          <w:b/>
          <w:bCs/>
          <w:sz w:val="24"/>
          <w:szCs w:val="20"/>
        </w:rPr>
        <w:t>“</w:t>
      </w:r>
      <w:r w:rsidR="000C1725" w:rsidRPr="00794C73">
        <w:rPr>
          <w:rFonts w:cs="Times New Roman"/>
          <w:b/>
          <w:bCs/>
          <w:sz w:val="24"/>
          <w:szCs w:val="20"/>
        </w:rPr>
        <w:t>Medical Journal</w:t>
      </w:r>
      <w:r w:rsidRPr="00794C73">
        <w:rPr>
          <w:rFonts w:cs="Times New Roman"/>
          <w:b/>
          <w:bCs/>
          <w:sz w:val="24"/>
          <w:szCs w:val="20"/>
        </w:rPr>
        <w:t xml:space="preserve"> of Young Scientists</w:t>
      </w:r>
      <w:r>
        <w:rPr>
          <w:rFonts w:cs="Times New Roman"/>
          <w:b/>
          <w:bCs/>
          <w:sz w:val="24"/>
          <w:szCs w:val="20"/>
        </w:rPr>
        <w:t>”</w:t>
      </w:r>
      <w:r w:rsidRPr="00794C73">
        <w:rPr>
          <w:rFonts w:cs="Times New Roman"/>
          <w:b/>
          <w:bCs/>
          <w:sz w:val="24"/>
          <w:szCs w:val="20"/>
        </w:rPr>
        <w:t>.</w:t>
      </w:r>
    </w:p>
    <w:p w14:paraId="7DA4821F" w14:textId="77777777" w:rsidR="00500C3F" w:rsidRDefault="00500C3F" w:rsidP="00500C3F">
      <w:pPr>
        <w:spacing w:line="360" w:lineRule="auto"/>
        <w:ind w:firstLine="567"/>
        <w:jc w:val="both"/>
        <w:rPr>
          <w:rFonts w:cs="Times New Roman"/>
          <w:sz w:val="24"/>
          <w:szCs w:val="20"/>
        </w:rPr>
      </w:pPr>
    </w:p>
    <w:p w14:paraId="2B20EBE7" w14:textId="77777777" w:rsidR="00500C3F" w:rsidRPr="00794C73" w:rsidRDefault="00500C3F" w:rsidP="00500C3F">
      <w:pPr>
        <w:spacing w:line="360" w:lineRule="auto"/>
        <w:ind w:firstLine="567"/>
        <w:jc w:val="both"/>
        <w:rPr>
          <w:rFonts w:cs="Times New Roman"/>
          <w:sz w:val="24"/>
          <w:szCs w:val="20"/>
        </w:rPr>
      </w:pPr>
      <w:r w:rsidRPr="00794C73">
        <w:rPr>
          <w:rFonts w:cs="Times New Roman"/>
          <w:sz w:val="24"/>
          <w:szCs w:val="20"/>
        </w:rPr>
        <w:t xml:space="preserve">Since the first years of its existence, the Tashkent Medical Academy has been training highly qualified medical personnel. Moreover, today this direction remains the main one. The content of the training has changed qualitatively. The world is changing rapidly today. In Uzbekistan, there is an urgent need for the formation of medicine – knowledge, leadership and innovation, which is based on the integration of both education, science and medicine. </w:t>
      </w:r>
    </w:p>
    <w:p w14:paraId="2906D483" w14:textId="77777777" w:rsidR="00500C3F" w:rsidRPr="00794C73" w:rsidRDefault="00500C3F" w:rsidP="00500C3F">
      <w:pPr>
        <w:spacing w:line="360" w:lineRule="auto"/>
        <w:ind w:firstLine="567"/>
        <w:jc w:val="both"/>
        <w:rPr>
          <w:rFonts w:cs="Times New Roman"/>
          <w:sz w:val="24"/>
          <w:szCs w:val="20"/>
        </w:rPr>
      </w:pPr>
      <w:r w:rsidRPr="00794C73">
        <w:rPr>
          <w:rFonts w:cs="Times New Roman"/>
          <w:sz w:val="24"/>
          <w:szCs w:val="20"/>
        </w:rPr>
        <w:t xml:space="preserve">Having completed fundamental professional training at TMA, the student becomes a highly qualified specialist. A wide profile of training, acquired practical skills allow him to constantly improve in the course of his work and master additional specialties. </w:t>
      </w:r>
    </w:p>
    <w:p w14:paraId="06136608" w14:textId="77777777" w:rsidR="00500C3F" w:rsidRPr="00794C73" w:rsidRDefault="00500C3F" w:rsidP="00500C3F">
      <w:pPr>
        <w:spacing w:line="360" w:lineRule="auto"/>
        <w:ind w:firstLine="567"/>
        <w:jc w:val="both"/>
        <w:rPr>
          <w:rFonts w:cs="Times New Roman"/>
          <w:sz w:val="24"/>
          <w:szCs w:val="20"/>
        </w:rPr>
      </w:pPr>
      <w:r w:rsidRPr="00794C73">
        <w:rPr>
          <w:rFonts w:cs="Times New Roman"/>
          <w:sz w:val="24"/>
          <w:szCs w:val="20"/>
        </w:rPr>
        <w:t>The main purpose of the scientific journal is to study the intellectual potential of young people, analyze and systematize scientific achievements in the field of medicine. The journal will present both the results of experimental studies and publications on clinical topics in various fields: therapy, surgery, pediatrics, endocrinology, neurology, obstetrics, hygiene, social medicine and health management.</w:t>
      </w:r>
    </w:p>
    <w:p w14:paraId="313DFC7A" w14:textId="77777777" w:rsidR="00500C3F" w:rsidRPr="00794C73" w:rsidRDefault="00500C3F" w:rsidP="00500C3F">
      <w:pPr>
        <w:spacing w:line="360" w:lineRule="auto"/>
        <w:ind w:firstLine="567"/>
        <w:jc w:val="both"/>
        <w:rPr>
          <w:rFonts w:cs="Times New Roman"/>
          <w:sz w:val="24"/>
          <w:szCs w:val="20"/>
        </w:rPr>
      </w:pPr>
      <w:r w:rsidRPr="00794C73">
        <w:rPr>
          <w:rFonts w:cs="Times New Roman"/>
          <w:sz w:val="24"/>
          <w:szCs w:val="20"/>
        </w:rPr>
        <w:t>Current issues of modern medicine will be published in the materials. Tashkent Medical Academy opens up wide opportunities for everyone who crosses its threshold. The TMA is for those who believe in themselves and strive for success.</w:t>
      </w:r>
    </w:p>
    <w:p w14:paraId="320B974F" w14:textId="77777777" w:rsidR="00500C3F" w:rsidRPr="00794C73" w:rsidRDefault="00500C3F" w:rsidP="00500C3F">
      <w:pPr>
        <w:spacing w:line="360" w:lineRule="auto"/>
        <w:ind w:firstLine="567"/>
        <w:jc w:val="both"/>
        <w:rPr>
          <w:rFonts w:cs="Times New Roman"/>
          <w:sz w:val="24"/>
          <w:szCs w:val="20"/>
        </w:rPr>
      </w:pPr>
      <w:r w:rsidRPr="00794C73">
        <w:rPr>
          <w:rFonts w:cs="Times New Roman"/>
          <w:sz w:val="24"/>
          <w:szCs w:val="20"/>
        </w:rPr>
        <w:t>I wish all enrollees, students, postgraduates, professors and staff of TMA successful implementation of their goals, creative success in their studies and work, new achievements for the benefit of medicine.</w:t>
      </w:r>
    </w:p>
    <w:p w14:paraId="01B87404" w14:textId="77777777" w:rsidR="00500C3F" w:rsidRDefault="00500C3F" w:rsidP="00500C3F">
      <w:pPr>
        <w:spacing w:line="360" w:lineRule="auto"/>
        <w:ind w:firstLine="567"/>
        <w:jc w:val="both"/>
        <w:rPr>
          <w:rFonts w:cs="Times New Roman"/>
          <w:sz w:val="24"/>
          <w:szCs w:val="20"/>
        </w:rPr>
      </w:pPr>
    </w:p>
    <w:p w14:paraId="1C47676A" w14:textId="77777777" w:rsidR="00500C3F" w:rsidRPr="00794C73" w:rsidRDefault="00500C3F" w:rsidP="00500C3F">
      <w:pPr>
        <w:spacing w:line="360" w:lineRule="auto"/>
        <w:ind w:firstLine="567"/>
        <w:jc w:val="both"/>
        <w:rPr>
          <w:rFonts w:cs="Times New Roman"/>
          <w:sz w:val="24"/>
          <w:szCs w:val="20"/>
        </w:rPr>
      </w:pPr>
    </w:p>
    <w:p w14:paraId="7A571C8E" w14:textId="77777777" w:rsidR="00500C3F" w:rsidRPr="00794C73" w:rsidRDefault="00500C3F" w:rsidP="00500C3F">
      <w:pPr>
        <w:spacing w:line="360" w:lineRule="auto"/>
        <w:ind w:firstLine="567"/>
        <w:jc w:val="both"/>
        <w:rPr>
          <w:rFonts w:cs="Times New Roman"/>
          <w:b/>
          <w:bCs/>
          <w:sz w:val="24"/>
          <w:szCs w:val="20"/>
        </w:rPr>
      </w:pPr>
      <w:r w:rsidRPr="00794C73">
        <w:rPr>
          <w:rFonts w:cs="Times New Roman"/>
          <w:b/>
          <w:bCs/>
          <w:sz w:val="24"/>
          <w:szCs w:val="20"/>
        </w:rPr>
        <w:t xml:space="preserve">Rector of Tashkent Medical Academy, </w:t>
      </w:r>
    </w:p>
    <w:p w14:paraId="7AEF7CA0" w14:textId="77777777" w:rsidR="00500C3F" w:rsidRPr="00794C73" w:rsidRDefault="00500C3F" w:rsidP="00500C3F">
      <w:pPr>
        <w:spacing w:line="360" w:lineRule="auto"/>
        <w:ind w:firstLine="567"/>
        <w:jc w:val="both"/>
        <w:rPr>
          <w:rFonts w:cs="Times New Roman"/>
          <w:b/>
          <w:bCs/>
          <w:sz w:val="24"/>
          <w:szCs w:val="20"/>
        </w:rPr>
      </w:pPr>
      <w:r w:rsidRPr="00794C73">
        <w:rPr>
          <w:rFonts w:cs="Times New Roman"/>
          <w:b/>
          <w:bCs/>
          <w:sz w:val="24"/>
          <w:szCs w:val="20"/>
        </w:rPr>
        <w:t xml:space="preserve">Doctor of Medical Sciences                </w:t>
      </w:r>
      <w:r w:rsidRPr="006715E0">
        <w:rPr>
          <w:rFonts w:cs="Times New Roman"/>
          <w:b/>
          <w:bCs/>
          <w:sz w:val="24"/>
          <w:szCs w:val="20"/>
        </w:rPr>
        <w:t xml:space="preserve"> </w:t>
      </w:r>
      <w:r w:rsidRPr="00794C73">
        <w:rPr>
          <w:rFonts w:cs="Times New Roman"/>
          <w:b/>
          <w:bCs/>
          <w:sz w:val="24"/>
          <w:szCs w:val="20"/>
        </w:rPr>
        <w:t xml:space="preserve">   A.K.Shadmanov</w:t>
      </w:r>
    </w:p>
    <w:p w14:paraId="786DA86E" w14:textId="21E3697E" w:rsidR="00500C3F" w:rsidRDefault="00500C3F" w:rsidP="00240B28">
      <w:pPr>
        <w:spacing w:line="276" w:lineRule="auto"/>
        <w:ind w:left="4536"/>
        <w:rPr>
          <w:rFonts w:ascii="Cambria" w:hAnsi="Cambria"/>
          <w:sz w:val="20"/>
          <w:szCs w:val="20"/>
        </w:rPr>
      </w:pPr>
    </w:p>
    <w:p w14:paraId="2C52BF0C" w14:textId="2A44903C" w:rsidR="00500C3F" w:rsidRDefault="00500C3F" w:rsidP="00240B28">
      <w:pPr>
        <w:spacing w:line="276" w:lineRule="auto"/>
        <w:ind w:left="4536"/>
        <w:rPr>
          <w:rFonts w:ascii="Cambria" w:hAnsi="Cambria"/>
          <w:sz w:val="24"/>
          <w:szCs w:val="20"/>
        </w:rPr>
      </w:pPr>
    </w:p>
    <w:p w14:paraId="235E1C40" w14:textId="6C6E7D8B" w:rsidR="00500C3F" w:rsidRDefault="00500C3F" w:rsidP="00240B28">
      <w:pPr>
        <w:spacing w:line="276" w:lineRule="auto"/>
        <w:ind w:left="4536"/>
        <w:rPr>
          <w:rFonts w:ascii="Cambria" w:hAnsi="Cambria"/>
          <w:sz w:val="24"/>
          <w:szCs w:val="20"/>
        </w:rPr>
      </w:pPr>
    </w:p>
    <w:p w14:paraId="65D32379" w14:textId="7004BB09" w:rsidR="00500C3F" w:rsidRDefault="00500C3F" w:rsidP="00240B28">
      <w:pPr>
        <w:spacing w:line="276" w:lineRule="auto"/>
        <w:ind w:left="4536"/>
        <w:rPr>
          <w:rFonts w:ascii="Cambria" w:hAnsi="Cambria"/>
          <w:sz w:val="24"/>
          <w:szCs w:val="20"/>
        </w:rPr>
      </w:pPr>
    </w:p>
    <w:p w14:paraId="00883F8F" w14:textId="05FB0B06" w:rsidR="00500C3F" w:rsidRDefault="00500C3F" w:rsidP="00240B28">
      <w:pPr>
        <w:spacing w:line="276" w:lineRule="auto"/>
        <w:ind w:left="4536"/>
        <w:rPr>
          <w:rFonts w:ascii="Cambria" w:hAnsi="Cambria"/>
          <w:sz w:val="24"/>
          <w:szCs w:val="20"/>
        </w:rPr>
      </w:pPr>
    </w:p>
    <w:p w14:paraId="0AE28FE5" w14:textId="30B6F155" w:rsidR="00500C3F" w:rsidRDefault="00500C3F" w:rsidP="00240B28">
      <w:pPr>
        <w:spacing w:line="276" w:lineRule="auto"/>
        <w:ind w:left="4536"/>
        <w:rPr>
          <w:rFonts w:ascii="Cambria" w:hAnsi="Cambria"/>
          <w:sz w:val="24"/>
          <w:szCs w:val="20"/>
        </w:rPr>
      </w:pPr>
    </w:p>
    <w:p w14:paraId="755519BB" w14:textId="5CC914C4" w:rsidR="00500C3F" w:rsidRDefault="00500C3F" w:rsidP="00240B28">
      <w:pPr>
        <w:spacing w:line="276" w:lineRule="auto"/>
        <w:ind w:left="4536"/>
        <w:rPr>
          <w:rFonts w:ascii="Cambria" w:hAnsi="Cambria"/>
          <w:sz w:val="24"/>
          <w:szCs w:val="20"/>
        </w:rPr>
      </w:pPr>
    </w:p>
    <w:p w14:paraId="292E8A88" w14:textId="79854963" w:rsidR="00500C3F" w:rsidRDefault="00500C3F" w:rsidP="00240B28">
      <w:pPr>
        <w:spacing w:line="276" w:lineRule="auto"/>
        <w:ind w:left="4536"/>
        <w:rPr>
          <w:rFonts w:ascii="Cambria" w:hAnsi="Cambria"/>
          <w:sz w:val="24"/>
          <w:szCs w:val="20"/>
        </w:rPr>
      </w:pPr>
    </w:p>
    <w:p w14:paraId="095D4DD5" w14:textId="5B7FA963" w:rsidR="00500C3F" w:rsidRDefault="00500C3F" w:rsidP="00240B28">
      <w:pPr>
        <w:spacing w:line="276" w:lineRule="auto"/>
        <w:ind w:left="4536"/>
        <w:rPr>
          <w:rFonts w:ascii="Cambria" w:hAnsi="Cambria"/>
          <w:sz w:val="24"/>
          <w:szCs w:val="20"/>
        </w:rPr>
      </w:pPr>
    </w:p>
    <w:p w14:paraId="4B921FF8" w14:textId="3FE1413D" w:rsidR="00500C3F" w:rsidRDefault="00500C3F" w:rsidP="00240B28">
      <w:pPr>
        <w:spacing w:line="276" w:lineRule="auto"/>
        <w:ind w:left="4536"/>
        <w:rPr>
          <w:rFonts w:ascii="Cambria" w:hAnsi="Cambria"/>
          <w:sz w:val="24"/>
          <w:szCs w:val="20"/>
        </w:rPr>
      </w:pPr>
    </w:p>
    <w:p w14:paraId="3F909A53" w14:textId="297D41D6" w:rsidR="00500C3F" w:rsidRDefault="00500C3F" w:rsidP="00240B28">
      <w:pPr>
        <w:spacing w:line="276" w:lineRule="auto"/>
        <w:ind w:left="4536"/>
        <w:rPr>
          <w:rFonts w:ascii="Cambria" w:hAnsi="Cambria"/>
          <w:sz w:val="24"/>
          <w:szCs w:val="20"/>
        </w:rPr>
      </w:pPr>
    </w:p>
    <w:p w14:paraId="455386DC" w14:textId="306970C7" w:rsidR="00500C3F" w:rsidRDefault="00500C3F" w:rsidP="00240B28">
      <w:pPr>
        <w:spacing w:line="276" w:lineRule="auto"/>
        <w:ind w:left="4536"/>
        <w:rPr>
          <w:rFonts w:ascii="Cambria" w:hAnsi="Cambria"/>
          <w:sz w:val="24"/>
          <w:szCs w:val="20"/>
        </w:rPr>
      </w:pPr>
    </w:p>
    <w:p w14:paraId="58184760" w14:textId="367719D9" w:rsidR="00500C3F" w:rsidRDefault="00500C3F" w:rsidP="00240B28">
      <w:pPr>
        <w:spacing w:line="276" w:lineRule="auto"/>
        <w:ind w:left="4536"/>
        <w:rPr>
          <w:rFonts w:ascii="Cambria" w:hAnsi="Cambria"/>
          <w:sz w:val="24"/>
          <w:szCs w:val="20"/>
        </w:rPr>
      </w:pPr>
    </w:p>
    <w:p w14:paraId="122769DC" w14:textId="0D14D01A" w:rsidR="00500C3F" w:rsidRDefault="00500C3F" w:rsidP="00240B28">
      <w:pPr>
        <w:spacing w:line="276" w:lineRule="auto"/>
        <w:ind w:left="4536"/>
        <w:rPr>
          <w:rFonts w:ascii="Cambria" w:hAnsi="Cambria"/>
          <w:sz w:val="24"/>
          <w:szCs w:val="20"/>
        </w:rPr>
      </w:pPr>
    </w:p>
    <w:p w14:paraId="72802B3E" w14:textId="3A07D366" w:rsidR="00500C3F" w:rsidRDefault="00500C3F" w:rsidP="00240B28">
      <w:pPr>
        <w:spacing w:line="276" w:lineRule="auto"/>
        <w:ind w:left="4536"/>
        <w:rPr>
          <w:rFonts w:ascii="Cambria" w:hAnsi="Cambria"/>
          <w:sz w:val="24"/>
          <w:szCs w:val="20"/>
        </w:rPr>
      </w:pPr>
    </w:p>
    <w:p w14:paraId="5945BCDB" w14:textId="636AFE5D" w:rsidR="00500C3F" w:rsidRDefault="00500C3F" w:rsidP="00240B28">
      <w:pPr>
        <w:spacing w:line="276" w:lineRule="auto"/>
        <w:ind w:left="4536"/>
        <w:rPr>
          <w:rFonts w:ascii="Cambria" w:hAnsi="Cambria"/>
          <w:sz w:val="24"/>
          <w:szCs w:val="20"/>
        </w:rPr>
      </w:pPr>
    </w:p>
    <w:p w14:paraId="1AAD29B4" w14:textId="002591CC" w:rsidR="00500C3F" w:rsidRDefault="00500C3F" w:rsidP="00240B28">
      <w:pPr>
        <w:spacing w:line="276" w:lineRule="auto"/>
        <w:ind w:left="4536"/>
        <w:rPr>
          <w:rFonts w:ascii="Cambria" w:hAnsi="Cambria"/>
          <w:sz w:val="24"/>
          <w:szCs w:val="20"/>
        </w:rPr>
      </w:pPr>
    </w:p>
    <w:p w14:paraId="3C56E373" w14:textId="6C609049" w:rsidR="00500C3F" w:rsidRDefault="00500C3F" w:rsidP="00240B28">
      <w:pPr>
        <w:spacing w:line="276" w:lineRule="auto"/>
        <w:ind w:left="4536"/>
        <w:rPr>
          <w:rFonts w:ascii="Cambria" w:hAnsi="Cambria"/>
          <w:sz w:val="24"/>
          <w:szCs w:val="20"/>
        </w:rPr>
      </w:pPr>
    </w:p>
    <w:p w14:paraId="4F8C431E" w14:textId="52F7C6D1" w:rsidR="00500C3F" w:rsidRDefault="00500C3F" w:rsidP="00240B28">
      <w:pPr>
        <w:spacing w:line="276" w:lineRule="auto"/>
        <w:ind w:left="4536"/>
        <w:rPr>
          <w:rFonts w:ascii="Cambria" w:hAnsi="Cambria"/>
          <w:sz w:val="24"/>
          <w:szCs w:val="20"/>
        </w:rPr>
      </w:pPr>
    </w:p>
    <w:p w14:paraId="06930F81" w14:textId="52C67797" w:rsidR="00500C3F" w:rsidRDefault="00500C3F" w:rsidP="00240B28">
      <w:pPr>
        <w:spacing w:line="276" w:lineRule="auto"/>
        <w:ind w:left="4536"/>
        <w:rPr>
          <w:rFonts w:ascii="Cambria" w:hAnsi="Cambria"/>
          <w:sz w:val="24"/>
          <w:szCs w:val="20"/>
        </w:rPr>
      </w:pPr>
    </w:p>
    <w:p w14:paraId="22E6D0BF" w14:textId="0BE2F0A7" w:rsidR="00500C3F" w:rsidRDefault="00500C3F" w:rsidP="00240B28">
      <w:pPr>
        <w:spacing w:line="276" w:lineRule="auto"/>
        <w:ind w:left="4536"/>
        <w:rPr>
          <w:rFonts w:ascii="Cambria" w:hAnsi="Cambria"/>
          <w:sz w:val="24"/>
          <w:szCs w:val="20"/>
        </w:rPr>
      </w:pPr>
    </w:p>
    <w:p w14:paraId="1C36F22A" w14:textId="02F4F148" w:rsidR="00500C3F" w:rsidRDefault="00500C3F" w:rsidP="00240B28">
      <w:pPr>
        <w:spacing w:line="276" w:lineRule="auto"/>
        <w:ind w:left="4536"/>
        <w:rPr>
          <w:rFonts w:ascii="Cambria" w:hAnsi="Cambria"/>
          <w:sz w:val="24"/>
          <w:szCs w:val="20"/>
        </w:rPr>
      </w:pPr>
    </w:p>
    <w:p w14:paraId="09D8F73B" w14:textId="63913C05" w:rsidR="00500C3F" w:rsidRDefault="00500C3F" w:rsidP="00240B28">
      <w:pPr>
        <w:spacing w:line="276" w:lineRule="auto"/>
        <w:ind w:left="4536"/>
        <w:rPr>
          <w:rFonts w:ascii="Cambria" w:hAnsi="Cambria"/>
          <w:sz w:val="24"/>
          <w:szCs w:val="20"/>
        </w:rPr>
      </w:pPr>
    </w:p>
    <w:p w14:paraId="55B87561" w14:textId="207BF889" w:rsidR="00500C3F" w:rsidRDefault="00500C3F" w:rsidP="00240B28">
      <w:pPr>
        <w:spacing w:line="276" w:lineRule="auto"/>
        <w:ind w:left="4536"/>
        <w:rPr>
          <w:rFonts w:ascii="Cambria" w:hAnsi="Cambria"/>
          <w:sz w:val="24"/>
          <w:szCs w:val="20"/>
        </w:rPr>
      </w:pPr>
    </w:p>
    <w:p w14:paraId="4EFA61A2" w14:textId="768050BA" w:rsidR="00500C3F" w:rsidRDefault="00500C3F" w:rsidP="00240B28">
      <w:pPr>
        <w:spacing w:line="276" w:lineRule="auto"/>
        <w:ind w:left="4536"/>
        <w:rPr>
          <w:rFonts w:ascii="Cambria" w:hAnsi="Cambria"/>
          <w:sz w:val="24"/>
          <w:szCs w:val="20"/>
        </w:rPr>
      </w:pPr>
    </w:p>
    <w:p w14:paraId="33A5D759" w14:textId="7C433AD5" w:rsidR="00500C3F" w:rsidRDefault="00500C3F" w:rsidP="00240B28">
      <w:pPr>
        <w:spacing w:line="276" w:lineRule="auto"/>
        <w:ind w:left="4536"/>
        <w:rPr>
          <w:rFonts w:ascii="Cambria" w:hAnsi="Cambria"/>
          <w:sz w:val="24"/>
          <w:szCs w:val="20"/>
        </w:rPr>
      </w:pPr>
    </w:p>
    <w:p w14:paraId="3A3504DA" w14:textId="1F07E242" w:rsidR="00500C3F" w:rsidRDefault="00500C3F" w:rsidP="00240B28">
      <w:pPr>
        <w:spacing w:line="276" w:lineRule="auto"/>
        <w:ind w:left="4536"/>
        <w:rPr>
          <w:rFonts w:ascii="Cambria" w:hAnsi="Cambria"/>
          <w:sz w:val="24"/>
          <w:szCs w:val="20"/>
        </w:rPr>
      </w:pPr>
    </w:p>
    <w:p w14:paraId="0C7FC743" w14:textId="1D0BFB2E" w:rsidR="00500C3F" w:rsidRDefault="00500C3F" w:rsidP="00240B28">
      <w:pPr>
        <w:spacing w:line="276" w:lineRule="auto"/>
        <w:ind w:left="4536"/>
        <w:rPr>
          <w:rFonts w:ascii="Cambria" w:hAnsi="Cambria"/>
          <w:sz w:val="24"/>
          <w:szCs w:val="20"/>
        </w:rPr>
      </w:pPr>
    </w:p>
    <w:p w14:paraId="6FAFE322" w14:textId="49A97DDF" w:rsidR="00500C3F" w:rsidRDefault="00500C3F" w:rsidP="00240B28">
      <w:pPr>
        <w:spacing w:line="276" w:lineRule="auto"/>
        <w:ind w:left="4536"/>
        <w:rPr>
          <w:rFonts w:ascii="Cambria" w:hAnsi="Cambria"/>
          <w:sz w:val="24"/>
          <w:szCs w:val="20"/>
        </w:rPr>
      </w:pPr>
    </w:p>
    <w:p w14:paraId="064EAADC" w14:textId="12FD5B0B" w:rsidR="00500C3F" w:rsidRDefault="00500C3F" w:rsidP="00240B28">
      <w:pPr>
        <w:spacing w:line="276" w:lineRule="auto"/>
        <w:ind w:left="4536"/>
        <w:rPr>
          <w:rFonts w:ascii="Cambria" w:hAnsi="Cambria"/>
          <w:sz w:val="24"/>
          <w:szCs w:val="20"/>
        </w:rPr>
      </w:pPr>
    </w:p>
    <w:p w14:paraId="1C9A736A" w14:textId="6C4A68BF" w:rsidR="00500C3F" w:rsidRDefault="00500C3F" w:rsidP="00240B28">
      <w:pPr>
        <w:spacing w:line="276" w:lineRule="auto"/>
        <w:ind w:left="4536"/>
        <w:rPr>
          <w:rFonts w:ascii="Cambria" w:hAnsi="Cambria"/>
          <w:sz w:val="24"/>
          <w:szCs w:val="20"/>
        </w:rPr>
      </w:pPr>
    </w:p>
    <w:p w14:paraId="7DA14CE9" w14:textId="30108BA5" w:rsidR="00500C3F" w:rsidRDefault="00500C3F" w:rsidP="00240B28">
      <w:pPr>
        <w:spacing w:line="276" w:lineRule="auto"/>
        <w:ind w:left="4536"/>
        <w:rPr>
          <w:rFonts w:ascii="Cambria" w:hAnsi="Cambria"/>
          <w:sz w:val="24"/>
          <w:szCs w:val="20"/>
        </w:rPr>
      </w:pPr>
    </w:p>
    <w:p w14:paraId="05C9FC4E" w14:textId="30E0FB21" w:rsidR="00500C3F" w:rsidRDefault="00500C3F" w:rsidP="00240B28">
      <w:pPr>
        <w:spacing w:line="276" w:lineRule="auto"/>
        <w:ind w:left="4536"/>
        <w:rPr>
          <w:rFonts w:ascii="Cambria" w:hAnsi="Cambria"/>
          <w:sz w:val="24"/>
          <w:szCs w:val="20"/>
        </w:rPr>
      </w:pPr>
    </w:p>
    <w:p w14:paraId="420EDCB5" w14:textId="4F35DCAD" w:rsidR="00500C3F" w:rsidRDefault="00500C3F" w:rsidP="00240B28">
      <w:pPr>
        <w:spacing w:line="276" w:lineRule="auto"/>
        <w:ind w:left="4536"/>
        <w:rPr>
          <w:rFonts w:ascii="Cambria" w:hAnsi="Cambria"/>
          <w:sz w:val="24"/>
          <w:szCs w:val="20"/>
        </w:rPr>
      </w:pPr>
    </w:p>
    <w:p w14:paraId="605FB947" w14:textId="5353D03A" w:rsidR="00500C3F" w:rsidRDefault="00500C3F" w:rsidP="00240B28">
      <w:pPr>
        <w:spacing w:line="276" w:lineRule="auto"/>
        <w:ind w:left="4536"/>
        <w:rPr>
          <w:rFonts w:ascii="Cambria" w:hAnsi="Cambria"/>
          <w:sz w:val="24"/>
          <w:szCs w:val="20"/>
        </w:rPr>
      </w:pPr>
    </w:p>
    <w:p w14:paraId="51682F70" w14:textId="24F0CAE2" w:rsidR="00500C3F" w:rsidRDefault="00500C3F" w:rsidP="00240B28">
      <w:pPr>
        <w:spacing w:line="276" w:lineRule="auto"/>
        <w:ind w:left="4536"/>
        <w:rPr>
          <w:rFonts w:ascii="Cambria" w:hAnsi="Cambria"/>
          <w:sz w:val="24"/>
          <w:szCs w:val="20"/>
        </w:rPr>
      </w:pPr>
    </w:p>
    <w:p w14:paraId="44A408DB" w14:textId="63F4A1B5" w:rsidR="00500C3F" w:rsidRDefault="00500C3F" w:rsidP="00240B28">
      <w:pPr>
        <w:spacing w:line="276" w:lineRule="auto"/>
        <w:ind w:left="4536"/>
        <w:rPr>
          <w:rFonts w:ascii="Cambria" w:hAnsi="Cambria"/>
          <w:sz w:val="24"/>
          <w:szCs w:val="20"/>
        </w:rPr>
      </w:pPr>
    </w:p>
    <w:p w14:paraId="3AEC8907" w14:textId="1F519714" w:rsidR="00500C3F" w:rsidRDefault="00500C3F" w:rsidP="00240B28">
      <w:pPr>
        <w:spacing w:line="276" w:lineRule="auto"/>
        <w:ind w:left="4536"/>
        <w:rPr>
          <w:rFonts w:ascii="Cambria" w:hAnsi="Cambria"/>
          <w:sz w:val="24"/>
          <w:szCs w:val="20"/>
        </w:rPr>
      </w:pPr>
    </w:p>
    <w:p w14:paraId="181DA353" w14:textId="440F5E73" w:rsidR="00500C3F" w:rsidRDefault="00500C3F" w:rsidP="00240B28">
      <w:pPr>
        <w:spacing w:line="276" w:lineRule="auto"/>
        <w:ind w:left="4536"/>
        <w:rPr>
          <w:rFonts w:ascii="Cambria" w:hAnsi="Cambria"/>
          <w:sz w:val="24"/>
          <w:szCs w:val="20"/>
        </w:rPr>
      </w:pPr>
    </w:p>
    <w:p w14:paraId="1CA73D91" w14:textId="56F1AAB5" w:rsidR="00500C3F" w:rsidRDefault="00500C3F" w:rsidP="00240B28">
      <w:pPr>
        <w:spacing w:line="276" w:lineRule="auto"/>
        <w:ind w:left="4536"/>
        <w:rPr>
          <w:rFonts w:ascii="Cambria" w:hAnsi="Cambria"/>
          <w:sz w:val="24"/>
          <w:szCs w:val="20"/>
        </w:rPr>
      </w:pPr>
    </w:p>
    <w:p w14:paraId="102EC317" w14:textId="6CFEFAF5" w:rsidR="00500C3F" w:rsidRDefault="00500C3F" w:rsidP="00240B28">
      <w:pPr>
        <w:spacing w:line="276" w:lineRule="auto"/>
        <w:ind w:left="4536"/>
        <w:rPr>
          <w:rFonts w:ascii="Cambria" w:hAnsi="Cambria"/>
          <w:sz w:val="24"/>
          <w:szCs w:val="20"/>
        </w:rPr>
      </w:pPr>
    </w:p>
    <w:p w14:paraId="0CEE6C4A" w14:textId="31BCF9EC" w:rsidR="00500C3F" w:rsidRDefault="00500C3F" w:rsidP="00240B28">
      <w:pPr>
        <w:spacing w:line="276" w:lineRule="auto"/>
        <w:ind w:left="4536"/>
        <w:rPr>
          <w:rFonts w:ascii="Cambria" w:hAnsi="Cambria"/>
          <w:sz w:val="24"/>
          <w:szCs w:val="20"/>
        </w:rPr>
      </w:pPr>
    </w:p>
    <w:p w14:paraId="39CC9E90" w14:textId="79EBCD41" w:rsidR="00500C3F" w:rsidRDefault="00500C3F" w:rsidP="00240B28">
      <w:pPr>
        <w:spacing w:line="276" w:lineRule="auto"/>
        <w:ind w:left="4536"/>
        <w:rPr>
          <w:rFonts w:ascii="Cambria" w:hAnsi="Cambria"/>
          <w:sz w:val="24"/>
          <w:szCs w:val="20"/>
        </w:rPr>
      </w:pPr>
    </w:p>
    <w:p w14:paraId="662E39BC" w14:textId="1669DCB5" w:rsidR="00500C3F" w:rsidRDefault="00500C3F" w:rsidP="00240B28">
      <w:pPr>
        <w:spacing w:line="276" w:lineRule="auto"/>
        <w:ind w:left="4536"/>
        <w:rPr>
          <w:rFonts w:ascii="Cambria" w:hAnsi="Cambria"/>
          <w:sz w:val="24"/>
          <w:szCs w:val="20"/>
        </w:rPr>
      </w:pPr>
    </w:p>
    <w:p w14:paraId="7644C572" w14:textId="4757A15F" w:rsidR="00500C3F" w:rsidRDefault="00500C3F" w:rsidP="00240B28">
      <w:pPr>
        <w:spacing w:line="276" w:lineRule="auto"/>
        <w:ind w:left="4536"/>
        <w:rPr>
          <w:rFonts w:ascii="Cambria" w:hAnsi="Cambria"/>
          <w:sz w:val="24"/>
          <w:szCs w:val="20"/>
        </w:rPr>
      </w:pPr>
    </w:p>
    <w:p w14:paraId="07D69634" w14:textId="77777777" w:rsidR="00500C3F" w:rsidRPr="00EF66F6" w:rsidRDefault="00500C3F" w:rsidP="00240B28">
      <w:pPr>
        <w:spacing w:line="276" w:lineRule="auto"/>
        <w:ind w:left="4536"/>
        <w:rPr>
          <w:rFonts w:ascii="Cambria" w:hAnsi="Cambria"/>
          <w:sz w:val="24"/>
          <w:szCs w:val="20"/>
        </w:rPr>
      </w:pPr>
    </w:p>
    <w:tbl>
      <w:tblPr>
        <w:tblW w:w="0" w:type="auto"/>
        <w:tblLook w:val="04A0" w:firstRow="1" w:lastRow="0" w:firstColumn="1" w:lastColumn="0" w:noHBand="0" w:noVBand="1"/>
      </w:tblPr>
      <w:tblGrid>
        <w:gridCol w:w="4253"/>
        <w:gridCol w:w="5376"/>
      </w:tblGrid>
      <w:tr w:rsidR="00EF66F6" w:rsidRPr="00DE0AAB" w14:paraId="4F9B5EAD" w14:textId="77777777" w:rsidTr="00EF66F6">
        <w:tc>
          <w:tcPr>
            <w:tcW w:w="4253" w:type="dxa"/>
            <w:vAlign w:val="center"/>
          </w:tcPr>
          <w:p w14:paraId="6DA47E82" w14:textId="30EB2637" w:rsidR="00EF66F6" w:rsidRPr="00E82FF4" w:rsidRDefault="00EF66F6" w:rsidP="00E82FF4">
            <w:pPr>
              <w:jc w:val="center"/>
              <w:rPr>
                <w:rFonts w:ascii="Cambria" w:hAnsi="Cambria"/>
                <w:b/>
                <w:bCs/>
                <w:color w:val="538135" w:themeColor="accent6" w:themeShade="BF"/>
                <w:sz w:val="32"/>
                <w:szCs w:val="24"/>
                <w:lang w:val="ru-RU"/>
              </w:rPr>
            </w:pPr>
            <w:r>
              <w:rPr>
                <w:rFonts w:ascii="Cambria" w:hAnsi="Cambria"/>
                <w:b/>
                <w:bCs/>
                <w:noProof/>
                <w:color w:val="538135" w:themeColor="accent6" w:themeShade="BF"/>
                <w:sz w:val="32"/>
                <w:szCs w:val="24"/>
                <w:lang w:val="ru-RU"/>
              </w:rPr>
              <w:drawing>
                <wp:inline distT="0" distB="0" distL="0" distR="0" wp14:anchorId="0BBEC2D1" wp14:editId="325D7DC1">
                  <wp:extent cx="1260000" cy="126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60000" cy="1260000"/>
                          </a:xfrm>
                          <a:prstGeom prst="rect">
                            <a:avLst/>
                          </a:prstGeom>
                          <a:noFill/>
                          <a:ln>
                            <a:noFill/>
                          </a:ln>
                        </pic:spPr>
                      </pic:pic>
                    </a:graphicData>
                  </a:graphic>
                </wp:inline>
              </w:drawing>
            </w:r>
          </w:p>
        </w:tc>
        <w:tc>
          <w:tcPr>
            <w:tcW w:w="5376" w:type="dxa"/>
            <w:vAlign w:val="center"/>
          </w:tcPr>
          <w:p w14:paraId="3628C82B" w14:textId="77777777" w:rsidR="00EF66F6" w:rsidRPr="00DE0AAB" w:rsidRDefault="00EF66F6" w:rsidP="00EF66F6">
            <w:pPr>
              <w:spacing w:line="276" w:lineRule="auto"/>
              <w:ind w:right="735"/>
              <w:jc w:val="center"/>
              <w:rPr>
                <w:rFonts w:ascii="Cambria" w:hAnsi="Cambria"/>
                <w:b/>
                <w:bCs/>
                <w:color w:val="002060"/>
                <w:sz w:val="32"/>
                <w:szCs w:val="24"/>
              </w:rPr>
            </w:pPr>
            <w:r w:rsidRPr="00DE0AAB">
              <w:rPr>
                <w:rFonts w:ascii="Cambria" w:hAnsi="Cambria"/>
                <w:b/>
                <w:bCs/>
                <w:color w:val="002060"/>
                <w:sz w:val="32"/>
                <w:szCs w:val="24"/>
              </w:rPr>
              <w:t>Tashkent Medical Academy</w:t>
            </w:r>
          </w:p>
          <w:p w14:paraId="792E02B1" w14:textId="77777777" w:rsidR="00EF66F6" w:rsidRPr="007343F6" w:rsidRDefault="00EF66F6" w:rsidP="00EF66F6">
            <w:pPr>
              <w:spacing w:line="276" w:lineRule="auto"/>
              <w:ind w:right="735"/>
              <w:jc w:val="center"/>
              <w:rPr>
                <w:rFonts w:ascii="Cambria" w:hAnsi="Cambria"/>
                <w:b/>
                <w:bCs/>
                <w:color w:val="002060"/>
                <w:sz w:val="32"/>
                <w:szCs w:val="24"/>
              </w:rPr>
            </w:pPr>
            <w:r w:rsidRPr="007343F6">
              <w:rPr>
                <w:rFonts w:ascii="Cambria" w:hAnsi="Cambria"/>
                <w:b/>
                <w:bCs/>
                <w:color w:val="002060"/>
                <w:sz w:val="32"/>
                <w:szCs w:val="24"/>
              </w:rPr>
              <w:t>«Medical Journal of</w:t>
            </w:r>
          </w:p>
          <w:p w14:paraId="5A9635D0" w14:textId="752A4392" w:rsidR="00EF66F6" w:rsidRPr="00DE0AAB" w:rsidRDefault="00EF66F6" w:rsidP="00EF66F6">
            <w:pPr>
              <w:spacing w:line="276" w:lineRule="auto"/>
              <w:ind w:right="735"/>
              <w:jc w:val="center"/>
              <w:rPr>
                <w:rFonts w:ascii="Cambria" w:hAnsi="Cambria"/>
                <w:b/>
                <w:bCs/>
                <w:color w:val="538135" w:themeColor="accent6" w:themeShade="BF"/>
                <w:sz w:val="32"/>
                <w:szCs w:val="24"/>
              </w:rPr>
            </w:pPr>
            <w:r w:rsidRPr="007343F6">
              <w:rPr>
                <w:rFonts w:ascii="Cambria" w:hAnsi="Cambria"/>
                <w:b/>
                <w:bCs/>
                <w:color w:val="002060"/>
                <w:sz w:val="32"/>
                <w:szCs w:val="24"/>
              </w:rPr>
              <w:t>Young Scientists»</w:t>
            </w:r>
          </w:p>
        </w:tc>
      </w:tr>
      <w:tr w:rsidR="00EF66F6" w:rsidRPr="00DE0AAB" w14:paraId="00B0BB9A" w14:textId="77777777" w:rsidTr="00EF66F6">
        <w:tc>
          <w:tcPr>
            <w:tcW w:w="4253" w:type="dxa"/>
            <w:tcBorders>
              <w:bottom w:val="thickThinSmallGap" w:sz="24" w:space="0" w:color="2F5496" w:themeColor="accent1" w:themeShade="BF"/>
            </w:tcBorders>
            <w:vAlign w:val="center"/>
          </w:tcPr>
          <w:p w14:paraId="578AEAEB" w14:textId="77777777" w:rsidR="00EF66F6" w:rsidRPr="00E20E52" w:rsidRDefault="00EF66F6" w:rsidP="00E82FF4">
            <w:pPr>
              <w:jc w:val="center"/>
              <w:rPr>
                <w:rFonts w:ascii="Cambria" w:hAnsi="Cambria"/>
                <w:b/>
                <w:bCs/>
                <w:noProof/>
                <w:color w:val="538135" w:themeColor="accent6" w:themeShade="BF"/>
                <w:sz w:val="16"/>
                <w:szCs w:val="12"/>
                <w:lang w:val="ru-RU"/>
              </w:rPr>
            </w:pPr>
          </w:p>
        </w:tc>
        <w:tc>
          <w:tcPr>
            <w:tcW w:w="5376" w:type="dxa"/>
            <w:tcBorders>
              <w:bottom w:val="thickThinSmallGap" w:sz="24" w:space="0" w:color="2F5496" w:themeColor="accent1" w:themeShade="BF"/>
            </w:tcBorders>
            <w:vAlign w:val="center"/>
          </w:tcPr>
          <w:p w14:paraId="07631F34" w14:textId="77777777" w:rsidR="00EF66F6" w:rsidRPr="00E20E52" w:rsidRDefault="00EF66F6" w:rsidP="00AE3627">
            <w:pPr>
              <w:spacing w:line="276" w:lineRule="auto"/>
              <w:jc w:val="center"/>
              <w:rPr>
                <w:rFonts w:ascii="Cambria" w:hAnsi="Cambria"/>
                <w:b/>
                <w:bCs/>
                <w:color w:val="002060"/>
                <w:sz w:val="16"/>
                <w:szCs w:val="12"/>
              </w:rPr>
            </w:pPr>
          </w:p>
        </w:tc>
      </w:tr>
    </w:tbl>
    <w:p w14:paraId="1F6701CF" w14:textId="1719AEC8" w:rsidR="005144B8" w:rsidRDefault="005144B8" w:rsidP="006125C6">
      <w:pPr>
        <w:rPr>
          <w:rFonts w:ascii="Cambria" w:hAnsi="Cambria"/>
          <w:sz w:val="24"/>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20E52" w14:paraId="5587E96A" w14:textId="77777777" w:rsidTr="00E20E52">
        <w:tc>
          <w:tcPr>
            <w:tcW w:w="9629" w:type="dxa"/>
            <w:tcBorders>
              <w:top w:val="single" w:sz="8" w:space="0" w:color="2F5496" w:themeColor="accent1" w:themeShade="BF"/>
            </w:tcBorders>
          </w:tcPr>
          <w:p w14:paraId="59420A09" w14:textId="4E53982D" w:rsidR="00E20E52" w:rsidRPr="00E20E52" w:rsidRDefault="00E20E52" w:rsidP="00E20E52">
            <w:pPr>
              <w:jc w:val="center"/>
              <w:rPr>
                <w:rFonts w:ascii="Cambria" w:hAnsi="Cambria"/>
                <w:sz w:val="8"/>
                <w:szCs w:val="4"/>
              </w:rPr>
            </w:pPr>
          </w:p>
        </w:tc>
      </w:tr>
      <w:tr w:rsidR="00E20E52" w14:paraId="1885228F" w14:textId="77777777" w:rsidTr="00E20E52">
        <w:tc>
          <w:tcPr>
            <w:tcW w:w="9629" w:type="dxa"/>
          </w:tcPr>
          <w:p w14:paraId="32378F67" w14:textId="7801E4DD" w:rsidR="00E20E52" w:rsidRPr="00E20E52" w:rsidRDefault="00E20E52" w:rsidP="00E20E52">
            <w:pPr>
              <w:jc w:val="center"/>
              <w:rPr>
                <w:rFonts w:ascii="Cambria" w:hAnsi="Cambria"/>
                <w:b/>
                <w:bCs/>
                <w:color w:val="002060"/>
              </w:rPr>
            </w:pPr>
            <w:r w:rsidRPr="00E20E52">
              <w:rPr>
                <w:rFonts w:ascii="Cambria" w:hAnsi="Cambria"/>
                <w:b/>
                <w:bCs/>
                <w:color w:val="002060"/>
              </w:rPr>
              <w:t>• № 1 (06) 2022 •</w:t>
            </w:r>
          </w:p>
        </w:tc>
      </w:tr>
      <w:tr w:rsidR="00E20E52" w14:paraId="3F018357" w14:textId="77777777" w:rsidTr="00E20E52">
        <w:tc>
          <w:tcPr>
            <w:tcW w:w="9629" w:type="dxa"/>
            <w:tcBorders>
              <w:bottom w:val="single" w:sz="8" w:space="0" w:color="2F5496" w:themeColor="accent1" w:themeShade="BF"/>
            </w:tcBorders>
          </w:tcPr>
          <w:p w14:paraId="72D3B632" w14:textId="77777777" w:rsidR="00E20E52" w:rsidRPr="00E20E52" w:rsidRDefault="00E20E52" w:rsidP="00E20E52">
            <w:pPr>
              <w:jc w:val="center"/>
              <w:rPr>
                <w:rFonts w:ascii="Cambria" w:hAnsi="Cambria"/>
                <w:b/>
                <w:bCs/>
                <w:color w:val="002060"/>
                <w:sz w:val="8"/>
                <w:szCs w:val="4"/>
              </w:rPr>
            </w:pPr>
          </w:p>
        </w:tc>
      </w:tr>
    </w:tbl>
    <w:p w14:paraId="4F52EC19" w14:textId="77777777" w:rsidR="00E20E52" w:rsidRPr="00DE0AAB" w:rsidRDefault="00E20E52" w:rsidP="006125C6">
      <w:pPr>
        <w:rPr>
          <w:rFonts w:ascii="Cambria" w:hAnsi="Cambria"/>
          <w:sz w:val="24"/>
          <w:szCs w:val="20"/>
        </w:rPr>
      </w:pPr>
    </w:p>
    <w:sdt>
      <w:sdtPr>
        <w:rPr>
          <w:rFonts w:ascii="Times New Roman" w:eastAsiaTheme="minorHAnsi" w:hAnsi="Times New Roman" w:cstheme="minorBidi"/>
          <w:bCs w:val="0"/>
          <w:color w:val="auto"/>
          <w:sz w:val="28"/>
          <w:szCs w:val="22"/>
          <w:lang w:val="ru-RU" w:eastAsia="en-US"/>
        </w:rPr>
        <w:id w:val="1628130217"/>
        <w:docPartObj>
          <w:docPartGallery w:val="Table of Contents"/>
          <w:docPartUnique/>
        </w:docPartObj>
      </w:sdtPr>
      <w:sdtEndPr>
        <w:rPr>
          <w:b/>
          <w:lang w:val="en-US"/>
        </w:rPr>
      </w:sdtEndPr>
      <w:sdtContent>
        <w:p w14:paraId="41706540" w14:textId="09913B14" w:rsidR="004666C7" w:rsidRPr="00124D8B" w:rsidRDefault="00EF66F6" w:rsidP="00124D8B">
          <w:pPr>
            <w:pStyle w:val="ab"/>
            <w:jc w:val="center"/>
            <w:rPr>
              <w:rFonts w:ascii="Times New Roman" w:hAnsi="Times New Roman" w:cs="Times New Roman"/>
              <w:b/>
              <w:bCs w:val="0"/>
              <w:color w:val="auto"/>
            </w:rPr>
          </w:pPr>
          <w:r w:rsidRPr="00EF66F6">
            <w:rPr>
              <w:rFonts w:ascii="Times New Roman" w:hAnsi="Times New Roman" w:cs="Times New Roman"/>
              <w:b/>
              <w:bCs w:val="0"/>
              <w:color w:val="auto"/>
              <w:lang w:val="ru-RU"/>
            </w:rPr>
            <w:t>CONTENTS</w:t>
          </w:r>
        </w:p>
        <w:p w14:paraId="1B781CCE" w14:textId="77777777" w:rsidR="00A0077F" w:rsidRPr="005C65E8" w:rsidRDefault="00A0077F" w:rsidP="00A0077F">
          <w:pPr>
            <w:pStyle w:val="11"/>
            <w:rPr>
              <w:rFonts w:eastAsia="Calibri" w:cs="Times New Roman"/>
              <w:b/>
              <w:noProof/>
              <w:sz w:val="24"/>
              <w:szCs w:val="24"/>
              <w:u w:val="single"/>
              <w:lang w:val="uz-Cyrl-UZ"/>
            </w:rPr>
          </w:pPr>
          <w:r w:rsidRPr="009E1250">
            <w:rPr>
              <w:rFonts w:eastAsia="Calibri" w:cs="Times New Roman"/>
              <w:b/>
              <w:noProof/>
              <w:sz w:val="24"/>
              <w:szCs w:val="24"/>
              <w:u w:val="single"/>
              <w:lang w:val="uz-Cyrl-UZ"/>
            </w:rPr>
            <w:t>NEW PEDAGOGICAL TECHNOLOGIES</w:t>
          </w:r>
        </w:p>
        <w:p w14:paraId="69F5C833" w14:textId="5B3EC653" w:rsidR="00A0077F" w:rsidRPr="00500C3F" w:rsidRDefault="00A0077F" w:rsidP="00A0077F">
          <w:pPr>
            <w:pStyle w:val="11"/>
            <w:rPr>
              <w:rFonts w:asciiTheme="minorHAnsi" w:eastAsiaTheme="minorEastAsia" w:hAnsiTheme="minorHAnsi"/>
              <w:noProof/>
              <w:sz w:val="22"/>
              <w:szCs w:val="22"/>
              <w:lang w:eastAsia="ru-RU"/>
            </w:rPr>
          </w:pPr>
          <w:r w:rsidRPr="00034123">
            <w:rPr>
              <w:rFonts w:eastAsia="Calibri" w:cs="Times New Roman"/>
              <w:b/>
              <w:noProof/>
              <w:sz w:val="24"/>
              <w:szCs w:val="24"/>
              <w:lang w:val="uz-Cyrl-UZ"/>
            </w:rPr>
            <w:t>Khalmukhamedov B.T.</w:t>
          </w:r>
          <w:r w:rsidRPr="00B26380">
            <w:rPr>
              <w:rFonts w:eastAsia="Calibri" w:cs="Times New Roman"/>
              <w:b/>
              <w:noProof/>
              <w:sz w:val="24"/>
              <w:szCs w:val="24"/>
              <w:lang w:val="uz-Cyrl-UZ"/>
            </w:rPr>
            <w:t xml:space="preserve"> / </w:t>
          </w:r>
          <w:hyperlink w:anchor="_Toc104745760" w:history="1">
            <w:r w:rsidRPr="006D439F">
              <w:rPr>
                <w:rStyle w:val="a3"/>
                <w:rFonts w:eastAsia="Calibri"/>
                <w:noProof/>
                <w:color w:val="auto"/>
                <w:u w:val="none"/>
                <w:lang w:val="uz-Cyrl-UZ"/>
              </w:rPr>
              <w:t>The relevance of the introduction of digital medicine             skills in the learning process of medical university students</w:t>
            </w:r>
            <w:r w:rsidRPr="00B26380">
              <w:rPr>
                <w:noProof/>
                <w:webHidden/>
                <w:lang w:val="uz-Cyrl-UZ"/>
              </w:rPr>
              <w:tab/>
            </w:r>
            <w:r w:rsidR="00500C3F" w:rsidRPr="00500C3F">
              <w:rPr>
                <w:noProof/>
                <w:webHidden/>
              </w:rPr>
              <w:t>8</w:t>
            </w:r>
          </w:hyperlink>
        </w:p>
        <w:p w14:paraId="2E740BA9" w14:textId="150E43AB" w:rsidR="00A0077F" w:rsidRDefault="00A0077F">
          <w:pPr>
            <w:pStyle w:val="11"/>
            <w:rPr>
              <w:rFonts w:eastAsia="Times New Roman" w:cs="Times New Roman"/>
              <w:b/>
              <w:sz w:val="24"/>
              <w:szCs w:val="24"/>
              <w:u w:val="single"/>
              <w:lang w:eastAsia="ru-RU"/>
            </w:rPr>
          </w:pPr>
        </w:p>
        <w:p w14:paraId="323A5C7A" w14:textId="77777777" w:rsidR="00A0077F" w:rsidRPr="00342E73" w:rsidRDefault="00A0077F" w:rsidP="00A0077F">
          <w:pPr>
            <w:pStyle w:val="11"/>
            <w:rPr>
              <w:rFonts w:eastAsia="Times New Roman" w:cs="Times New Roman"/>
              <w:b/>
              <w:noProof/>
              <w:color w:val="202124"/>
              <w:sz w:val="24"/>
              <w:szCs w:val="24"/>
              <w:u w:val="single"/>
              <w:lang w:eastAsia="ru-RU"/>
            </w:rPr>
          </w:pPr>
          <w:r w:rsidRPr="00342E73">
            <w:rPr>
              <w:rFonts w:eastAsia="Times New Roman" w:cs="Times New Roman"/>
              <w:b/>
              <w:noProof/>
              <w:color w:val="202124"/>
              <w:sz w:val="24"/>
              <w:szCs w:val="24"/>
              <w:u w:val="single"/>
              <w:lang w:eastAsia="ru-RU"/>
            </w:rPr>
            <w:t>CLINICAL MEDICINE</w:t>
          </w:r>
        </w:p>
        <w:p w14:paraId="03FA7789" w14:textId="5145B2E8"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Times New Roman" w:cs="Times New Roman"/>
              <w:b/>
              <w:noProof/>
              <w:sz w:val="24"/>
              <w:szCs w:val="24"/>
              <w:lang w:eastAsia="ru-RU"/>
            </w:rPr>
            <w:t xml:space="preserve">Ostonova G.S. / </w:t>
          </w:r>
          <w:hyperlink w:anchor="_Toc104745748" w:history="1">
            <w:r w:rsidRPr="006D439F">
              <w:rPr>
                <w:rStyle w:val="a3"/>
                <w:noProof/>
                <w:color w:val="auto"/>
                <w:u w:val="none"/>
                <w:lang w:bidi="en-US"/>
              </w:rPr>
              <w:t>The advancement of nonspecific prophylaxis and therapy pseudotuberculosis and intestinal yersiniosis</w:t>
            </w:r>
            <w:r w:rsidRPr="006D439F">
              <w:rPr>
                <w:noProof/>
                <w:webHidden/>
              </w:rPr>
              <w:tab/>
            </w:r>
            <w:r w:rsidRPr="006D439F">
              <w:rPr>
                <w:noProof/>
                <w:webHidden/>
              </w:rPr>
              <w:fldChar w:fldCharType="begin"/>
            </w:r>
            <w:r w:rsidRPr="006D439F">
              <w:rPr>
                <w:noProof/>
                <w:webHidden/>
              </w:rPr>
              <w:instrText xml:space="preserve"> PAGEREF _Toc104745748 \h </w:instrText>
            </w:r>
            <w:r w:rsidRPr="006D439F">
              <w:rPr>
                <w:noProof/>
                <w:webHidden/>
              </w:rPr>
            </w:r>
            <w:r w:rsidRPr="006D439F">
              <w:rPr>
                <w:noProof/>
                <w:webHidden/>
              </w:rPr>
              <w:fldChar w:fldCharType="separate"/>
            </w:r>
            <w:r w:rsidR="00805567">
              <w:rPr>
                <w:noProof/>
                <w:webHidden/>
              </w:rPr>
              <w:t>11</w:t>
            </w:r>
            <w:r w:rsidRPr="006D439F">
              <w:rPr>
                <w:noProof/>
                <w:webHidden/>
              </w:rPr>
              <w:fldChar w:fldCharType="end"/>
            </w:r>
          </w:hyperlink>
        </w:p>
        <w:p w14:paraId="3AC873A0" w14:textId="171A4942"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Times New Roman" w:cs="Times New Roman"/>
              <w:b/>
              <w:bCs/>
              <w:noProof/>
              <w:sz w:val="24"/>
              <w:szCs w:val="24"/>
              <w:lang w:eastAsia="ru-RU"/>
            </w:rPr>
            <w:t xml:space="preserve">Yusupalieva D.B., Shukurdzhanova S.M. / </w:t>
          </w:r>
          <w:hyperlink w:anchor="_Toc104745749" w:history="1">
            <w:r w:rsidRPr="006D439F">
              <w:rPr>
                <w:rStyle w:val="a3"/>
                <w:noProof/>
                <w:color w:val="auto"/>
                <w:u w:val="none"/>
              </w:rPr>
              <w:t>The relationship between coronary calcium and the level of coronary artery stenosis according to coronary angiography</w:t>
            </w:r>
            <w:r w:rsidRPr="006D439F">
              <w:rPr>
                <w:noProof/>
                <w:webHidden/>
              </w:rPr>
              <w:tab/>
            </w:r>
            <w:r w:rsidRPr="006D439F">
              <w:rPr>
                <w:noProof/>
                <w:webHidden/>
              </w:rPr>
              <w:fldChar w:fldCharType="begin"/>
            </w:r>
            <w:r w:rsidRPr="006D439F">
              <w:rPr>
                <w:noProof/>
                <w:webHidden/>
              </w:rPr>
              <w:instrText xml:space="preserve"> PAGEREF _Toc104745749 \h </w:instrText>
            </w:r>
            <w:r w:rsidRPr="006D439F">
              <w:rPr>
                <w:noProof/>
                <w:webHidden/>
              </w:rPr>
            </w:r>
            <w:r w:rsidRPr="006D439F">
              <w:rPr>
                <w:noProof/>
                <w:webHidden/>
              </w:rPr>
              <w:fldChar w:fldCharType="separate"/>
            </w:r>
            <w:r w:rsidR="00805567">
              <w:rPr>
                <w:noProof/>
                <w:webHidden/>
              </w:rPr>
              <w:t>17</w:t>
            </w:r>
            <w:r w:rsidRPr="006D439F">
              <w:rPr>
                <w:noProof/>
                <w:webHidden/>
              </w:rPr>
              <w:fldChar w:fldCharType="end"/>
            </w:r>
          </w:hyperlink>
        </w:p>
        <w:p w14:paraId="37088516" w14:textId="52505CC4"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noProof/>
              <w:sz w:val="24"/>
              <w:szCs w:val="24"/>
            </w:rPr>
            <w:t>Saidahamdov S.S., Shukurjanova S.</w:t>
          </w:r>
          <w:r w:rsidRPr="006D439F">
            <w:rPr>
              <w:rFonts w:eastAsia="Calibri" w:cs="Times New Roman"/>
              <w:b/>
              <w:noProof/>
              <w:sz w:val="24"/>
              <w:szCs w:val="24"/>
              <w:lang w:val="it-IT"/>
            </w:rPr>
            <w:t>М</w:t>
          </w:r>
          <w:r w:rsidRPr="006D439F">
            <w:rPr>
              <w:rFonts w:eastAsia="Calibri" w:cs="Times New Roman"/>
              <w:b/>
              <w:noProof/>
              <w:sz w:val="24"/>
              <w:szCs w:val="24"/>
            </w:rPr>
            <w:t xml:space="preserve">., Rajabova R.Sh. / </w:t>
          </w:r>
          <w:hyperlink w:anchor="_Toc104745750" w:history="1">
            <w:r w:rsidRPr="006D439F">
              <w:rPr>
                <w:rStyle w:val="a3"/>
                <w:rFonts w:eastAsia="Calibri"/>
                <w:noProof/>
                <w:color w:val="auto"/>
                <w:u w:val="none"/>
              </w:rPr>
              <w:t>Study of physical activity       with exercise pulse in patients with ischemic heart disease</w:t>
            </w:r>
            <w:r w:rsidRPr="006D439F">
              <w:rPr>
                <w:noProof/>
                <w:webHidden/>
              </w:rPr>
              <w:tab/>
            </w:r>
            <w:r w:rsidRPr="006D439F">
              <w:rPr>
                <w:noProof/>
                <w:webHidden/>
              </w:rPr>
              <w:fldChar w:fldCharType="begin"/>
            </w:r>
            <w:r w:rsidRPr="006D439F">
              <w:rPr>
                <w:noProof/>
                <w:webHidden/>
              </w:rPr>
              <w:instrText xml:space="preserve"> PAGEREF _Toc104745750 \h </w:instrText>
            </w:r>
            <w:r w:rsidRPr="006D439F">
              <w:rPr>
                <w:noProof/>
                <w:webHidden/>
              </w:rPr>
            </w:r>
            <w:r w:rsidRPr="006D439F">
              <w:rPr>
                <w:noProof/>
                <w:webHidden/>
              </w:rPr>
              <w:fldChar w:fldCharType="separate"/>
            </w:r>
            <w:r w:rsidR="00805567">
              <w:rPr>
                <w:noProof/>
                <w:webHidden/>
              </w:rPr>
              <w:t>22</w:t>
            </w:r>
            <w:r w:rsidRPr="006D439F">
              <w:rPr>
                <w:noProof/>
                <w:webHidden/>
              </w:rPr>
              <w:fldChar w:fldCharType="end"/>
            </w:r>
          </w:hyperlink>
        </w:p>
        <w:p w14:paraId="5CE66D2A" w14:textId="562A50D0"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bCs/>
              <w:noProof/>
              <w:sz w:val="24"/>
              <w:szCs w:val="24"/>
              <w:lang w:eastAsia="ru-RU"/>
            </w:rPr>
            <w:t xml:space="preserve">Salomatova I.B., Djurayev J.Kh. / </w:t>
          </w:r>
          <w:hyperlink w:anchor="_Toc104745751" w:history="1">
            <w:r w:rsidRPr="006D439F">
              <w:rPr>
                <w:rStyle w:val="a3"/>
                <w:rFonts w:eastAsia="Calibri"/>
                <w:noProof/>
                <w:color w:val="auto"/>
                <w:u w:val="none"/>
              </w:rPr>
              <w:t>Morphological indicators of different types of   chronic polyposis rhinosinusitis</w:t>
            </w:r>
            <w:r w:rsidRPr="006D439F">
              <w:rPr>
                <w:noProof/>
                <w:webHidden/>
              </w:rPr>
              <w:tab/>
            </w:r>
            <w:r w:rsidRPr="006D439F">
              <w:rPr>
                <w:noProof/>
                <w:webHidden/>
              </w:rPr>
              <w:fldChar w:fldCharType="begin"/>
            </w:r>
            <w:r w:rsidRPr="006D439F">
              <w:rPr>
                <w:noProof/>
                <w:webHidden/>
              </w:rPr>
              <w:instrText xml:space="preserve"> PAGEREF _Toc104745751 \h </w:instrText>
            </w:r>
            <w:r w:rsidRPr="006D439F">
              <w:rPr>
                <w:noProof/>
                <w:webHidden/>
              </w:rPr>
            </w:r>
            <w:r w:rsidRPr="006D439F">
              <w:rPr>
                <w:noProof/>
                <w:webHidden/>
              </w:rPr>
              <w:fldChar w:fldCharType="separate"/>
            </w:r>
            <w:r w:rsidR="00805567">
              <w:rPr>
                <w:noProof/>
                <w:webHidden/>
              </w:rPr>
              <w:t>28</w:t>
            </w:r>
            <w:r w:rsidRPr="006D439F">
              <w:rPr>
                <w:noProof/>
                <w:webHidden/>
              </w:rPr>
              <w:fldChar w:fldCharType="end"/>
            </w:r>
          </w:hyperlink>
        </w:p>
        <w:p w14:paraId="0EF6CBBD" w14:textId="26A72A06"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noProof/>
              <w:sz w:val="24"/>
              <w:szCs w:val="24"/>
            </w:rPr>
            <w:t xml:space="preserve">Abdikhamidova Kh., Yarmukhamedova D.Z. / </w:t>
          </w:r>
          <w:r w:rsidRPr="006D439F">
            <w:rPr>
              <w:bCs/>
              <w:noProof/>
            </w:rPr>
            <w:t>Assessment of socio-psychological risk factors for cardiovascular diseases during the COVID-19 pandemic</w:t>
          </w:r>
          <w:hyperlink w:anchor="_Toc104745752" w:history="1">
            <w:r w:rsidRPr="006D439F">
              <w:rPr>
                <w:noProof/>
                <w:webHidden/>
              </w:rPr>
              <w:tab/>
            </w:r>
            <w:r w:rsidR="00500C3F" w:rsidRPr="00500C3F">
              <w:rPr>
                <w:noProof/>
                <w:webHidden/>
              </w:rPr>
              <w:t>30</w:t>
            </w:r>
          </w:hyperlink>
        </w:p>
        <w:p w14:paraId="2CF2BF38" w14:textId="1B7C2FEA"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SimSun" w:cs="Times New Roman"/>
              <w:b/>
              <w:bCs/>
              <w:noProof/>
              <w:sz w:val="24"/>
              <w:szCs w:val="24"/>
              <w:lang w:eastAsia="zh-CN"/>
            </w:rPr>
            <w:t xml:space="preserve">Akbaralieva S.U., Rakhimbaeva G.S. / </w:t>
          </w:r>
          <w:hyperlink w:anchor="_Toc104745753" w:history="1">
            <w:r w:rsidRPr="006D439F">
              <w:rPr>
                <w:rStyle w:val="a3"/>
                <w:rFonts w:eastAsia="SimSun"/>
                <w:noProof/>
                <w:color w:val="auto"/>
                <w:u w:val="none"/>
              </w:rPr>
              <w:t>Specific course of different genesis parenchymatous hemorrhagic stoke</w:t>
            </w:r>
            <w:r w:rsidRPr="006D439F">
              <w:rPr>
                <w:noProof/>
                <w:webHidden/>
              </w:rPr>
              <w:tab/>
            </w:r>
            <w:r w:rsidRPr="006D439F">
              <w:rPr>
                <w:noProof/>
                <w:webHidden/>
              </w:rPr>
              <w:fldChar w:fldCharType="begin"/>
            </w:r>
            <w:r w:rsidRPr="006D439F">
              <w:rPr>
                <w:noProof/>
                <w:webHidden/>
              </w:rPr>
              <w:instrText xml:space="preserve"> PAGEREF _Toc104745753 \h </w:instrText>
            </w:r>
            <w:r w:rsidRPr="006D439F">
              <w:rPr>
                <w:noProof/>
                <w:webHidden/>
              </w:rPr>
            </w:r>
            <w:r w:rsidRPr="006D439F">
              <w:rPr>
                <w:noProof/>
                <w:webHidden/>
              </w:rPr>
              <w:fldChar w:fldCharType="separate"/>
            </w:r>
            <w:r w:rsidR="00805567">
              <w:rPr>
                <w:noProof/>
                <w:webHidden/>
              </w:rPr>
              <w:t>35</w:t>
            </w:r>
            <w:r w:rsidRPr="006D439F">
              <w:rPr>
                <w:noProof/>
                <w:webHidden/>
              </w:rPr>
              <w:fldChar w:fldCharType="end"/>
            </w:r>
          </w:hyperlink>
        </w:p>
        <w:p w14:paraId="779E8B9A" w14:textId="688BAD48"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bCs/>
              <w:iCs/>
              <w:noProof/>
              <w:sz w:val="24"/>
              <w:szCs w:val="24"/>
              <w:lang w:val="uz-Cyrl-UZ"/>
            </w:rPr>
            <w:t>Ataniyazov M</w:t>
          </w:r>
          <w:r w:rsidRPr="006D439F">
            <w:rPr>
              <w:rFonts w:eastAsia="Calibri" w:cs="Times New Roman"/>
              <w:b/>
              <w:bCs/>
              <w:iCs/>
              <w:noProof/>
              <w:sz w:val="24"/>
              <w:szCs w:val="24"/>
            </w:rPr>
            <w:t xml:space="preserve">., </w:t>
          </w:r>
          <w:r w:rsidRPr="006D439F">
            <w:rPr>
              <w:rFonts w:eastAsia="Calibri" w:cs="Times New Roman"/>
              <w:b/>
              <w:bCs/>
              <w:iCs/>
              <w:noProof/>
              <w:sz w:val="24"/>
              <w:szCs w:val="24"/>
              <w:lang w:val="uz-Cyrl-UZ"/>
            </w:rPr>
            <w:t>Khamidov A</w:t>
          </w:r>
          <w:r w:rsidRPr="006D439F">
            <w:rPr>
              <w:rFonts w:eastAsia="Calibri" w:cs="Times New Roman"/>
              <w:b/>
              <w:bCs/>
              <w:iCs/>
              <w:noProof/>
              <w:sz w:val="24"/>
              <w:szCs w:val="24"/>
            </w:rPr>
            <w:t xml:space="preserve">. / </w:t>
          </w:r>
          <w:hyperlink w:anchor="_Toc104745754" w:history="1">
            <w:r w:rsidRPr="006D439F">
              <w:rPr>
                <w:rStyle w:val="a3"/>
                <w:rFonts w:eastAsia="Calibri"/>
                <w:noProof/>
                <w:color w:val="auto"/>
                <w:u w:val="none"/>
              </w:rPr>
              <w:t>The effectiveness of anticoagulant therapy in       COVID-19 associated ischemic stroke</w:t>
            </w:r>
            <w:r w:rsidRPr="006D439F">
              <w:rPr>
                <w:noProof/>
                <w:webHidden/>
              </w:rPr>
              <w:tab/>
            </w:r>
            <w:r w:rsidRPr="006D439F">
              <w:rPr>
                <w:noProof/>
                <w:webHidden/>
              </w:rPr>
              <w:fldChar w:fldCharType="begin"/>
            </w:r>
            <w:r w:rsidRPr="006D439F">
              <w:rPr>
                <w:noProof/>
                <w:webHidden/>
              </w:rPr>
              <w:instrText xml:space="preserve"> PAGEREF _Toc104745754 \h </w:instrText>
            </w:r>
            <w:r w:rsidRPr="006D439F">
              <w:rPr>
                <w:noProof/>
                <w:webHidden/>
              </w:rPr>
            </w:r>
            <w:r w:rsidRPr="006D439F">
              <w:rPr>
                <w:noProof/>
                <w:webHidden/>
              </w:rPr>
              <w:fldChar w:fldCharType="separate"/>
            </w:r>
            <w:r w:rsidR="00805567">
              <w:rPr>
                <w:noProof/>
                <w:webHidden/>
              </w:rPr>
              <w:t>38</w:t>
            </w:r>
            <w:r w:rsidRPr="006D439F">
              <w:rPr>
                <w:noProof/>
                <w:webHidden/>
              </w:rPr>
              <w:fldChar w:fldCharType="end"/>
            </w:r>
          </w:hyperlink>
        </w:p>
        <w:p w14:paraId="185E7EFF" w14:textId="4235D10F"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noProof/>
              <w:sz w:val="24"/>
              <w:szCs w:val="24"/>
              <w:lang w:val="uz-Cyrl-UZ"/>
            </w:rPr>
            <w:lastRenderedPageBreak/>
            <w:t>Sobirova G</w:t>
          </w:r>
          <w:r w:rsidRPr="006D439F">
            <w:rPr>
              <w:rFonts w:eastAsia="Calibri" w:cs="Times New Roman"/>
              <w:b/>
              <w:noProof/>
              <w:sz w:val="24"/>
              <w:szCs w:val="24"/>
            </w:rPr>
            <w:t>.</w:t>
          </w:r>
          <w:r w:rsidRPr="006D439F">
            <w:rPr>
              <w:rFonts w:eastAsia="Calibri" w:cs="Times New Roman"/>
              <w:b/>
              <w:noProof/>
              <w:sz w:val="24"/>
              <w:szCs w:val="24"/>
              <w:lang w:val="uz-Cyrl-UZ"/>
            </w:rPr>
            <w:t>N</w:t>
          </w:r>
          <w:r w:rsidRPr="006D439F">
            <w:rPr>
              <w:rFonts w:eastAsia="Calibri" w:cs="Times New Roman"/>
              <w:b/>
              <w:noProof/>
              <w:sz w:val="24"/>
              <w:szCs w:val="24"/>
            </w:rPr>
            <w:t xml:space="preserve">., </w:t>
          </w:r>
          <w:r w:rsidRPr="006D439F">
            <w:rPr>
              <w:rFonts w:eastAsia="Calibri" w:cs="Times New Roman"/>
              <w:b/>
              <w:noProof/>
              <w:sz w:val="24"/>
              <w:szCs w:val="24"/>
              <w:lang w:val="uz-Cyrl-UZ"/>
            </w:rPr>
            <w:t>Bafoeva Z</w:t>
          </w:r>
          <w:r w:rsidRPr="006D439F">
            <w:rPr>
              <w:rFonts w:eastAsia="Calibri" w:cs="Times New Roman"/>
              <w:b/>
              <w:noProof/>
              <w:sz w:val="24"/>
              <w:szCs w:val="24"/>
            </w:rPr>
            <w:t>.</w:t>
          </w:r>
          <w:r w:rsidRPr="006D439F">
            <w:rPr>
              <w:rFonts w:eastAsia="Calibri" w:cs="Times New Roman"/>
              <w:b/>
              <w:noProof/>
              <w:sz w:val="24"/>
              <w:szCs w:val="24"/>
              <w:lang w:val="uz-Cyrl-UZ"/>
            </w:rPr>
            <w:t>O</w:t>
          </w:r>
          <w:r w:rsidRPr="006D439F">
            <w:rPr>
              <w:rFonts w:eastAsia="Calibri" w:cs="Times New Roman"/>
              <w:b/>
              <w:noProof/>
              <w:sz w:val="24"/>
              <w:szCs w:val="24"/>
            </w:rPr>
            <w:t xml:space="preserve">., </w:t>
          </w:r>
          <w:r w:rsidRPr="006D439F">
            <w:rPr>
              <w:rFonts w:eastAsia="Calibri" w:cs="Times New Roman"/>
              <w:b/>
              <w:noProof/>
              <w:sz w:val="24"/>
              <w:szCs w:val="24"/>
              <w:lang w:val="uz-Cyrl-UZ"/>
            </w:rPr>
            <w:t>Usmankhodzhayeva A</w:t>
          </w:r>
          <w:r w:rsidRPr="006D439F">
            <w:rPr>
              <w:rFonts w:eastAsia="Calibri" w:cs="Times New Roman"/>
              <w:b/>
              <w:noProof/>
              <w:sz w:val="24"/>
              <w:szCs w:val="24"/>
            </w:rPr>
            <w:t>.</w:t>
          </w:r>
          <w:r w:rsidRPr="006D439F">
            <w:rPr>
              <w:rFonts w:eastAsia="Calibri" w:cs="Times New Roman"/>
              <w:b/>
              <w:noProof/>
              <w:sz w:val="24"/>
              <w:szCs w:val="24"/>
              <w:lang w:val="uz-Cyrl-UZ"/>
            </w:rPr>
            <w:t>A</w:t>
          </w:r>
          <w:r w:rsidRPr="006D439F">
            <w:rPr>
              <w:rFonts w:eastAsia="Calibri" w:cs="Times New Roman"/>
              <w:b/>
              <w:noProof/>
              <w:sz w:val="24"/>
              <w:szCs w:val="24"/>
            </w:rPr>
            <w:t xml:space="preserve">. / </w:t>
          </w:r>
          <w:hyperlink w:anchor="_Toc104745755" w:history="1">
            <w:r w:rsidRPr="006D439F">
              <w:rPr>
                <w:rStyle w:val="a3"/>
                <w:rFonts w:eastAsia="Calibri"/>
                <w:noProof/>
                <w:color w:val="auto"/>
                <w:u w:val="none"/>
              </w:rPr>
              <w:t>Clinical and biochemical parameters of patients with COVID-19 with impaired liver function before             and after treatment</w:t>
            </w:r>
            <w:r w:rsidRPr="006D439F">
              <w:rPr>
                <w:noProof/>
                <w:webHidden/>
              </w:rPr>
              <w:tab/>
            </w:r>
            <w:r w:rsidRPr="006D439F">
              <w:rPr>
                <w:noProof/>
                <w:webHidden/>
              </w:rPr>
              <w:fldChar w:fldCharType="begin"/>
            </w:r>
            <w:r w:rsidRPr="006D439F">
              <w:rPr>
                <w:noProof/>
                <w:webHidden/>
              </w:rPr>
              <w:instrText xml:space="preserve"> PAGEREF _Toc104745755 \h </w:instrText>
            </w:r>
            <w:r w:rsidRPr="006D439F">
              <w:rPr>
                <w:noProof/>
                <w:webHidden/>
              </w:rPr>
            </w:r>
            <w:r w:rsidRPr="006D439F">
              <w:rPr>
                <w:noProof/>
                <w:webHidden/>
              </w:rPr>
              <w:fldChar w:fldCharType="separate"/>
            </w:r>
            <w:r w:rsidR="00805567">
              <w:rPr>
                <w:noProof/>
                <w:webHidden/>
              </w:rPr>
              <w:t>42</w:t>
            </w:r>
            <w:r w:rsidRPr="006D439F">
              <w:rPr>
                <w:noProof/>
                <w:webHidden/>
              </w:rPr>
              <w:fldChar w:fldCharType="end"/>
            </w:r>
          </w:hyperlink>
        </w:p>
        <w:p w14:paraId="7C3AAD69" w14:textId="5495CE05"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Times New Roman" w:cs="Times New Roman"/>
              <w:b/>
              <w:noProof/>
              <w:sz w:val="24"/>
              <w:szCs w:val="24"/>
              <w:lang w:eastAsia="ru-RU"/>
            </w:rPr>
            <w:t xml:space="preserve">Ochildiyev M.B., O’ralova S.S. / </w:t>
          </w:r>
          <w:hyperlink w:anchor="_Toc104745756" w:history="1">
            <w:r w:rsidRPr="006D439F">
              <w:rPr>
                <w:rStyle w:val="a3"/>
                <w:noProof/>
                <w:color w:val="auto"/>
                <w:u w:val="none"/>
              </w:rPr>
              <w:t>Use of neuroprotective – gliatilin in the treatment         of optic nerve atrophy</w:t>
            </w:r>
            <w:r w:rsidRPr="006D439F">
              <w:rPr>
                <w:noProof/>
                <w:webHidden/>
              </w:rPr>
              <w:tab/>
            </w:r>
            <w:r w:rsidRPr="006D439F">
              <w:rPr>
                <w:noProof/>
                <w:webHidden/>
              </w:rPr>
              <w:fldChar w:fldCharType="begin"/>
            </w:r>
            <w:r w:rsidRPr="006D439F">
              <w:rPr>
                <w:noProof/>
                <w:webHidden/>
              </w:rPr>
              <w:instrText xml:space="preserve"> PAGEREF _Toc104745756 \h </w:instrText>
            </w:r>
            <w:r w:rsidRPr="006D439F">
              <w:rPr>
                <w:noProof/>
                <w:webHidden/>
              </w:rPr>
            </w:r>
            <w:r w:rsidRPr="006D439F">
              <w:rPr>
                <w:noProof/>
                <w:webHidden/>
              </w:rPr>
              <w:fldChar w:fldCharType="separate"/>
            </w:r>
            <w:r w:rsidR="00805567">
              <w:rPr>
                <w:noProof/>
                <w:webHidden/>
              </w:rPr>
              <w:t>49</w:t>
            </w:r>
            <w:r w:rsidRPr="006D439F">
              <w:rPr>
                <w:noProof/>
                <w:webHidden/>
              </w:rPr>
              <w:fldChar w:fldCharType="end"/>
            </w:r>
          </w:hyperlink>
        </w:p>
        <w:p w14:paraId="721B9EDC" w14:textId="27EBD86E" w:rsidR="00A0077F" w:rsidRPr="006D439F" w:rsidRDefault="00A0077F" w:rsidP="00A0077F">
          <w:pPr>
            <w:pStyle w:val="11"/>
            <w:rPr>
              <w:rFonts w:asciiTheme="minorHAnsi" w:eastAsiaTheme="minorEastAsia" w:hAnsiTheme="minorHAnsi"/>
              <w:noProof/>
              <w:sz w:val="22"/>
              <w:szCs w:val="22"/>
              <w:lang w:eastAsia="ru-RU"/>
            </w:rPr>
          </w:pPr>
          <w:r w:rsidRPr="006D439F">
            <w:rPr>
              <w:rFonts w:eastAsia="Calibri" w:cs="Times New Roman"/>
              <w:b/>
              <w:bCs/>
              <w:noProof/>
              <w:sz w:val="24"/>
              <w:szCs w:val="24"/>
              <w:lang w:val="uz-Cyrl-UZ"/>
            </w:rPr>
            <w:t>Vahobova N.М.</w:t>
          </w:r>
          <w:r w:rsidRPr="006D439F">
            <w:rPr>
              <w:rFonts w:eastAsia="Calibri" w:cs="Times New Roman"/>
              <w:b/>
              <w:bCs/>
              <w:noProof/>
              <w:sz w:val="24"/>
              <w:szCs w:val="24"/>
            </w:rPr>
            <w:t xml:space="preserve">, </w:t>
          </w:r>
          <w:r w:rsidRPr="006D439F">
            <w:rPr>
              <w:rFonts w:eastAsia="Calibri" w:cs="Times New Roman"/>
              <w:b/>
              <w:bCs/>
              <w:noProof/>
              <w:sz w:val="24"/>
              <w:szCs w:val="24"/>
              <w:lang w:val="uz-Cyrl-UZ"/>
            </w:rPr>
            <w:t>Abduvahobov А.А.</w:t>
          </w:r>
          <w:r w:rsidRPr="006D439F">
            <w:rPr>
              <w:rFonts w:eastAsia="Calibri" w:cs="Times New Roman"/>
              <w:b/>
              <w:bCs/>
              <w:noProof/>
              <w:sz w:val="24"/>
              <w:szCs w:val="24"/>
            </w:rPr>
            <w:t xml:space="preserve"> / </w:t>
          </w:r>
          <w:hyperlink w:anchor="_Toc104745757" w:history="1">
            <w:r w:rsidRPr="006D439F">
              <w:rPr>
                <w:rStyle w:val="a3"/>
                <w:rFonts w:eastAsia="Calibri"/>
                <w:noProof/>
                <w:color w:val="auto"/>
                <w:u w:val="none"/>
              </w:rPr>
              <w:t>Clinical-neurological and dopplerographic indications in atherombotic ischemic stroke</w:t>
            </w:r>
            <w:r w:rsidRPr="006D439F">
              <w:rPr>
                <w:noProof/>
                <w:webHidden/>
              </w:rPr>
              <w:tab/>
            </w:r>
            <w:r w:rsidRPr="006D439F">
              <w:rPr>
                <w:noProof/>
                <w:webHidden/>
              </w:rPr>
              <w:fldChar w:fldCharType="begin"/>
            </w:r>
            <w:r w:rsidRPr="006D439F">
              <w:rPr>
                <w:noProof/>
                <w:webHidden/>
              </w:rPr>
              <w:instrText xml:space="preserve"> PAGEREF _Toc104745757 \h </w:instrText>
            </w:r>
            <w:r w:rsidRPr="006D439F">
              <w:rPr>
                <w:noProof/>
                <w:webHidden/>
              </w:rPr>
            </w:r>
            <w:r w:rsidRPr="006D439F">
              <w:rPr>
                <w:noProof/>
                <w:webHidden/>
              </w:rPr>
              <w:fldChar w:fldCharType="separate"/>
            </w:r>
            <w:r w:rsidR="00805567">
              <w:rPr>
                <w:noProof/>
                <w:webHidden/>
              </w:rPr>
              <w:t>53</w:t>
            </w:r>
            <w:r w:rsidRPr="006D439F">
              <w:rPr>
                <w:noProof/>
                <w:webHidden/>
              </w:rPr>
              <w:fldChar w:fldCharType="end"/>
            </w:r>
          </w:hyperlink>
        </w:p>
        <w:p w14:paraId="28AA58BB" w14:textId="6BA35F56" w:rsidR="00A0077F" w:rsidRPr="006D439F" w:rsidRDefault="00A0077F" w:rsidP="00A0077F">
          <w:pPr>
            <w:pStyle w:val="11"/>
            <w:rPr>
              <w:rFonts w:asciiTheme="minorHAnsi" w:eastAsiaTheme="minorEastAsia" w:hAnsiTheme="minorHAnsi"/>
              <w:noProof/>
              <w:sz w:val="22"/>
              <w:szCs w:val="22"/>
              <w:lang w:eastAsia="ru-RU"/>
            </w:rPr>
          </w:pPr>
          <w:r w:rsidRPr="006D439F">
            <w:rPr>
              <w:b/>
              <w:bCs/>
              <w:noProof/>
              <w:sz w:val="24"/>
              <w:lang w:val="uz-Latn-UZ"/>
            </w:rPr>
            <w:t xml:space="preserve">Karlibaev A., Dilsora  M., Tillyashaykhov   M.N. / </w:t>
          </w:r>
          <w:hyperlink w:anchor="_Toc104745758" w:history="1">
            <w:r w:rsidRPr="006D439F">
              <w:rPr>
                <w:rStyle w:val="a3"/>
                <w:noProof/>
                <w:color w:val="auto"/>
                <w:u w:val="none"/>
              </w:rPr>
              <w:t>Trimodal therapy as an organ-preserving method of treatment for bladder cancer</w:t>
            </w:r>
            <w:r w:rsidRPr="006D439F">
              <w:rPr>
                <w:noProof/>
                <w:webHidden/>
              </w:rPr>
              <w:tab/>
            </w:r>
            <w:r w:rsidRPr="006D439F">
              <w:rPr>
                <w:noProof/>
                <w:webHidden/>
              </w:rPr>
              <w:fldChar w:fldCharType="begin"/>
            </w:r>
            <w:r w:rsidRPr="006D439F">
              <w:rPr>
                <w:noProof/>
                <w:webHidden/>
              </w:rPr>
              <w:instrText xml:space="preserve"> PAGEREF _Toc104745758 \h </w:instrText>
            </w:r>
            <w:r w:rsidRPr="006D439F">
              <w:rPr>
                <w:noProof/>
                <w:webHidden/>
              </w:rPr>
            </w:r>
            <w:r w:rsidRPr="006D439F">
              <w:rPr>
                <w:noProof/>
                <w:webHidden/>
              </w:rPr>
              <w:fldChar w:fldCharType="separate"/>
            </w:r>
            <w:r w:rsidR="00805567">
              <w:rPr>
                <w:noProof/>
                <w:webHidden/>
              </w:rPr>
              <w:t>54</w:t>
            </w:r>
            <w:r w:rsidRPr="006D439F">
              <w:rPr>
                <w:noProof/>
                <w:webHidden/>
              </w:rPr>
              <w:fldChar w:fldCharType="end"/>
            </w:r>
          </w:hyperlink>
        </w:p>
        <w:p w14:paraId="612B2BBD" w14:textId="77777777" w:rsidR="00A0077F" w:rsidRDefault="00A0077F">
          <w:pPr>
            <w:pStyle w:val="11"/>
            <w:rPr>
              <w:rFonts w:eastAsia="Times New Roman" w:cs="Times New Roman"/>
              <w:b/>
              <w:sz w:val="24"/>
              <w:szCs w:val="24"/>
              <w:u w:val="single"/>
              <w:lang w:eastAsia="ru-RU"/>
            </w:rPr>
          </w:pPr>
        </w:p>
        <w:p w14:paraId="5B0122B7" w14:textId="2A1ACCAF" w:rsidR="005C65E8" w:rsidRPr="005C65E8" w:rsidRDefault="009E1250">
          <w:pPr>
            <w:pStyle w:val="11"/>
            <w:rPr>
              <w:rFonts w:eastAsia="Times New Roman" w:cs="Times New Roman"/>
              <w:b/>
              <w:sz w:val="24"/>
              <w:szCs w:val="24"/>
              <w:u w:val="single"/>
              <w:lang w:eastAsia="ru-RU"/>
            </w:rPr>
          </w:pPr>
          <w:r w:rsidRPr="009E1250">
            <w:rPr>
              <w:rFonts w:eastAsia="Times New Roman" w:cs="Times New Roman"/>
              <w:b/>
              <w:sz w:val="24"/>
              <w:szCs w:val="24"/>
              <w:u w:val="single"/>
              <w:lang w:eastAsia="ru-RU"/>
            </w:rPr>
            <w:t>HYGIENE, SANITARY AND EPIDEMIOLOGY</w:t>
          </w:r>
        </w:p>
        <w:p w14:paraId="371AC154" w14:textId="49361C7A" w:rsidR="006715E0" w:rsidRPr="006C3C2E" w:rsidRDefault="006715E0">
          <w:pPr>
            <w:pStyle w:val="11"/>
            <w:rPr>
              <w:rFonts w:asciiTheme="minorHAnsi" w:eastAsiaTheme="minorEastAsia" w:hAnsiTheme="minorHAnsi"/>
              <w:noProof/>
              <w:sz w:val="22"/>
              <w:szCs w:val="22"/>
              <w:lang w:val="en" w:eastAsia="ru-RU"/>
            </w:rPr>
          </w:pPr>
          <w:r w:rsidRPr="00F20187">
            <w:rPr>
              <w:rFonts w:eastAsia="Times New Roman" w:cs="Times New Roman"/>
              <w:b/>
              <w:sz w:val="24"/>
              <w:szCs w:val="24"/>
              <w:lang w:eastAsia="ru-RU"/>
            </w:rPr>
            <w:t>Abdullaeva D</w:t>
          </w:r>
          <w:r w:rsidRPr="006C3C2E">
            <w:rPr>
              <w:rFonts w:eastAsia="Times New Roman" w:cs="Times New Roman"/>
              <w:b/>
              <w:sz w:val="24"/>
              <w:szCs w:val="24"/>
              <w:lang w:val="en" w:eastAsia="ru-RU"/>
            </w:rPr>
            <w:t>.</w:t>
          </w:r>
          <w:r w:rsidRPr="00F20187">
            <w:rPr>
              <w:rFonts w:eastAsia="Times New Roman" w:cs="Times New Roman"/>
              <w:b/>
              <w:sz w:val="24"/>
              <w:szCs w:val="24"/>
              <w:lang w:eastAsia="ru-RU"/>
            </w:rPr>
            <w:t>G</w:t>
          </w:r>
          <w:r w:rsidRPr="006C3C2E">
            <w:rPr>
              <w:rFonts w:eastAsia="Times New Roman" w:cs="Times New Roman"/>
              <w:b/>
              <w:sz w:val="24"/>
              <w:szCs w:val="24"/>
              <w:lang w:val="en" w:eastAsia="ru-RU"/>
            </w:rPr>
            <w:t>.</w:t>
          </w:r>
          <w:r w:rsidR="006C3C2E" w:rsidRPr="006C3C2E">
            <w:rPr>
              <w:rFonts w:eastAsia="Times New Roman" w:cs="Times New Roman"/>
              <w:b/>
              <w:sz w:val="24"/>
              <w:szCs w:val="24"/>
              <w:lang w:val="en" w:eastAsia="ru-RU"/>
            </w:rPr>
            <w:t>,</w:t>
          </w:r>
          <w:r w:rsidR="006C3C2E">
            <w:rPr>
              <w:rFonts w:eastAsia="Times New Roman" w:cs="Times New Roman"/>
              <w:b/>
              <w:sz w:val="24"/>
              <w:szCs w:val="24"/>
              <w:lang w:eastAsia="ru-RU"/>
            </w:rPr>
            <w:t xml:space="preserve"> </w:t>
          </w:r>
          <w:r w:rsidR="006C3C2E" w:rsidRPr="006C3C2E">
            <w:rPr>
              <w:rFonts w:eastAsia="Times New Roman" w:cs="Times New Roman"/>
              <w:b/>
              <w:sz w:val="24"/>
              <w:szCs w:val="24"/>
              <w:lang w:val="en" w:eastAsia="ru-RU"/>
            </w:rPr>
            <w:t>Azizova F</w:t>
          </w:r>
          <w:r w:rsidR="006C3C2E">
            <w:rPr>
              <w:rFonts w:eastAsia="Times New Roman" w:cs="Times New Roman"/>
              <w:b/>
              <w:sz w:val="24"/>
              <w:szCs w:val="24"/>
              <w:lang w:val="en" w:eastAsia="ru-RU"/>
            </w:rPr>
            <w:t>.</w:t>
          </w:r>
          <w:r w:rsidR="006C3C2E" w:rsidRPr="006C3C2E">
            <w:rPr>
              <w:rFonts w:eastAsia="Times New Roman" w:cs="Times New Roman"/>
              <w:b/>
              <w:sz w:val="24"/>
              <w:szCs w:val="24"/>
              <w:lang w:val="en" w:eastAsia="ru-RU"/>
            </w:rPr>
            <w:t>L</w:t>
          </w:r>
          <w:r w:rsidR="006C3C2E">
            <w:rPr>
              <w:rFonts w:eastAsia="Times New Roman" w:cs="Times New Roman"/>
              <w:b/>
              <w:sz w:val="24"/>
              <w:szCs w:val="24"/>
              <w:lang w:val="en" w:eastAsia="ru-RU"/>
            </w:rPr>
            <w:t xml:space="preserve">. / </w:t>
          </w:r>
          <w:r w:rsidR="004666C7">
            <w:fldChar w:fldCharType="begin"/>
          </w:r>
          <w:r w:rsidR="004666C7">
            <w:instrText xml:space="preserve"> TOC \o "1-3" \h \z \u </w:instrText>
          </w:r>
          <w:r w:rsidR="004666C7">
            <w:fldChar w:fldCharType="separate"/>
          </w:r>
          <w:hyperlink w:anchor="_Toc104745737" w:history="1">
            <w:r w:rsidRPr="00BB6571">
              <w:rPr>
                <w:rStyle w:val="a3"/>
                <w:noProof/>
              </w:rPr>
              <w:t>To the problem of food allergies and cross-allergic reactions</w:t>
            </w:r>
            <w:r>
              <w:rPr>
                <w:noProof/>
                <w:webHidden/>
              </w:rPr>
              <w:tab/>
            </w:r>
            <w:r>
              <w:rPr>
                <w:noProof/>
                <w:webHidden/>
              </w:rPr>
              <w:fldChar w:fldCharType="begin"/>
            </w:r>
            <w:r>
              <w:rPr>
                <w:noProof/>
                <w:webHidden/>
              </w:rPr>
              <w:instrText xml:space="preserve"> PAGEREF _Toc104745737 \h </w:instrText>
            </w:r>
            <w:r>
              <w:rPr>
                <w:noProof/>
                <w:webHidden/>
              </w:rPr>
            </w:r>
            <w:r>
              <w:rPr>
                <w:noProof/>
                <w:webHidden/>
              </w:rPr>
              <w:fldChar w:fldCharType="separate"/>
            </w:r>
            <w:r w:rsidR="00805567">
              <w:rPr>
                <w:noProof/>
                <w:webHidden/>
              </w:rPr>
              <w:t>64</w:t>
            </w:r>
            <w:r>
              <w:rPr>
                <w:noProof/>
                <w:webHidden/>
              </w:rPr>
              <w:fldChar w:fldCharType="end"/>
            </w:r>
          </w:hyperlink>
        </w:p>
        <w:p w14:paraId="18778D0F" w14:textId="659957F2" w:rsidR="006715E0" w:rsidRPr="006C3C2E" w:rsidRDefault="006C3C2E">
          <w:pPr>
            <w:pStyle w:val="11"/>
            <w:rPr>
              <w:rFonts w:asciiTheme="minorHAnsi" w:eastAsiaTheme="minorEastAsia" w:hAnsiTheme="minorHAnsi"/>
              <w:noProof/>
              <w:sz w:val="22"/>
              <w:szCs w:val="22"/>
              <w:lang w:val="en" w:eastAsia="ru-RU"/>
            </w:rPr>
          </w:pPr>
          <w:r w:rsidRPr="0002083A">
            <w:rPr>
              <w:rFonts w:eastAsia="Calibri" w:cs="Times New Roman"/>
              <w:b/>
              <w:bCs/>
              <w:noProof/>
              <w:sz w:val="24"/>
              <w:szCs w:val="24"/>
              <w:lang w:val="uz-Cyrl-UZ"/>
            </w:rPr>
            <w:t>Niyazova O.A.,</w:t>
          </w:r>
          <w:r w:rsidRPr="006C3C2E">
            <w:rPr>
              <w:rFonts w:eastAsia="Calibri" w:cs="Times New Roman"/>
              <w:b/>
              <w:bCs/>
              <w:noProof/>
              <w:sz w:val="24"/>
              <w:szCs w:val="24"/>
              <w:lang w:val="en"/>
            </w:rPr>
            <w:t xml:space="preserve"> </w:t>
          </w:r>
          <w:r w:rsidRPr="0002083A">
            <w:rPr>
              <w:rFonts w:eastAsia="Calibri" w:cs="Times New Roman"/>
              <w:b/>
              <w:bCs/>
              <w:noProof/>
              <w:sz w:val="24"/>
              <w:szCs w:val="24"/>
              <w:lang w:val="uz-Cyrl-UZ"/>
            </w:rPr>
            <w:t>Salomova F.I.,</w:t>
          </w:r>
          <w:r w:rsidRPr="006C3C2E">
            <w:rPr>
              <w:rFonts w:eastAsia="Calibri" w:cs="Times New Roman"/>
              <w:b/>
              <w:bCs/>
              <w:noProof/>
              <w:sz w:val="24"/>
              <w:szCs w:val="24"/>
              <w:lang w:val="uz-Cyrl-UZ"/>
            </w:rPr>
            <w:t xml:space="preserve"> </w:t>
          </w:r>
          <w:r w:rsidRPr="0002083A">
            <w:rPr>
              <w:rFonts w:eastAsia="Calibri" w:cs="Times New Roman"/>
              <w:b/>
              <w:bCs/>
              <w:noProof/>
              <w:sz w:val="24"/>
              <w:szCs w:val="24"/>
              <w:lang w:val="uz-Cyrl-UZ"/>
            </w:rPr>
            <w:t>Akhmadalieva N.O.</w:t>
          </w:r>
          <w:r>
            <w:rPr>
              <w:rFonts w:eastAsia="Calibri" w:cs="Times New Roman"/>
              <w:b/>
              <w:bCs/>
              <w:noProof/>
              <w:sz w:val="24"/>
              <w:szCs w:val="24"/>
            </w:rPr>
            <w:t xml:space="preserve"> / </w:t>
          </w:r>
          <w:hyperlink w:anchor="_Toc104745738" w:history="1">
            <w:r w:rsidR="006715E0" w:rsidRPr="006C3C2E">
              <w:rPr>
                <w:rStyle w:val="a3"/>
                <w:rFonts w:eastAsia="Calibri"/>
                <w:noProof/>
                <w:lang w:val="en"/>
              </w:rPr>
              <w:t xml:space="preserve">Studying changes in the health </w:t>
            </w:r>
            <w:r w:rsidR="008A1B8D">
              <w:rPr>
                <w:rStyle w:val="a3"/>
                <w:rFonts w:eastAsia="Calibri"/>
                <w:noProof/>
                <w:lang w:val="en"/>
              </w:rPr>
              <w:t xml:space="preserve">    </w:t>
            </w:r>
            <w:r w:rsidR="006715E0" w:rsidRPr="006C3C2E">
              <w:rPr>
                <w:rStyle w:val="a3"/>
                <w:rFonts w:eastAsia="Calibri"/>
                <w:noProof/>
                <w:lang w:val="en"/>
              </w:rPr>
              <w:t>state of school children arising from incorrect fitting</w:t>
            </w:r>
            <w:r w:rsidR="006715E0" w:rsidRPr="006C3C2E">
              <w:rPr>
                <w:noProof/>
                <w:webHidden/>
                <w:lang w:val="en"/>
              </w:rPr>
              <w:tab/>
            </w:r>
            <w:r w:rsidR="006715E0">
              <w:rPr>
                <w:noProof/>
                <w:webHidden/>
              </w:rPr>
              <w:fldChar w:fldCharType="begin"/>
            </w:r>
            <w:r w:rsidR="006715E0" w:rsidRPr="006C3C2E">
              <w:rPr>
                <w:noProof/>
                <w:webHidden/>
                <w:lang w:val="en"/>
              </w:rPr>
              <w:instrText xml:space="preserve"> PAGEREF _Toc104745738 \h </w:instrText>
            </w:r>
            <w:r w:rsidR="006715E0">
              <w:rPr>
                <w:noProof/>
                <w:webHidden/>
              </w:rPr>
            </w:r>
            <w:r w:rsidR="006715E0">
              <w:rPr>
                <w:noProof/>
                <w:webHidden/>
              </w:rPr>
              <w:fldChar w:fldCharType="separate"/>
            </w:r>
            <w:r w:rsidR="00805567">
              <w:rPr>
                <w:noProof/>
                <w:webHidden/>
                <w:lang w:val="en"/>
              </w:rPr>
              <w:t>74</w:t>
            </w:r>
            <w:r w:rsidR="006715E0">
              <w:rPr>
                <w:noProof/>
                <w:webHidden/>
              </w:rPr>
              <w:fldChar w:fldCharType="end"/>
            </w:r>
          </w:hyperlink>
        </w:p>
        <w:p w14:paraId="3D6B2E40" w14:textId="2C79388F" w:rsidR="006715E0" w:rsidRPr="006C3C2E" w:rsidRDefault="006C3C2E">
          <w:pPr>
            <w:pStyle w:val="11"/>
            <w:rPr>
              <w:rFonts w:asciiTheme="minorHAnsi" w:eastAsiaTheme="minorEastAsia" w:hAnsiTheme="minorHAnsi"/>
              <w:noProof/>
              <w:sz w:val="22"/>
              <w:szCs w:val="22"/>
              <w:lang w:val="en" w:eastAsia="ru-RU"/>
            </w:rPr>
          </w:pPr>
          <w:r w:rsidRPr="00EC7FF5">
            <w:rPr>
              <w:rFonts w:cs="Times New Roman"/>
              <w:b/>
              <w:bCs/>
              <w:noProof/>
              <w:sz w:val="24"/>
              <w:szCs w:val="24"/>
              <w:lang w:val="uz-Cyrl-UZ"/>
            </w:rPr>
            <w:t>Sadullayeva Kh</w:t>
          </w:r>
          <w:r>
            <w:rPr>
              <w:rFonts w:cs="Times New Roman"/>
              <w:b/>
              <w:bCs/>
              <w:noProof/>
              <w:sz w:val="24"/>
              <w:szCs w:val="24"/>
            </w:rPr>
            <w:t>.</w:t>
          </w:r>
          <w:r w:rsidRPr="00EC7FF5">
            <w:rPr>
              <w:rFonts w:cs="Times New Roman"/>
              <w:b/>
              <w:bCs/>
              <w:noProof/>
              <w:sz w:val="24"/>
              <w:szCs w:val="24"/>
              <w:lang w:val="uz-Cyrl-UZ"/>
            </w:rPr>
            <w:t>A</w:t>
          </w:r>
          <w:r>
            <w:rPr>
              <w:rFonts w:cs="Times New Roman"/>
              <w:b/>
              <w:bCs/>
              <w:noProof/>
              <w:sz w:val="24"/>
              <w:szCs w:val="24"/>
            </w:rPr>
            <w:t xml:space="preserve">., </w:t>
          </w:r>
          <w:r w:rsidRPr="00EC7FF5">
            <w:rPr>
              <w:rFonts w:cs="Times New Roman"/>
              <w:b/>
              <w:bCs/>
              <w:noProof/>
              <w:sz w:val="24"/>
              <w:szCs w:val="24"/>
              <w:lang w:val="uz-Cyrl-UZ"/>
            </w:rPr>
            <w:t>Salomova F</w:t>
          </w:r>
          <w:r>
            <w:rPr>
              <w:rFonts w:cs="Times New Roman"/>
              <w:b/>
              <w:bCs/>
              <w:noProof/>
              <w:sz w:val="24"/>
              <w:szCs w:val="24"/>
            </w:rPr>
            <w:t>.</w:t>
          </w:r>
          <w:r w:rsidRPr="00EC7FF5">
            <w:rPr>
              <w:rFonts w:cs="Times New Roman"/>
              <w:b/>
              <w:bCs/>
              <w:noProof/>
              <w:sz w:val="24"/>
              <w:szCs w:val="24"/>
              <w:lang w:val="uz-Cyrl-UZ"/>
            </w:rPr>
            <w:t>I</w:t>
          </w:r>
          <w:r>
            <w:rPr>
              <w:rFonts w:cs="Times New Roman"/>
              <w:b/>
              <w:bCs/>
              <w:noProof/>
              <w:sz w:val="24"/>
              <w:szCs w:val="24"/>
            </w:rPr>
            <w:t xml:space="preserve">. / </w:t>
          </w:r>
          <w:hyperlink w:anchor="_Toc104745739" w:history="1">
            <w:r w:rsidR="006715E0" w:rsidRPr="00BB6571">
              <w:rPr>
                <w:rStyle w:val="a3"/>
                <w:noProof/>
              </w:rPr>
              <w:t>Diseases of modern cities and population</w:t>
            </w:r>
            <w:r w:rsidR="006715E0">
              <w:rPr>
                <w:noProof/>
                <w:webHidden/>
              </w:rPr>
              <w:tab/>
            </w:r>
            <w:r w:rsidR="006715E0">
              <w:rPr>
                <w:noProof/>
                <w:webHidden/>
              </w:rPr>
              <w:fldChar w:fldCharType="begin"/>
            </w:r>
            <w:r w:rsidR="006715E0">
              <w:rPr>
                <w:noProof/>
                <w:webHidden/>
              </w:rPr>
              <w:instrText xml:space="preserve"> PAGEREF _Toc104745739 \h </w:instrText>
            </w:r>
            <w:r w:rsidR="006715E0">
              <w:rPr>
                <w:noProof/>
                <w:webHidden/>
              </w:rPr>
            </w:r>
            <w:r w:rsidR="006715E0">
              <w:rPr>
                <w:noProof/>
                <w:webHidden/>
              </w:rPr>
              <w:fldChar w:fldCharType="separate"/>
            </w:r>
            <w:r w:rsidR="00805567">
              <w:rPr>
                <w:noProof/>
                <w:webHidden/>
              </w:rPr>
              <w:t>79</w:t>
            </w:r>
            <w:r w:rsidR="006715E0">
              <w:rPr>
                <w:noProof/>
                <w:webHidden/>
              </w:rPr>
              <w:fldChar w:fldCharType="end"/>
            </w:r>
          </w:hyperlink>
        </w:p>
        <w:p w14:paraId="53DA10C2" w14:textId="3D046D32" w:rsidR="006715E0" w:rsidRPr="006C3C2E" w:rsidRDefault="006C3C2E">
          <w:pPr>
            <w:pStyle w:val="11"/>
            <w:rPr>
              <w:rFonts w:asciiTheme="minorHAnsi" w:eastAsiaTheme="minorEastAsia" w:hAnsiTheme="minorHAnsi"/>
              <w:noProof/>
              <w:sz w:val="22"/>
              <w:szCs w:val="22"/>
              <w:lang w:val="en" w:eastAsia="ru-RU"/>
            </w:rPr>
          </w:pPr>
          <w:r w:rsidRPr="004F7307">
            <w:rPr>
              <w:rFonts w:eastAsia="Calibri" w:cs="Times New Roman"/>
              <w:b/>
              <w:bCs/>
              <w:noProof/>
              <w:sz w:val="24"/>
              <w:szCs w:val="24"/>
            </w:rPr>
            <w:t>Abdullaeva D</w:t>
          </w:r>
          <w:r>
            <w:rPr>
              <w:rFonts w:eastAsia="Calibri" w:cs="Times New Roman"/>
              <w:b/>
              <w:bCs/>
              <w:noProof/>
              <w:sz w:val="24"/>
              <w:szCs w:val="24"/>
            </w:rPr>
            <w:t>.</w:t>
          </w:r>
          <w:r w:rsidRPr="004F7307">
            <w:rPr>
              <w:rFonts w:eastAsia="Calibri" w:cs="Times New Roman"/>
              <w:b/>
              <w:bCs/>
              <w:noProof/>
              <w:sz w:val="24"/>
              <w:szCs w:val="24"/>
            </w:rPr>
            <w:t>G</w:t>
          </w:r>
          <w:r>
            <w:rPr>
              <w:rFonts w:eastAsia="Calibri" w:cs="Times New Roman"/>
              <w:b/>
              <w:bCs/>
              <w:noProof/>
              <w:sz w:val="24"/>
              <w:szCs w:val="24"/>
            </w:rPr>
            <w:t xml:space="preserve">., </w:t>
          </w:r>
          <w:r w:rsidRPr="004F7307">
            <w:rPr>
              <w:rFonts w:eastAsia="Calibri" w:cs="Times New Roman"/>
              <w:b/>
              <w:bCs/>
              <w:noProof/>
              <w:sz w:val="24"/>
              <w:szCs w:val="24"/>
            </w:rPr>
            <w:t>Asrorzoda ZU</w:t>
          </w:r>
          <w:r>
            <w:rPr>
              <w:rFonts w:eastAsia="Calibri" w:cs="Times New Roman"/>
              <w:b/>
              <w:bCs/>
              <w:noProof/>
              <w:sz w:val="24"/>
              <w:szCs w:val="24"/>
            </w:rPr>
            <w:t xml:space="preserve">. / </w:t>
          </w:r>
          <w:hyperlink w:anchor="_Toc104745740" w:history="1">
            <w:r w:rsidR="006715E0" w:rsidRPr="00BB6571">
              <w:rPr>
                <w:rStyle w:val="a3"/>
                <w:rFonts w:eastAsia="Calibri"/>
                <w:noProof/>
              </w:rPr>
              <w:t>The problem of overweight in consideration of comorbidity and nutritional status of the population on the background of obesity</w:t>
            </w:r>
            <w:r w:rsidR="006715E0">
              <w:rPr>
                <w:noProof/>
                <w:webHidden/>
              </w:rPr>
              <w:tab/>
            </w:r>
            <w:r w:rsidR="006715E0">
              <w:rPr>
                <w:noProof/>
                <w:webHidden/>
              </w:rPr>
              <w:fldChar w:fldCharType="begin"/>
            </w:r>
            <w:r w:rsidR="006715E0">
              <w:rPr>
                <w:noProof/>
                <w:webHidden/>
              </w:rPr>
              <w:instrText xml:space="preserve"> PAGEREF _Toc104745740 \h </w:instrText>
            </w:r>
            <w:r w:rsidR="006715E0">
              <w:rPr>
                <w:noProof/>
                <w:webHidden/>
              </w:rPr>
            </w:r>
            <w:r w:rsidR="006715E0">
              <w:rPr>
                <w:noProof/>
                <w:webHidden/>
              </w:rPr>
              <w:fldChar w:fldCharType="separate"/>
            </w:r>
            <w:r w:rsidR="00805567">
              <w:rPr>
                <w:noProof/>
                <w:webHidden/>
              </w:rPr>
              <w:t>85</w:t>
            </w:r>
            <w:r w:rsidR="006715E0">
              <w:rPr>
                <w:noProof/>
                <w:webHidden/>
              </w:rPr>
              <w:fldChar w:fldCharType="end"/>
            </w:r>
          </w:hyperlink>
        </w:p>
        <w:p w14:paraId="6FC1D590" w14:textId="75CCCC88" w:rsidR="006715E0" w:rsidRPr="00F44A75" w:rsidRDefault="006C3C2E">
          <w:pPr>
            <w:pStyle w:val="11"/>
            <w:rPr>
              <w:rFonts w:asciiTheme="minorHAnsi" w:eastAsiaTheme="minorEastAsia" w:hAnsiTheme="minorHAnsi"/>
              <w:noProof/>
              <w:sz w:val="22"/>
              <w:szCs w:val="22"/>
              <w:lang w:val="en" w:eastAsia="ru-RU"/>
            </w:rPr>
          </w:pPr>
          <w:r w:rsidRPr="00B53C0B">
            <w:rPr>
              <w:rFonts w:eastAsia="Calibri" w:cs="Times New Roman"/>
              <w:b/>
              <w:bCs/>
              <w:noProof/>
              <w:sz w:val="24"/>
              <w:szCs w:val="24"/>
            </w:rPr>
            <w:t>Ortikov B</w:t>
          </w:r>
          <w:r>
            <w:rPr>
              <w:rFonts w:eastAsia="Calibri" w:cs="Times New Roman"/>
              <w:b/>
              <w:bCs/>
              <w:noProof/>
              <w:sz w:val="24"/>
              <w:szCs w:val="24"/>
            </w:rPr>
            <w:t>.</w:t>
          </w:r>
          <w:r w:rsidRPr="00B53C0B">
            <w:rPr>
              <w:rFonts w:eastAsia="Calibri" w:cs="Times New Roman"/>
              <w:b/>
              <w:bCs/>
              <w:noProof/>
              <w:sz w:val="24"/>
              <w:szCs w:val="24"/>
            </w:rPr>
            <w:t>B</w:t>
          </w:r>
          <w:r>
            <w:rPr>
              <w:rFonts w:eastAsia="Calibri" w:cs="Times New Roman"/>
              <w:b/>
              <w:bCs/>
              <w:noProof/>
              <w:sz w:val="24"/>
              <w:szCs w:val="24"/>
            </w:rPr>
            <w:t xml:space="preserve">. / </w:t>
          </w:r>
          <w:hyperlink w:anchor="_Toc104745741" w:history="1">
            <w:r w:rsidR="006715E0" w:rsidRPr="00BB6571">
              <w:rPr>
                <w:rStyle w:val="a3"/>
                <w:rFonts w:eastAsia="Calibri"/>
                <w:noProof/>
              </w:rPr>
              <w:t xml:space="preserve">Study and analysis of the anthropometric indicators </w:t>
            </w:r>
            <w:r w:rsidR="008A1B8D">
              <w:rPr>
                <w:rStyle w:val="a3"/>
                <w:rFonts w:eastAsia="Calibri"/>
                <w:noProof/>
              </w:rPr>
              <w:t xml:space="preserve">                              </w:t>
            </w:r>
            <w:r w:rsidR="006715E0" w:rsidRPr="00BB6571">
              <w:rPr>
                <w:rStyle w:val="a3"/>
                <w:rFonts w:eastAsia="Calibri"/>
                <w:noProof/>
              </w:rPr>
              <w:t>of the</w:t>
            </w:r>
            <w:r>
              <w:rPr>
                <w:rStyle w:val="a3"/>
                <w:rFonts w:eastAsia="Calibri"/>
                <w:noProof/>
              </w:rPr>
              <w:t xml:space="preserve"> </w:t>
            </w:r>
            <w:r w:rsidRPr="00BB6571">
              <w:rPr>
                <w:rStyle w:val="a3"/>
                <w:rFonts w:eastAsia="Calibri"/>
                <w:noProof/>
              </w:rPr>
              <w:t>COVID</w:t>
            </w:r>
            <w:r w:rsidR="006715E0" w:rsidRPr="00BB6571">
              <w:rPr>
                <w:rStyle w:val="a3"/>
                <w:rFonts w:eastAsia="Calibri"/>
                <w:noProof/>
              </w:rPr>
              <w:t>-19 patients</w:t>
            </w:r>
            <w:r w:rsidR="006715E0">
              <w:rPr>
                <w:noProof/>
                <w:webHidden/>
              </w:rPr>
              <w:tab/>
            </w:r>
            <w:r w:rsidR="006715E0">
              <w:rPr>
                <w:noProof/>
                <w:webHidden/>
              </w:rPr>
              <w:fldChar w:fldCharType="begin"/>
            </w:r>
            <w:r w:rsidR="006715E0">
              <w:rPr>
                <w:noProof/>
                <w:webHidden/>
              </w:rPr>
              <w:instrText xml:space="preserve"> PAGEREF _Toc104745741 \h </w:instrText>
            </w:r>
            <w:r w:rsidR="006715E0">
              <w:rPr>
                <w:noProof/>
                <w:webHidden/>
              </w:rPr>
            </w:r>
            <w:r w:rsidR="006715E0">
              <w:rPr>
                <w:noProof/>
                <w:webHidden/>
              </w:rPr>
              <w:fldChar w:fldCharType="separate"/>
            </w:r>
            <w:r w:rsidR="00805567">
              <w:rPr>
                <w:noProof/>
                <w:webHidden/>
              </w:rPr>
              <w:t>92</w:t>
            </w:r>
            <w:r w:rsidR="006715E0">
              <w:rPr>
                <w:noProof/>
                <w:webHidden/>
              </w:rPr>
              <w:fldChar w:fldCharType="end"/>
            </w:r>
          </w:hyperlink>
        </w:p>
        <w:p w14:paraId="7A2AF583" w14:textId="50548CEF" w:rsidR="006715E0" w:rsidRPr="00F44A75" w:rsidRDefault="00F44A75">
          <w:pPr>
            <w:pStyle w:val="11"/>
            <w:rPr>
              <w:rFonts w:asciiTheme="minorHAnsi" w:eastAsiaTheme="minorEastAsia" w:hAnsiTheme="minorHAnsi"/>
              <w:noProof/>
              <w:sz w:val="22"/>
              <w:szCs w:val="22"/>
              <w:lang w:val="en" w:eastAsia="ru-RU"/>
            </w:rPr>
          </w:pPr>
          <w:r w:rsidRPr="00235FAF">
            <w:rPr>
              <w:rFonts w:cs="Times New Roman"/>
              <w:b/>
              <w:bCs/>
              <w:noProof/>
              <w:sz w:val="24"/>
              <w:szCs w:val="24"/>
            </w:rPr>
            <w:t>Otajonov I.O., Ismailova M.B., Turkmanbaeva F.N., Fayzibоyev S.S.</w:t>
          </w:r>
          <w:r>
            <w:rPr>
              <w:rFonts w:cs="Times New Roman"/>
              <w:b/>
              <w:bCs/>
              <w:noProof/>
              <w:sz w:val="24"/>
              <w:szCs w:val="24"/>
            </w:rPr>
            <w:t xml:space="preserve"> / </w:t>
          </w:r>
          <w:hyperlink w:anchor="_Toc104745742" w:history="1">
            <w:r w:rsidR="006715E0" w:rsidRPr="00BB6571">
              <w:rPr>
                <w:rStyle w:val="a3"/>
                <w:noProof/>
              </w:rPr>
              <w:t xml:space="preserve">Assessment </w:t>
            </w:r>
            <w:r>
              <w:rPr>
                <w:rStyle w:val="a3"/>
                <w:noProof/>
              </w:rPr>
              <w:t xml:space="preserve">              </w:t>
            </w:r>
            <w:r w:rsidR="006715E0" w:rsidRPr="00BB6571">
              <w:rPr>
                <w:rStyle w:val="a3"/>
                <w:noProof/>
              </w:rPr>
              <w:t>of actual nutrition of patients with chronic disease of kidneys</w:t>
            </w:r>
            <w:r w:rsidR="006715E0">
              <w:rPr>
                <w:noProof/>
                <w:webHidden/>
              </w:rPr>
              <w:tab/>
            </w:r>
            <w:r w:rsidR="006715E0">
              <w:rPr>
                <w:noProof/>
                <w:webHidden/>
              </w:rPr>
              <w:fldChar w:fldCharType="begin"/>
            </w:r>
            <w:r w:rsidR="006715E0">
              <w:rPr>
                <w:noProof/>
                <w:webHidden/>
              </w:rPr>
              <w:instrText xml:space="preserve"> PAGEREF _Toc104745742 \h </w:instrText>
            </w:r>
            <w:r w:rsidR="006715E0">
              <w:rPr>
                <w:noProof/>
                <w:webHidden/>
              </w:rPr>
            </w:r>
            <w:r w:rsidR="006715E0">
              <w:rPr>
                <w:noProof/>
                <w:webHidden/>
              </w:rPr>
              <w:fldChar w:fldCharType="separate"/>
            </w:r>
            <w:r w:rsidR="00805567">
              <w:rPr>
                <w:noProof/>
                <w:webHidden/>
              </w:rPr>
              <w:t>94</w:t>
            </w:r>
            <w:r w:rsidR="006715E0">
              <w:rPr>
                <w:noProof/>
                <w:webHidden/>
              </w:rPr>
              <w:fldChar w:fldCharType="end"/>
            </w:r>
          </w:hyperlink>
        </w:p>
        <w:p w14:paraId="5D199AB3" w14:textId="279A1040" w:rsidR="006715E0" w:rsidRPr="00F44A75" w:rsidRDefault="00F44A75">
          <w:pPr>
            <w:pStyle w:val="11"/>
            <w:rPr>
              <w:rFonts w:asciiTheme="minorHAnsi" w:eastAsiaTheme="minorEastAsia" w:hAnsiTheme="minorHAnsi"/>
              <w:noProof/>
              <w:sz w:val="22"/>
              <w:szCs w:val="22"/>
              <w:lang w:val="en" w:eastAsia="ru-RU"/>
            </w:rPr>
          </w:pPr>
          <w:r w:rsidRPr="00B71C19">
            <w:rPr>
              <w:rFonts w:cs="Times New Roman"/>
              <w:b/>
              <w:bCs/>
              <w:noProof/>
              <w:sz w:val="24"/>
              <w:szCs w:val="24"/>
              <w:lang w:val="uz-Latn-UZ"/>
            </w:rPr>
            <w:t>Karimov Kh</w:t>
          </w:r>
          <w:r>
            <w:rPr>
              <w:rFonts w:cs="Times New Roman"/>
              <w:b/>
              <w:bCs/>
              <w:noProof/>
              <w:sz w:val="24"/>
              <w:szCs w:val="24"/>
              <w:lang w:val="uz-Latn-UZ"/>
            </w:rPr>
            <w:t xml:space="preserve">., </w:t>
          </w:r>
          <w:r w:rsidRPr="00B71C19">
            <w:rPr>
              <w:rFonts w:cs="Times New Roman"/>
              <w:b/>
              <w:bCs/>
              <w:noProof/>
              <w:sz w:val="24"/>
              <w:szCs w:val="24"/>
              <w:lang w:val="uz-Latn-UZ"/>
            </w:rPr>
            <w:t>Ermatov N</w:t>
          </w:r>
          <w:r>
            <w:rPr>
              <w:rFonts w:cs="Times New Roman"/>
              <w:b/>
              <w:bCs/>
              <w:noProof/>
              <w:sz w:val="24"/>
              <w:szCs w:val="24"/>
              <w:lang w:val="uz-Latn-UZ"/>
            </w:rPr>
            <w:t xml:space="preserve">., </w:t>
          </w:r>
          <w:r w:rsidRPr="00B71C19">
            <w:rPr>
              <w:rFonts w:cs="Times New Roman"/>
              <w:b/>
              <w:bCs/>
              <w:noProof/>
              <w:sz w:val="24"/>
              <w:szCs w:val="24"/>
              <w:lang w:val="uz-Latn-UZ"/>
            </w:rPr>
            <w:t>Munojatkhon A</w:t>
          </w:r>
          <w:r>
            <w:rPr>
              <w:rFonts w:cs="Times New Roman"/>
              <w:b/>
              <w:bCs/>
              <w:noProof/>
              <w:sz w:val="24"/>
              <w:szCs w:val="24"/>
              <w:lang w:val="uz-Latn-UZ"/>
            </w:rPr>
            <w:t xml:space="preserve">. / </w:t>
          </w:r>
          <w:hyperlink w:anchor="_Toc104745743" w:history="1">
            <w:r w:rsidR="006715E0" w:rsidRPr="00BB6571">
              <w:rPr>
                <w:rStyle w:val="a3"/>
                <w:noProof/>
              </w:rPr>
              <w:t>Hygienic aspects of nutrition micronutrients deficiency in preschool children</w:t>
            </w:r>
            <w:r w:rsidR="006715E0">
              <w:rPr>
                <w:noProof/>
                <w:webHidden/>
              </w:rPr>
              <w:tab/>
            </w:r>
            <w:r w:rsidR="006715E0">
              <w:rPr>
                <w:noProof/>
                <w:webHidden/>
              </w:rPr>
              <w:fldChar w:fldCharType="begin"/>
            </w:r>
            <w:r w:rsidR="006715E0">
              <w:rPr>
                <w:noProof/>
                <w:webHidden/>
              </w:rPr>
              <w:instrText xml:space="preserve"> PAGEREF _Toc104745743 \h </w:instrText>
            </w:r>
            <w:r w:rsidR="006715E0">
              <w:rPr>
                <w:noProof/>
                <w:webHidden/>
              </w:rPr>
            </w:r>
            <w:r w:rsidR="006715E0">
              <w:rPr>
                <w:noProof/>
                <w:webHidden/>
              </w:rPr>
              <w:fldChar w:fldCharType="separate"/>
            </w:r>
            <w:r w:rsidR="00805567">
              <w:rPr>
                <w:noProof/>
                <w:webHidden/>
              </w:rPr>
              <w:t>100</w:t>
            </w:r>
            <w:r w:rsidR="006715E0">
              <w:rPr>
                <w:noProof/>
                <w:webHidden/>
              </w:rPr>
              <w:fldChar w:fldCharType="end"/>
            </w:r>
          </w:hyperlink>
        </w:p>
        <w:p w14:paraId="3A50A576" w14:textId="0917EB52" w:rsidR="006715E0" w:rsidRPr="00D27CEF" w:rsidRDefault="00F44A75">
          <w:pPr>
            <w:pStyle w:val="11"/>
            <w:rPr>
              <w:rFonts w:asciiTheme="minorHAnsi" w:eastAsiaTheme="minorEastAsia" w:hAnsiTheme="minorHAnsi"/>
              <w:noProof/>
              <w:sz w:val="22"/>
              <w:szCs w:val="22"/>
              <w:lang w:val="it-IT" w:eastAsia="ru-RU"/>
            </w:rPr>
          </w:pPr>
          <w:r w:rsidRPr="00D27CEF">
            <w:rPr>
              <w:rFonts w:eastAsia="SimSun" w:cs="Times New Roman"/>
              <w:b/>
              <w:bCs/>
              <w:iCs/>
              <w:noProof/>
              <w:sz w:val="24"/>
              <w:szCs w:val="24"/>
              <w:lang w:val="it-IT" w:eastAsia="zh-CN"/>
            </w:rPr>
            <w:t xml:space="preserve">Shabonova D.B., </w:t>
          </w:r>
          <w:r w:rsidR="00D27CEF" w:rsidRPr="00D27CEF">
            <w:rPr>
              <w:rFonts w:eastAsia="SimSun" w:cs="Times New Roman"/>
              <w:b/>
              <w:bCs/>
              <w:iCs/>
              <w:noProof/>
              <w:sz w:val="24"/>
              <w:szCs w:val="24"/>
              <w:lang w:val="it-IT" w:eastAsia="zh-CN"/>
            </w:rPr>
            <w:t xml:space="preserve">Iskandarova G.T. </w:t>
          </w:r>
          <w:r w:rsidR="00D27CEF">
            <w:rPr>
              <w:rFonts w:eastAsia="SimSun" w:cs="Times New Roman"/>
              <w:b/>
              <w:bCs/>
              <w:iCs/>
              <w:noProof/>
              <w:sz w:val="24"/>
              <w:szCs w:val="24"/>
              <w:lang w:val="it-IT" w:eastAsia="zh-CN"/>
            </w:rPr>
            <w:t xml:space="preserve">/ </w:t>
          </w:r>
          <w:hyperlink w:anchor="_Toc104745744" w:history="1">
            <w:r w:rsidR="006715E0" w:rsidRPr="00D27CEF">
              <w:rPr>
                <w:rStyle w:val="a3"/>
                <w:rFonts w:eastAsia="SimSun"/>
                <w:noProof/>
                <w:lang w:val="it-IT"/>
              </w:rPr>
              <w:t xml:space="preserve">Hygienic characteristics of drinking water </w:t>
            </w:r>
            <w:r w:rsidR="00D27CEF">
              <w:rPr>
                <w:rStyle w:val="a3"/>
                <w:rFonts w:eastAsia="SimSun"/>
                <w:noProof/>
                <w:lang w:val="it-IT"/>
              </w:rPr>
              <w:t xml:space="preserve">     </w:t>
            </w:r>
            <w:r w:rsidR="006715E0" w:rsidRPr="00D27CEF">
              <w:rPr>
                <w:rStyle w:val="a3"/>
                <w:rFonts w:eastAsia="SimSun"/>
                <w:noProof/>
                <w:lang w:val="it-IT"/>
              </w:rPr>
              <w:t>supply of the urban</w:t>
            </w:r>
            <w:r w:rsidR="006715E0" w:rsidRPr="00BB6571">
              <w:rPr>
                <w:rStyle w:val="a3"/>
                <w:rFonts w:eastAsia="SimSun"/>
                <w:noProof/>
                <w:lang w:val="uz-Cyrl-UZ"/>
              </w:rPr>
              <w:t xml:space="preserve"> </w:t>
            </w:r>
            <w:r w:rsidR="006715E0" w:rsidRPr="00D27CEF">
              <w:rPr>
                <w:rStyle w:val="a3"/>
                <w:rFonts w:eastAsia="SimSun"/>
                <w:noProof/>
                <w:lang w:val="it-IT"/>
              </w:rPr>
              <w:t>population</w:t>
            </w:r>
            <w:r w:rsidR="006715E0" w:rsidRPr="00D27CEF">
              <w:rPr>
                <w:noProof/>
                <w:webHidden/>
                <w:lang w:val="it-IT"/>
              </w:rPr>
              <w:tab/>
            </w:r>
            <w:r w:rsidR="006715E0">
              <w:rPr>
                <w:noProof/>
                <w:webHidden/>
              </w:rPr>
              <w:fldChar w:fldCharType="begin"/>
            </w:r>
            <w:r w:rsidR="006715E0" w:rsidRPr="00D27CEF">
              <w:rPr>
                <w:noProof/>
                <w:webHidden/>
                <w:lang w:val="it-IT"/>
              </w:rPr>
              <w:instrText xml:space="preserve"> PAGEREF _Toc104745744 \h </w:instrText>
            </w:r>
            <w:r w:rsidR="006715E0">
              <w:rPr>
                <w:noProof/>
                <w:webHidden/>
              </w:rPr>
            </w:r>
            <w:r w:rsidR="006715E0">
              <w:rPr>
                <w:noProof/>
                <w:webHidden/>
              </w:rPr>
              <w:fldChar w:fldCharType="separate"/>
            </w:r>
            <w:r w:rsidR="00805567">
              <w:rPr>
                <w:noProof/>
                <w:webHidden/>
                <w:lang w:val="it-IT"/>
              </w:rPr>
              <w:t>109</w:t>
            </w:r>
            <w:r w:rsidR="006715E0">
              <w:rPr>
                <w:noProof/>
                <w:webHidden/>
              </w:rPr>
              <w:fldChar w:fldCharType="end"/>
            </w:r>
          </w:hyperlink>
        </w:p>
        <w:p w14:paraId="42E870F1" w14:textId="4AA906BF" w:rsidR="006715E0" w:rsidRPr="00D27CEF" w:rsidRDefault="00D27CEF">
          <w:pPr>
            <w:pStyle w:val="11"/>
            <w:rPr>
              <w:rFonts w:asciiTheme="minorHAnsi" w:eastAsiaTheme="minorEastAsia" w:hAnsiTheme="minorHAnsi"/>
              <w:noProof/>
              <w:sz w:val="22"/>
              <w:szCs w:val="22"/>
              <w:lang w:val="it-IT" w:eastAsia="ru-RU"/>
            </w:rPr>
          </w:pPr>
          <w:r w:rsidRPr="000A2B5C">
            <w:rPr>
              <w:rFonts w:eastAsia="Calibri" w:cs="Times New Roman"/>
              <w:b/>
              <w:noProof/>
              <w:sz w:val="24"/>
              <w:szCs w:val="24"/>
              <w:lang w:val="uz-Cyrl-UZ"/>
            </w:rPr>
            <w:t>Tajieva Z</w:t>
          </w:r>
          <w:r w:rsidRPr="00D27CEF">
            <w:rPr>
              <w:rFonts w:eastAsia="Calibri" w:cs="Times New Roman"/>
              <w:b/>
              <w:noProof/>
              <w:sz w:val="24"/>
              <w:szCs w:val="24"/>
              <w:lang w:val="it-IT"/>
            </w:rPr>
            <w:t>.</w:t>
          </w:r>
          <w:r w:rsidRPr="000A2B5C">
            <w:rPr>
              <w:rFonts w:eastAsia="Calibri" w:cs="Times New Roman"/>
              <w:b/>
              <w:noProof/>
              <w:sz w:val="24"/>
              <w:szCs w:val="24"/>
              <w:lang w:val="uz-Cyrl-UZ"/>
            </w:rPr>
            <w:t>B</w:t>
          </w:r>
          <w:r w:rsidRPr="00D27CEF">
            <w:rPr>
              <w:rFonts w:eastAsia="Calibri" w:cs="Times New Roman"/>
              <w:b/>
              <w:noProof/>
              <w:sz w:val="24"/>
              <w:szCs w:val="24"/>
              <w:lang w:val="it-IT"/>
            </w:rPr>
            <w:t xml:space="preserve">., </w:t>
          </w:r>
          <w:r w:rsidRPr="000A2B5C">
            <w:rPr>
              <w:rFonts w:eastAsia="Calibri" w:cs="Times New Roman"/>
              <w:b/>
              <w:noProof/>
              <w:sz w:val="24"/>
              <w:szCs w:val="24"/>
              <w:lang w:val="uz-Cyrl-UZ"/>
            </w:rPr>
            <w:t>Shaykhova G</w:t>
          </w:r>
          <w:r w:rsidRPr="00D27CEF">
            <w:rPr>
              <w:rFonts w:eastAsia="Calibri" w:cs="Times New Roman"/>
              <w:b/>
              <w:noProof/>
              <w:sz w:val="24"/>
              <w:szCs w:val="24"/>
              <w:lang w:val="it-IT"/>
            </w:rPr>
            <w:t>.</w:t>
          </w:r>
          <w:r w:rsidRPr="000A2B5C">
            <w:rPr>
              <w:rFonts w:eastAsia="Calibri" w:cs="Times New Roman"/>
              <w:b/>
              <w:noProof/>
              <w:sz w:val="24"/>
              <w:szCs w:val="24"/>
              <w:lang w:val="uz-Cyrl-UZ"/>
            </w:rPr>
            <w:t>I</w:t>
          </w:r>
          <w:r w:rsidRPr="00D27CEF">
            <w:rPr>
              <w:rFonts w:eastAsia="Calibri" w:cs="Times New Roman"/>
              <w:b/>
              <w:noProof/>
              <w:sz w:val="24"/>
              <w:szCs w:val="24"/>
              <w:lang w:val="it-IT"/>
            </w:rPr>
            <w:t xml:space="preserve">. </w:t>
          </w:r>
          <w:r>
            <w:rPr>
              <w:rFonts w:eastAsia="Calibri" w:cs="Times New Roman"/>
              <w:b/>
              <w:noProof/>
              <w:sz w:val="24"/>
              <w:szCs w:val="24"/>
              <w:lang w:val="it-IT"/>
            </w:rPr>
            <w:t xml:space="preserve">/ </w:t>
          </w:r>
          <w:hyperlink w:anchor="_Toc104745745" w:history="1">
            <w:r w:rsidR="006715E0" w:rsidRPr="00D27CEF">
              <w:rPr>
                <w:rStyle w:val="a3"/>
                <w:noProof/>
                <w:lang w:val="it-IT"/>
              </w:rPr>
              <w:t xml:space="preserve">Peculiarities of the development of oxalate </w:t>
            </w:r>
            <w:r w:rsidR="008A1B8D">
              <w:rPr>
                <w:rStyle w:val="a3"/>
                <w:noProof/>
                <w:lang w:val="it-IT"/>
              </w:rPr>
              <w:t xml:space="preserve">   </w:t>
            </w:r>
            <w:r w:rsidR="006715E0" w:rsidRPr="00D27CEF">
              <w:rPr>
                <w:rStyle w:val="a3"/>
                <w:noProof/>
                <w:lang w:val="it-IT"/>
              </w:rPr>
              <w:t xml:space="preserve">nephropathy in children in the aral sea region and the regional </w:t>
            </w:r>
            <w:r w:rsidR="008A1B8D">
              <w:rPr>
                <w:rStyle w:val="a3"/>
                <w:noProof/>
                <w:lang w:val="it-IT"/>
              </w:rPr>
              <w:t xml:space="preserve">                           </w:t>
            </w:r>
            <w:r w:rsidR="006715E0" w:rsidRPr="00D27CEF">
              <w:rPr>
                <w:rStyle w:val="a3"/>
                <w:noProof/>
                <w:lang w:val="it-IT"/>
              </w:rPr>
              <w:t>approach to treatment</w:t>
            </w:r>
            <w:r w:rsidR="006715E0" w:rsidRPr="00D27CEF">
              <w:rPr>
                <w:noProof/>
                <w:webHidden/>
                <w:lang w:val="it-IT"/>
              </w:rPr>
              <w:tab/>
            </w:r>
            <w:r w:rsidR="006715E0">
              <w:rPr>
                <w:noProof/>
                <w:webHidden/>
              </w:rPr>
              <w:fldChar w:fldCharType="begin"/>
            </w:r>
            <w:r w:rsidR="006715E0" w:rsidRPr="00D27CEF">
              <w:rPr>
                <w:noProof/>
                <w:webHidden/>
                <w:lang w:val="it-IT"/>
              </w:rPr>
              <w:instrText xml:space="preserve"> PAGEREF _Toc104745745 \h </w:instrText>
            </w:r>
            <w:r w:rsidR="006715E0">
              <w:rPr>
                <w:noProof/>
                <w:webHidden/>
              </w:rPr>
            </w:r>
            <w:r w:rsidR="006715E0">
              <w:rPr>
                <w:noProof/>
                <w:webHidden/>
              </w:rPr>
              <w:fldChar w:fldCharType="separate"/>
            </w:r>
            <w:r w:rsidR="00805567">
              <w:rPr>
                <w:noProof/>
                <w:webHidden/>
                <w:lang w:val="it-IT"/>
              </w:rPr>
              <w:t>116</w:t>
            </w:r>
            <w:r w:rsidR="006715E0">
              <w:rPr>
                <w:noProof/>
                <w:webHidden/>
              </w:rPr>
              <w:fldChar w:fldCharType="end"/>
            </w:r>
          </w:hyperlink>
        </w:p>
        <w:p w14:paraId="6A41958E" w14:textId="014084C4" w:rsidR="006715E0" w:rsidRPr="00D27CEF" w:rsidRDefault="00D27CEF">
          <w:pPr>
            <w:pStyle w:val="11"/>
            <w:rPr>
              <w:rFonts w:asciiTheme="minorHAnsi" w:eastAsiaTheme="minorEastAsia" w:hAnsiTheme="minorHAnsi"/>
              <w:noProof/>
              <w:sz w:val="22"/>
              <w:szCs w:val="22"/>
              <w:lang w:val="it-IT" w:eastAsia="ru-RU"/>
            </w:rPr>
          </w:pPr>
          <w:r w:rsidRPr="00D27CEF">
            <w:rPr>
              <w:rFonts w:eastAsia="Calibri" w:cs="Times New Roman"/>
              <w:b/>
              <w:bCs/>
              <w:noProof/>
              <w:sz w:val="24"/>
              <w:szCs w:val="24"/>
              <w:lang w:val="it-IT"/>
            </w:rPr>
            <w:t xml:space="preserve">Karimov A., Fayziyevna M.F. </w:t>
          </w:r>
          <w:r>
            <w:rPr>
              <w:rFonts w:eastAsia="Calibri" w:cs="Times New Roman"/>
              <w:b/>
              <w:bCs/>
              <w:noProof/>
              <w:sz w:val="24"/>
              <w:szCs w:val="24"/>
              <w:lang w:val="it-IT"/>
            </w:rPr>
            <w:t xml:space="preserve">/ </w:t>
          </w:r>
          <w:hyperlink w:anchor="_Toc104745746" w:history="1">
            <w:r w:rsidR="006715E0" w:rsidRPr="00D27CEF">
              <w:rPr>
                <w:rStyle w:val="a3"/>
                <w:rFonts w:eastAsia="Calibri"/>
                <w:noProof/>
                <w:lang w:val="it-IT"/>
              </w:rPr>
              <w:t xml:space="preserve">Modern and hygienic foundations of the structure </w:t>
            </w:r>
            <w:r w:rsidR="008A1B8D">
              <w:rPr>
                <w:rStyle w:val="a3"/>
                <w:rFonts w:eastAsia="Calibri"/>
                <w:noProof/>
                <w:lang w:val="it-IT"/>
              </w:rPr>
              <w:t xml:space="preserve">            </w:t>
            </w:r>
            <w:r w:rsidR="006715E0" w:rsidRPr="00D27CEF">
              <w:rPr>
                <w:rStyle w:val="a3"/>
                <w:rFonts w:eastAsia="Calibri"/>
                <w:noProof/>
                <w:lang w:val="it-IT"/>
              </w:rPr>
              <w:t>of medical and preventive institutions</w:t>
            </w:r>
            <w:r w:rsidR="006715E0" w:rsidRPr="00D27CEF">
              <w:rPr>
                <w:noProof/>
                <w:webHidden/>
                <w:lang w:val="it-IT"/>
              </w:rPr>
              <w:tab/>
            </w:r>
            <w:r w:rsidR="006715E0">
              <w:rPr>
                <w:noProof/>
                <w:webHidden/>
              </w:rPr>
              <w:fldChar w:fldCharType="begin"/>
            </w:r>
            <w:r w:rsidR="006715E0" w:rsidRPr="00D27CEF">
              <w:rPr>
                <w:noProof/>
                <w:webHidden/>
                <w:lang w:val="it-IT"/>
              </w:rPr>
              <w:instrText xml:space="preserve"> PAGEREF _Toc104745746 \h </w:instrText>
            </w:r>
            <w:r w:rsidR="006715E0">
              <w:rPr>
                <w:noProof/>
                <w:webHidden/>
              </w:rPr>
            </w:r>
            <w:r w:rsidR="006715E0">
              <w:rPr>
                <w:noProof/>
                <w:webHidden/>
              </w:rPr>
              <w:fldChar w:fldCharType="separate"/>
            </w:r>
            <w:r w:rsidR="00805567">
              <w:rPr>
                <w:noProof/>
                <w:webHidden/>
                <w:lang w:val="it-IT"/>
              </w:rPr>
              <w:t>124</w:t>
            </w:r>
            <w:r w:rsidR="006715E0">
              <w:rPr>
                <w:noProof/>
                <w:webHidden/>
              </w:rPr>
              <w:fldChar w:fldCharType="end"/>
            </w:r>
          </w:hyperlink>
        </w:p>
        <w:p w14:paraId="711357C7" w14:textId="51D80BA4" w:rsidR="006715E0" w:rsidRPr="00A0077F" w:rsidRDefault="009E39C2">
          <w:pPr>
            <w:pStyle w:val="11"/>
            <w:rPr>
              <w:rFonts w:asciiTheme="minorHAnsi" w:eastAsiaTheme="minorEastAsia" w:hAnsiTheme="minorHAnsi"/>
              <w:noProof/>
              <w:sz w:val="22"/>
              <w:szCs w:val="22"/>
              <w:lang w:eastAsia="ru-RU"/>
            </w:rPr>
          </w:pPr>
          <w:r w:rsidRPr="00A0077F">
            <w:rPr>
              <w:rFonts w:cs="Times New Roman"/>
              <w:b/>
              <w:bCs/>
              <w:noProof/>
              <w:sz w:val="24"/>
              <w:szCs w:val="24"/>
            </w:rPr>
            <w:lastRenderedPageBreak/>
            <w:t>Khayitov J.B</w:t>
          </w:r>
          <w:r w:rsidRPr="00A0077F">
            <w:rPr>
              <w:rFonts w:cs="Times New Roman"/>
              <w:noProof/>
              <w:sz w:val="24"/>
              <w:szCs w:val="24"/>
            </w:rPr>
            <w:t xml:space="preserve">. / </w:t>
          </w:r>
          <w:hyperlink w:anchor="_Toc104745747" w:history="1">
            <w:r w:rsidR="006715E0" w:rsidRPr="00A0077F">
              <w:rPr>
                <w:rStyle w:val="a3"/>
                <w:noProof/>
              </w:rPr>
              <w:t xml:space="preserve">Hygienic assessment of boiled sausages and sausages produced </w:t>
            </w:r>
            <w:r w:rsidR="008A1B8D">
              <w:rPr>
                <w:rStyle w:val="a3"/>
                <w:noProof/>
              </w:rPr>
              <w:t xml:space="preserve">            </w:t>
            </w:r>
            <w:r w:rsidR="006715E0" w:rsidRPr="00A0077F">
              <w:rPr>
                <w:rStyle w:val="a3"/>
                <w:noProof/>
              </w:rPr>
              <w:t>by «</w:t>
            </w:r>
            <w:r w:rsidRPr="00A0077F">
              <w:rPr>
                <w:rStyle w:val="a3"/>
                <w:noProof/>
              </w:rPr>
              <w:t>Rozmetov</w:t>
            </w:r>
            <w:r w:rsidR="006715E0" w:rsidRPr="00A0077F">
              <w:rPr>
                <w:rStyle w:val="a3"/>
                <w:noProof/>
              </w:rPr>
              <w:t>» (</w:t>
            </w:r>
            <w:r w:rsidRPr="00A0077F">
              <w:rPr>
                <w:rStyle w:val="a3"/>
                <w:noProof/>
              </w:rPr>
              <w:t>Uzbekistan</w:t>
            </w:r>
            <w:r w:rsidR="006715E0" w:rsidRPr="00A0077F">
              <w:rPr>
                <w:rStyle w:val="a3"/>
                <w:noProof/>
              </w:rPr>
              <w:t>)</w:t>
            </w:r>
            <w:r w:rsidR="006715E0" w:rsidRPr="00A0077F">
              <w:rPr>
                <w:noProof/>
                <w:webHidden/>
              </w:rPr>
              <w:tab/>
            </w:r>
            <w:r w:rsidR="006715E0">
              <w:rPr>
                <w:noProof/>
                <w:webHidden/>
              </w:rPr>
              <w:fldChar w:fldCharType="begin"/>
            </w:r>
            <w:r w:rsidR="006715E0" w:rsidRPr="00A0077F">
              <w:rPr>
                <w:noProof/>
                <w:webHidden/>
              </w:rPr>
              <w:instrText xml:space="preserve"> PAGEREF _Toc104745747 \h </w:instrText>
            </w:r>
            <w:r w:rsidR="006715E0">
              <w:rPr>
                <w:noProof/>
                <w:webHidden/>
              </w:rPr>
            </w:r>
            <w:r w:rsidR="006715E0">
              <w:rPr>
                <w:noProof/>
                <w:webHidden/>
              </w:rPr>
              <w:fldChar w:fldCharType="separate"/>
            </w:r>
            <w:r w:rsidR="00805567">
              <w:rPr>
                <w:noProof/>
                <w:webHidden/>
              </w:rPr>
              <w:t>125</w:t>
            </w:r>
            <w:r w:rsidR="006715E0">
              <w:rPr>
                <w:noProof/>
                <w:webHidden/>
              </w:rPr>
              <w:fldChar w:fldCharType="end"/>
            </w:r>
          </w:hyperlink>
        </w:p>
        <w:p w14:paraId="1AD7670E" w14:textId="5039ED84" w:rsidR="005C65E8" w:rsidRDefault="005C65E8">
          <w:pPr>
            <w:pStyle w:val="11"/>
            <w:rPr>
              <w:rFonts w:eastAsia="Calibri" w:cs="Times New Roman"/>
              <w:b/>
              <w:bCs/>
              <w:noProof/>
              <w:sz w:val="24"/>
              <w:szCs w:val="24"/>
            </w:rPr>
          </w:pPr>
        </w:p>
        <w:p w14:paraId="5959C475" w14:textId="77777777" w:rsidR="00A0077F" w:rsidRPr="00A0077F" w:rsidRDefault="00A0077F" w:rsidP="00A0077F">
          <w:pPr>
            <w:rPr>
              <w:noProof/>
            </w:rPr>
          </w:pPr>
        </w:p>
        <w:p w14:paraId="2E3BA809" w14:textId="7F2CFABB" w:rsidR="005C65E8" w:rsidRPr="005C65E8" w:rsidRDefault="000A294C">
          <w:pPr>
            <w:pStyle w:val="11"/>
            <w:rPr>
              <w:rFonts w:eastAsia="Calibri" w:cs="Times New Roman"/>
              <w:b/>
              <w:bCs/>
              <w:noProof/>
              <w:sz w:val="24"/>
              <w:szCs w:val="24"/>
              <w:u w:val="single"/>
            </w:rPr>
          </w:pPr>
          <w:r w:rsidRPr="000A294C">
            <w:rPr>
              <w:rFonts w:eastAsia="Calibri" w:cs="Times New Roman"/>
              <w:b/>
              <w:bCs/>
              <w:noProof/>
              <w:sz w:val="24"/>
              <w:szCs w:val="24"/>
              <w:u w:val="single"/>
            </w:rPr>
            <w:t>EXPERIMENTAL BIOLOGY AND MEDICINE</w:t>
          </w:r>
        </w:p>
        <w:p w14:paraId="09E8F040" w14:textId="7F341489" w:rsidR="006715E0" w:rsidRDefault="006077AB">
          <w:pPr>
            <w:pStyle w:val="11"/>
            <w:rPr>
              <w:noProof/>
            </w:rPr>
          </w:pPr>
          <w:r w:rsidRPr="00F5793C">
            <w:rPr>
              <w:rFonts w:eastAsia="Calibri" w:cs="Times New Roman"/>
              <w:b/>
              <w:bCs/>
              <w:noProof/>
              <w:sz w:val="24"/>
              <w:szCs w:val="24"/>
            </w:rPr>
            <w:t>Oripov F</w:t>
          </w:r>
          <w:r>
            <w:rPr>
              <w:rFonts w:eastAsia="Calibri" w:cs="Times New Roman"/>
              <w:b/>
              <w:bCs/>
              <w:noProof/>
              <w:sz w:val="24"/>
              <w:szCs w:val="24"/>
            </w:rPr>
            <w:t>.</w:t>
          </w:r>
          <w:r w:rsidRPr="00F5793C">
            <w:rPr>
              <w:rFonts w:eastAsia="Calibri" w:cs="Times New Roman"/>
              <w:b/>
              <w:bCs/>
              <w:noProof/>
              <w:sz w:val="24"/>
              <w:szCs w:val="24"/>
            </w:rPr>
            <w:t>S</w:t>
          </w:r>
          <w:r>
            <w:rPr>
              <w:rFonts w:eastAsia="Calibri" w:cs="Times New Roman"/>
              <w:b/>
              <w:bCs/>
              <w:noProof/>
              <w:sz w:val="24"/>
              <w:szCs w:val="24"/>
            </w:rPr>
            <w:t xml:space="preserve">., </w:t>
          </w:r>
          <w:r w:rsidR="00AC75DC" w:rsidRPr="00F5793C">
            <w:rPr>
              <w:rFonts w:eastAsia="Calibri" w:cs="Times New Roman"/>
              <w:b/>
              <w:bCs/>
              <w:noProof/>
              <w:sz w:val="24"/>
              <w:szCs w:val="24"/>
            </w:rPr>
            <w:t>Rakhmanov Z</w:t>
          </w:r>
          <w:r w:rsidR="00AC75DC">
            <w:rPr>
              <w:rFonts w:eastAsia="Calibri" w:cs="Times New Roman"/>
              <w:b/>
              <w:bCs/>
              <w:noProof/>
              <w:sz w:val="24"/>
              <w:szCs w:val="24"/>
            </w:rPr>
            <w:t>.</w:t>
          </w:r>
          <w:r w:rsidR="00AC75DC" w:rsidRPr="00F5793C">
            <w:rPr>
              <w:rFonts w:eastAsia="Calibri" w:cs="Times New Roman"/>
              <w:b/>
              <w:bCs/>
              <w:noProof/>
              <w:sz w:val="24"/>
              <w:szCs w:val="24"/>
            </w:rPr>
            <w:t>M</w:t>
          </w:r>
          <w:r w:rsidR="00AC75DC">
            <w:rPr>
              <w:rFonts w:eastAsia="Calibri" w:cs="Times New Roman"/>
              <w:b/>
              <w:bCs/>
              <w:noProof/>
              <w:sz w:val="24"/>
              <w:szCs w:val="24"/>
            </w:rPr>
            <w:t xml:space="preserve">., </w:t>
          </w:r>
          <w:r w:rsidR="00AC75DC" w:rsidRPr="00F5793C">
            <w:rPr>
              <w:rFonts w:eastAsia="Calibri" w:cs="Times New Roman"/>
              <w:b/>
              <w:bCs/>
              <w:noProof/>
              <w:sz w:val="24"/>
              <w:szCs w:val="24"/>
            </w:rPr>
            <w:t>Rakhmanova Kh</w:t>
          </w:r>
          <w:r w:rsidR="00AC75DC">
            <w:rPr>
              <w:rFonts w:eastAsia="Calibri" w:cs="Times New Roman"/>
              <w:b/>
              <w:bCs/>
              <w:noProof/>
              <w:sz w:val="24"/>
              <w:szCs w:val="24"/>
            </w:rPr>
            <w:t>.</w:t>
          </w:r>
          <w:r w:rsidR="00AC75DC" w:rsidRPr="00F5793C">
            <w:rPr>
              <w:rFonts w:eastAsia="Calibri" w:cs="Times New Roman"/>
              <w:b/>
              <w:bCs/>
              <w:noProof/>
              <w:sz w:val="24"/>
              <w:szCs w:val="24"/>
            </w:rPr>
            <w:t>N</w:t>
          </w:r>
          <w:r w:rsidR="00AC75DC">
            <w:rPr>
              <w:rFonts w:eastAsia="Calibri" w:cs="Times New Roman"/>
              <w:b/>
              <w:bCs/>
              <w:noProof/>
              <w:sz w:val="24"/>
              <w:szCs w:val="24"/>
            </w:rPr>
            <w:t xml:space="preserve">. / </w:t>
          </w:r>
          <w:hyperlink w:anchor="_Toc104745759" w:history="1">
            <w:r w:rsidR="006715E0" w:rsidRPr="00BB6571">
              <w:rPr>
                <w:rStyle w:val="a3"/>
                <w:rFonts w:eastAsia="Calibri"/>
                <w:noProof/>
              </w:rPr>
              <w:t xml:space="preserve">Structural features of the </w:t>
            </w:r>
            <w:r w:rsidR="00AC75DC">
              <w:rPr>
                <w:rStyle w:val="a3"/>
                <w:rFonts w:eastAsia="Calibri"/>
                <w:noProof/>
              </w:rPr>
              <w:t xml:space="preserve">           </w:t>
            </w:r>
            <w:r w:rsidR="006715E0" w:rsidRPr="00BB6571">
              <w:rPr>
                <w:rStyle w:val="a3"/>
                <w:rFonts w:eastAsia="Calibri"/>
                <w:noProof/>
              </w:rPr>
              <w:t>hepatic-pancreatic ampoule of rats, rabbits and guine pigs</w:t>
            </w:r>
            <w:bookmarkStart w:id="0" w:name="_Hlk104812945"/>
            <w:r w:rsidR="006715E0">
              <w:rPr>
                <w:noProof/>
                <w:webHidden/>
              </w:rPr>
              <w:tab/>
            </w:r>
            <w:r w:rsidR="006715E0">
              <w:rPr>
                <w:noProof/>
                <w:webHidden/>
              </w:rPr>
              <w:fldChar w:fldCharType="begin"/>
            </w:r>
            <w:r w:rsidR="006715E0">
              <w:rPr>
                <w:noProof/>
                <w:webHidden/>
              </w:rPr>
              <w:instrText xml:space="preserve"> PAGEREF _Toc104745759 \h </w:instrText>
            </w:r>
            <w:r w:rsidR="006715E0">
              <w:rPr>
                <w:noProof/>
                <w:webHidden/>
              </w:rPr>
            </w:r>
            <w:r w:rsidR="006715E0">
              <w:rPr>
                <w:noProof/>
                <w:webHidden/>
              </w:rPr>
              <w:fldChar w:fldCharType="separate"/>
            </w:r>
            <w:r w:rsidR="00805567">
              <w:rPr>
                <w:noProof/>
                <w:webHidden/>
              </w:rPr>
              <w:t>129</w:t>
            </w:r>
            <w:r w:rsidR="006715E0">
              <w:rPr>
                <w:noProof/>
                <w:webHidden/>
              </w:rPr>
              <w:fldChar w:fldCharType="end"/>
            </w:r>
            <w:bookmarkEnd w:id="0"/>
          </w:hyperlink>
        </w:p>
        <w:p w14:paraId="38337E50" w14:textId="382526D8" w:rsidR="00C22744" w:rsidRPr="00C22744" w:rsidRDefault="001E10C3" w:rsidP="001E10C3">
          <w:pPr>
            <w:tabs>
              <w:tab w:val="right" w:leader="dot" w:pos="9628"/>
            </w:tabs>
            <w:rPr>
              <w:noProof/>
            </w:rPr>
          </w:pPr>
          <w:r w:rsidRPr="00632F29">
            <w:rPr>
              <w:rFonts w:cs="Times New Roman"/>
              <w:b/>
              <w:iCs/>
              <w:noProof/>
              <w:sz w:val="24"/>
              <w:szCs w:val="24"/>
            </w:rPr>
            <w:t>Irgasheva S.U., Ibragimova E.</w:t>
          </w:r>
          <w:r w:rsidRPr="00632F29">
            <w:rPr>
              <w:rFonts w:cs="Times New Roman"/>
              <w:b/>
              <w:iCs/>
              <w:noProof/>
              <w:sz w:val="24"/>
              <w:szCs w:val="24"/>
              <w:lang w:val="ru-RU"/>
            </w:rPr>
            <w:t>А</w:t>
          </w:r>
          <w:r w:rsidRPr="00632F29">
            <w:rPr>
              <w:rFonts w:cs="Times New Roman"/>
              <w:b/>
              <w:iCs/>
              <w:noProof/>
              <w:sz w:val="24"/>
              <w:szCs w:val="24"/>
            </w:rPr>
            <w:t xml:space="preserve">., Alimukhamedova </w:t>
          </w:r>
          <w:r w:rsidRPr="00632F29">
            <w:rPr>
              <w:rFonts w:cs="Times New Roman"/>
              <w:b/>
              <w:iCs/>
              <w:noProof/>
              <w:sz w:val="24"/>
              <w:szCs w:val="24"/>
              <w:lang w:val="ru-RU"/>
            </w:rPr>
            <w:t>М</w:t>
          </w:r>
          <w:r w:rsidRPr="00632F29">
            <w:rPr>
              <w:rFonts w:cs="Times New Roman"/>
              <w:b/>
              <w:iCs/>
              <w:noProof/>
              <w:sz w:val="24"/>
              <w:szCs w:val="24"/>
            </w:rPr>
            <w:t>.P.</w:t>
          </w:r>
          <w:r w:rsidRPr="001E10C3">
            <w:rPr>
              <w:rFonts w:cs="Times New Roman"/>
              <w:b/>
              <w:iCs/>
              <w:noProof/>
              <w:sz w:val="24"/>
              <w:szCs w:val="24"/>
            </w:rPr>
            <w:t xml:space="preserve"> / </w:t>
          </w:r>
          <w:hyperlink w:anchor="_STUDYING_THE_HYPOGLYCEMIC" w:history="1">
            <w:r w:rsidR="00C22744" w:rsidRPr="001E10C3">
              <w:rPr>
                <w:rStyle w:val="a3"/>
                <w:noProof/>
              </w:rPr>
              <w:t xml:space="preserve">Studying the hypoglycemic properties of the extracts of some medicinal plants on the model of </w:t>
            </w:r>
            <w:r w:rsidRPr="001E10C3">
              <w:rPr>
                <w:rStyle w:val="a3"/>
                <w:noProof/>
              </w:rPr>
              <w:t xml:space="preserve">              </w:t>
            </w:r>
            <w:r w:rsidR="00C22744" w:rsidRPr="001E10C3">
              <w:rPr>
                <w:rStyle w:val="a3"/>
                <w:noProof/>
              </w:rPr>
              <w:t>experimental diabetes</w:t>
            </w:r>
            <w:r w:rsidRPr="001E10C3">
              <w:rPr>
                <w:rStyle w:val="a3"/>
                <w:noProof/>
              </w:rPr>
              <w:tab/>
            </w:r>
            <w:r w:rsidR="00C22744" w:rsidRPr="001E10C3">
              <w:rPr>
                <w:rStyle w:val="a3"/>
                <w:noProof/>
              </w:rPr>
              <w:t>132</w:t>
            </w:r>
          </w:hyperlink>
        </w:p>
        <w:p w14:paraId="6662F6D9" w14:textId="77777777" w:rsidR="001E10C3" w:rsidRDefault="001E10C3">
          <w:pPr>
            <w:pStyle w:val="11"/>
            <w:rPr>
              <w:rFonts w:eastAsia="Calibri" w:cs="Times New Roman"/>
              <w:b/>
              <w:iCs/>
              <w:noProof/>
              <w:color w:val="000000"/>
              <w:sz w:val="24"/>
              <w:u w:val="single"/>
              <w:lang w:val="uz-Cyrl-UZ"/>
            </w:rPr>
          </w:pPr>
        </w:p>
        <w:p w14:paraId="6BC7129A" w14:textId="18C8383A" w:rsidR="005C65E8" w:rsidRPr="00B26380" w:rsidRDefault="000A294C">
          <w:pPr>
            <w:pStyle w:val="11"/>
            <w:rPr>
              <w:rFonts w:eastAsia="Calibri" w:cs="Times New Roman"/>
              <w:b/>
              <w:iCs/>
              <w:noProof/>
              <w:color w:val="000000"/>
              <w:sz w:val="24"/>
              <w:u w:val="single"/>
              <w:lang w:val="uz-Cyrl-UZ"/>
            </w:rPr>
          </w:pPr>
          <w:r w:rsidRPr="000A294C">
            <w:rPr>
              <w:rFonts w:eastAsia="Calibri" w:cs="Times New Roman"/>
              <w:b/>
              <w:iCs/>
              <w:noProof/>
              <w:color w:val="000000"/>
              <w:sz w:val="24"/>
              <w:u w:val="single"/>
              <w:lang w:val="uz-Cyrl-UZ"/>
            </w:rPr>
            <w:t>EVIDENCE-BASED MEDICINE</w:t>
          </w:r>
        </w:p>
        <w:p w14:paraId="11D948AD" w14:textId="2F9BDAFF" w:rsidR="006715E0" w:rsidRPr="00632F29" w:rsidRDefault="00AC75DC">
          <w:pPr>
            <w:pStyle w:val="11"/>
            <w:rPr>
              <w:rFonts w:asciiTheme="minorHAnsi" w:eastAsiaTheme="minorEastAsia" w:hAnsiTheme="minorHAnsi"/>
              <w:noProof/>
              <w:sz w:val="22"/>
              <w:szCs w:val="22"/>
              <w:lang w:val="uz-Cyrl-UZ" w:eastAsia="ru-RU"/>
            </w:rPr>
          </w:pPr>
          <w:r w:rsidRPr="00632F29">
            <w:rPr>
              <w:rFonts w:eastAsia="Calibri" w:cs="Times New Roman"/>
              <w:b/>
              <w:iCs/>
              <w:noProof/>
              <w:color w:val="000000"/>
              <w:sz w:val="24"/>
              <w:lang w:val="uz-Cyrl-UZ"/>
            </w:rPr>
            <w:t>Azizova F.L., Khamraeva F.M.,</w:t>
          </w:r>
          <w:hyperlink w:anchor="_Toc104745761" w:history="1">
            <w:r w:rsidR="006715E0" w:rsidRPr="00632F29">
              <w:rPr>
                <w:rStyle w:val="a3"/>
                <w:noProof/>
                <w:lang w:val="uz-Cyrl-UZ"/>
              </w:rPr>
              <w:t xml:space="preserve">Valeological culture as a component of the </w:t>
            </w:r>
            <w:r w:rsidRPr="00632F29">
              <w:rPr>
                <w:rStyle w:val="a3"/>
                <w:noProof/>
                <w:lang w:val="uz-Cyrl-UZ"/>
              </w:rPr>
              <w:t xml:space="preserve">       </w:t>
            </w:r>
            <w:r w:rsidR="006715E0" w:rsidRPr="00632F29">
              <w:rPr>
                <w:rStyle w:val="a3"/>
                <w:noProof/>
                <w:lang w:val="uz-Cyrl-UZ"/>
              </w:rPr>
              <w:t>educational process in the formation of a healthy lifestyle</w:t>
            </w:r>
            <w:r w:rsidR="006715E0" w:rsidRPr="00632F29">
              <w:rPr>
                <w:noProof/>
                <w:webHidden/>
                <w:lang w:val="uz-Cyrl-UZ"/>
              </w:rPr>
              <w:tab/>
            </w:r>
            <w:r w:rsidR="006715E0">
              <w:rPr>
                <w:noProof/>
                <w:webHidden/>
              </w:rPr>
              <w:fldChar w:fldCharType="begin"/>
            </w:r>
            <w:r w:rsidR="006715E0" w:rsidRPr="00632F29">
              <w:rPr>
                <w:noProof/>
                <w:webHidden/>
                <w:lang w:val="uz-Cyrl-UZ"/>
              </w:rPr>
              <w:instrText xml:space="preserve"> PAGEREF _Toc104745761 \h </w:instrText>
            </w:r>
            <w:r w:rsidR="006715E0">
              <w:rPr>
                <w:noProof/>
                <w:webHidden/>
              </w:rPr>
            </w:r>
            <w:r w:rsidR="006715E0">
              <w:rPr>
                <w:noProof/>
                <w:webHidden/>
              </w:rPr>
              <w:fldChar w:fldCharType="separate"/>
            </w:r>
            <w:r w:rsidR="00805567">
              <w:rPr>
                <w:noProof/>
                <w:webHidden/>
                <w:lang w:val="uz-Cyrl-UZ"/>
              </w:rPr>
              <w:t>135</w:t>
            </w:r>
            <w:r w:rsidR="006715E0">
              <w:rPr>
                <w:noProof/>
                <w:webHidden/>
              </w:rPr>
              <w:fldChar w:fldCharType="end"/>
            </w:r>
          </w:hyperlink>
        </w:p>
        <w:p w14:paraId="57C5DB81" w14:textId="28703317" w:rsidR="006715E0" w:rsidRPr="00632F29" w:rsidRDefault="00AC75DC">
          <w:pPr>
            <w:pStyle w:val="11"/>
            <w:rPr>
              <w:rFonts w:asciiTheme="minorHAnsi" w:eastAsiaTheme="minorEastAsia" w:hAnsiTheme="minorHAnsi"/>
              <w:noProof/>
              <w:sz w:val="22"/>
              <w:szCs w:val="22"/>
              <w:lang w:val="uz-Cyrl-UZ" w:eastAsia="ru-RU"/>
            </w:rPr>
          </w:pPr>
          <w:r w:rsidRPr="00632F29">
            <w:rPr>
              <w:rFonts w:eastAsia="Calibri" w:cs="Times New Roman"/>
              <w:b/>
              <w:bCs/>
              <w:noProof/>
              <w:sz w:val="24"/>
              <w:lang w:val="uz-Cyrl-UZ"/>
            </w:rPr>
            <w:t xml:space="preserve">Shadmanov A.K., Okhunov A.O. / </w:t>
          </w:r>
          <w:hyperlink w:anchor="_Toc104745762" w:history="1">
            <w:r w:rsidR="006715E0" w:rsidRPr="00632F29">
              <w:rPr>
                <w:rStyle w:val="a3"/>
                <w:noProof/>
                <w:lang w:val="uz-Cyrl-UZ"/>
              </w:rPr>
              <w:t xml:space="preserve">Translational medicine </w:t>
            </w:r>
            <w:r w:rsidR="00F44A75" w:rsidRPr="00632F29">
              <w:rPr>
                <w:rStyle w:val="a3"/>
                <w:noProof/>
                <w:lang w:val="uz-Cyrl-UZ"/>
              </w:rPr>
              <w:t>–</w:t>
            </w:r>
            <w:r w:rsidR="006715E0" w:rsidRPr="00632F29">
              <w:rPr>
                <w:rStyle w:val="a3"/>
                <w:noProof/>
                <w:lang w:val="uz-Cyrl-UZ"/>
              </w:rPr>
              <w:t xml:space="preserve"> a new way from experimental laboratory to clinical practice</w:t>
            </w:r>
            <w:r w:rsidR="006715E0" w:rsidRPr="00632F29">
              <w:rPr>
                <w:noProof/>
                <w:webHidden/>
                <w:lang w:val="uz-Cyrl-UZ"/>
              </w:rPr>
              <w:tab/>
            </w:r>
            <w:r w:rsidR="006715E0">
              <w:rPr>
                <w:noProof/>
                <w:webHidden/>
              </w:rPr>
              <w:fldChar w:fldCharType="begin"/>
            </w:r>
            <w:r w:rsidR="006715E0" w:rsidRPr="00632F29">
              <w:rPr>
                <w:noProof/>
                <w:webHidden/>
                <w:lang w:val="uz-Cyrl-UZ"/>
              </w:rPr>
              <w:instrText xml:space="preserve"> PAGEREF _Toc104745762 \h </w:instrText>
            </w:r>
            <w:r w:rsidR="006715E0">
              <w:rPr>
                <w:noProof/>
                <w:webHidden/>
              </w:rPr>
            </w:r>
            <w:r w:rsidR="006715E0">
              <w:rPr>
                <w:noProof/>
                <w:webHidden/>
              </w:rPr>
              <w:fldChar w:fldCharType="separate"/>
            </w:r>
            <w:r w:rsidR="00805567">
              <w:rPr>
                <w:noProof/>
                <w:webHidden/>
                <w:lang w:val="uz-Cyrl-UZ"/>
              </w:rPr>
              <w:t>140</w:t>
            </w:r>
            <w:r w:rsidR="006715E0">
              <w:rPr>
                <w:noProof/>
                <w:webHidden/>
              </w:rPr>
              <w:fldChar w:fldCharType="end"/>
            </w:r>
          </w:hyperlink>
        </w:p>
        <w:p w14:paraId="5C82C8B7" w14:textId="79A30966" w:rsidR="006715E0" w:rsidRPr="00632F29" w:rsidRDefault="00AC75DC">
          <w:pPr>
            <w:pStyle w:val="11"/>
            <w:rPr>
              <w:rFonts w:asciiTheme="minorHAnsi" w:eastAsiaTheme="minorEastAsia" w:hAnsiTheme="minorHAnsi"/>
              <w:noProof/>
              <w:sz w:val="22"/>
              <w:szCs w:val="22"/>
              <w:lang w:val="uz-Cyrl-UZ" w:eastAsia="ru-RU"/>
            </w:rPr>
          </w:pPr>
          <w:r w:rsidRPr="00632F29">
            <w:rPr>
              <w:rFonts w:eastAsia="Calibri" w:cs="Times New Roman"/>
              <w:b/>
              <w:noProof/>
              <w:sz w:val="24"/>
              <w:lang w:val="uz-Cyrl-UZ"/>
            </w:rPr>
            <w:t>Khakimov M.Sh., Berkinov U.B., Sattarov O.Т.,</w:t>
          </w:r>
          <w:r w:rsidRPr="00F52DBC">
            <w:rPr>
              <w:rFonts w:eastAsia="Calibri" w:cs="Times New Roman"/>
              <w:b/>
              <w:noProof/>
              <w:sz w:val="24"/>
              <w:lang w:val="uz-Cyrl-UZ"/>
            </w:rPr>
            <w:t xml:space="preserve"> </w:t>
          </w:r>
          <w:r w:rsidRPr="00632F29">
            <w:rPr>
              <w:rFonts w:eastAsia="Calibri" w:cs="Times New Roman"/>
              <w:b/>
              <w:noProof/>
              <w:sz w:val="24"/>
              <w:lang w:val="uz-Cyrl-UZ"/>
            </w:rPr>
            <w:t xml:space="preserve">Ermatov B.R. / </w:t>
          </w:r>
          <w:hyperlink w:anchor="_Toc104745763" w:history="1">
            <w:r w:rsidR="006715E0" w:rsidRPr="00632F29">
              <w:rPr>
                <w:rStyle w:val="a3"/>
                <w:noProof/>
                <w:lang w:val="uz-Cyrl-UZ"/>
              </w:rPr>
              <w:t xml:space="preserve">Peculiarity of </w:t>
            </w:r>
            <w:r w:rsidR="008A1B8D" w:rsidRPr="008A1B8D">
              <w:rPr>
                <w:rStyle w:val="a3"/>
                <w:noProof/>
                <w:lang w:val="uz-Cyrl-UZ"/>
              </w:rPr>
              <w:t xml:space="preserve">  </w:t>
            </w:r>
            <w:r w:rsidR="006715E0" w:rsidRPr="00632F29">
              <w:rPr>
                <w:rStyle w:val="a3"/>
                <w:noProof/>
                <w:lang w:val="uz-Cyrl-UZ"/>
              </w:rPr>
              <w:t xml:space="preserve">laparoscopic fundoplication for hiatal hernia in patients with high </w:t>
            </w:r>
            <w:r w:rsidR="008A1B8D" w:rsidRPr="008A1B8D">
              <w:rPr>
                <w:rStyle w:val="a3"/>
                <w:noProof/>
                <w:lang w:val="uz-Cyrl-UZ"/>
              </w:rPr>
              <w:t xml:space="preserve">                               </w:t>
            </w:r>
            <w:r w:rsidR="006715E0" w:rsidRPr="00632F29">
              <w:rPr>
                <w:rStyle w:val="a3"/>
                <w:noProof/>
                <w:lang w:val="uz-Cyrl-UZ"/>
              </w:rPr>
              <w:t>body mass index</w:t>
            </w:r>
            <w:r w:rsidR="006715E0" w:rsidRPr="00632F29">
              <w:rPr>
                <w:noProof/>
                <w:webHidden/>
                <w:lang w:val="uz-Cyrl-UZ"/>
              </w:rPr>
              <w:tab/>
            </w:r>
            <w:r w:rsidR="006715E0">
              <w:rPr>
                <w:noProof/>
                <w:webHidden/>
              </w:rPr>
              <w:fldChar w:fldCharType="begin"/>
            </w:r>
            <w:r w:rsidR="006715E0" w:rsidRPr="00632F29">
              <w:rPr>
                <w:noProof/>
                <w:webHidden/>
                <w:lang w:val="uz-Cyrl-UZ"/>
              </w:rPr>
              <w:instrText xml:space="preserve"> PAGEREF _Toc104745763 \h </w:instrText>
            </w:r>
            <w:r w:rsidR="006715E0">
              <w:rPr>
                <w:noProof/>
                <w:webHidden/>
              </w:rPr>
            </w:r>
            <w:r w:rsidR="006715E0">
              <w:rPr>
                <w:noProof/>
                <w:webHidden/>
              </w:rPr>
              <w:fldChar w:fldCharType="separate"/>
            </w:r>
            <w:r w:rsidR="00805567">
              <w:rPr>
                <w:noProof/>
                <w:webHidden/>
                <w:lang w:val="uz-Cyrl-UZ"/>
              </w:rPr>
              <w:t>149</w:t>
            </w:r>
            <w:r w:rsidR="006715E0">
              <w:rPr>
                <w:noProof/>
                <w:webHidden/>
              </w:rPr>
              <w:fldChar w:fldCharType="end"/>
            </w:r>
          </w:hyperlink>
        </w:p>
        <w:p w14:paraId="0FE91FFF" w14:textId="0BBD4945" w:rsidR="004666C7" w:rsidRDefault="004666C7">
          <w:r>
            <w:rPr>
              <w:b/>
              <w:bCs/>
            </w:rPr>
            <w:fldChar w:fldCharType="end"/>
          </w:r>
        </w:p>
      </w:sdtContent>
    </w:sdt>
    <w:p w14:paraId="68CA5F9F" w14:textId="36C34056" w:rsidR="005C52FF" w:rsidRDefault="005C52FF" w:rsidP="00C744B9">
      <w:pPr>
        <w:jc w:val="center"/>
        <w:rPr>
          <w:rFonts w:ascii="Cambria" w:hAnsi="Cambria"/>
          <w:b/>
          <w:bCs/>
          <w:lang w:val="ru-RU"/>
        </w:rPr>
      </w:pPr>
    </w:p>
    <w:p w14:paraId="7B87FA75" w14:textId="05CFDDE4" w:rsidR="005C52FF" w:rsidRDefault="005C52FF" w:rsidP="00C744B9">
      <w:pPr>
        <w:jc w:val="center"/>
        <w:rPr>
          <w:rFonts w:ascii="Cambria" w:hAnsi="Cambria"/>
          <w:b/>
          <w:bCs/>
          <w:lang w:val="ru-RU"/>
        </w:rPr>
      </w:pPr>
    </w:p>
    <w:p w14:paraId="6D049A6E" w14:textId="64A55788" w:rsidR="00794C73" w:rsidRDefault="00794C73" w:rsidP="00C744B9">
      <w:pPr>
        <w:jc w:val="center"/>
        <w:rPr>
          <w:rFonts w:ascii="Cambria" w:hAnsi="Cambria"/>
          <w:b/>
          <w:bCs/>
          <w:lang w:val="ru-RU"/>
        </w:rPr>
      </w:pPr>
    </w:p>
    <w:p w14:paraId="5A56FF13" w14:textId="568463C0" w:rsidR="00794C73" w:rsidRDefault="00794C73" w:rsidP="00C744B9">
      <w:pPr>
        <w:jc w:val="center"/>
        <w:rPr>
          <w:rFonts w:ascii="Cambria" w:hAnsi="Cambria"/>
          <w:b/>
          <w:bCs/>
          <w:lang w:val="ru-RU"/>
        </w:rPr>
      </w:pPr>
    </w:p>
    <w:p w14:paraId="2FF3B383" w14:textId="333A7E9C" w:rsidR="00794C73" w:rsidRDefault="00794C73" w:rsidP="00C744B9">
      <w:pPr>
        <w:jc w:val="center"/>
        <w:rPr>
          <w:rFonts w:ascii="Cambria" w:hAnsi="Cambria"/>
          <w:b/>
          <w:bCs/>
          <w:lang w:val="ru-RU"/>
        </w:rPr>
      </w:pPr>
    </w:p>
    <w:p w14:paraId="6617EE3A" w14:textId="3F1B12D1" w:rsidR="00794C73" w:rsidRDefault="00794C73" w:rsidP="00C744B9">
      <w:pPr>
        <w:jc w:val="center"/>
        <w:rPr>
          <w:rFonts w:ascii="Cambria" w:hAnsi="Cambria"/>
          <w:b/>
          <w:bCs/>
          <w:lang w:val="ru-RU"/>
        </w:rPr>
      </w:pPr>
    </w:p>
    <w:p w14:paraId="0CADBD69" w14:textId="004824B0" w:rsidR="00794C73" w:rsidRDefault="00794C73" w:rsidP="00C744B9">
      <w:pPr>
        <w:jc w:val="center"/>
        <w:rPr>
          <w:rFonts w:ascii="Cambria" w:hAnsi="Cambria"/>
          <w:b/>
          <w:bCs/>
          <w:lang w:val="ru-RU"/>
        </w:rPr>
      </w:pPr>
    </w:p>
    <w:p w14:paraId="6AB4289C" w14:textId="1C86DD1D" w:rsidR="00794C73" w:rsidRDefault="00794C73" w:rsidP="00C744B9">
      <w:pPr>
        <w:jc w:val="center"/>
        <w:rPr>
          <w:rFonts w:ascii="Cambria" w:hAnsi="Cambria"/>
          <w:b/>
          <w:bCs/>
          <w:lang w:val="ru-RU"/>
        </w:rPr>
      </w:pPr>
    </w:p>
    <w:p w14:paraId="7CDD6DBC" w14:textId="55C7BB15" w:rsidR="00794C73" w:rsidRDefault="00794C73" w:rsidP="00C744B9">
      <w:pPr>
        <w:jc w:val="center"/>
        <w:rPr>
          <w:rFonts w:ascii="Cambria" w:hAnsi="Cambria"/>
          <w:b/>
          <w:bCs/>
          <w:lang w:val="ru-RU"/>
        </w:rPr>
      </w:pPr>
    </w:p>
    <w:p w14:paraId="6A610325" w14:textId="26C29F93" w:rsidR="00794C73" w:rsidRDefault="00794C73" w:rsidP="00C744B9">
      <w:pPr>
        <w:jc w:val="center"/>
        <w:rPr>
          <w:rFonts w:ascii="Cambria" w:hAnsi="Cambria"/>
          <w:b/>
          <w:bCs/>
          <w:lang w:val="ru-RU"/>
        </w:rPr>
      </w:pPr>
    </w:p>
    <w:p w14:paraId="13708AEB" w14:textId="5F8E1BE8" w:rsidR="00794C73" w:rsidRDefault="00794C73" w:rsidP="00C744B9">
      <w:pPr>
        <w:jc w:val="center"/>
        <w:rPr>
          <w:rFonts w:ascii="Cambria" w:hAnsi="Cambria"/>
          <w:b/>
          <w:bCs/>
          <w:lang w:val="ru-RU"/>
        </w:rPr>
      </w:pPr>
    </w:p>
    <w:p w14:paraId="69D17882" w14:textId="2408FC47" w:rsidR="00794C73" w:rsidRDefault="00794C73" w:rsidP="00C744B9">
      <w:pPr>
        <w:jc w:val="center"/>
        <w:rPr>
          <w:rFonts w:ascii="Cambria" w:hAnsi="Cambria"/>
          <w:b/>
          <w:bCs/>
          <w:lang w:val="ru-RU"/>
        </w:rPr>
      </w:pPr>
    </w:p>
    <w:p w14:paraId="07C2FC99" w14:textId="5E613406" w:rsidR="00794C73" w:rsidRDefault="00794C73" w:rsidP="00C744B9">
      <w:pPr>
        <w:jc w:val="center"/>
        <w:rPr>
          <w:rFonts w:ascii="Cambria" w:hAnsi="Cambria"/>
          <w:b/>
          <w:bCs/>
          <w:lang w:val="ru-RU"/>
        </w:rPr>
      </w:pPr>
    </w:p>
    <w:p w14:paraId="5215BE18" w14:textId="272A787C" w:rsidR="00794C73" w:rsidRDefault="00794C73" w:rsidP="00C744B9">
      <w:pPr>
        <w:jc w:val="center"/>
        <w:rPr>
          <w:rFonts w:ascii="Cambria" w:hAnsi="Cambria"/>
          <w:b/>
          <w:bCs/>
          <w:lang w:val="ru-RU"/>
        </w:rPr>
      </w:pPr>
    </w:p>
    <w:p w14:paraId="235CF7C1" w14:textId="40995E43" w:rsidR="00794C73" w:rsidRDefault="00794C73" w:rsidP="00C744B9">
      <w:pPr>
        <w:jc w:val="center"/>
        <w:rPr>
          <w:rFonts w:ascii="Cambria" w:hAnsi="Cambria"/>
          <w:b/>
          <w:bCs/>
          <w:lang w:val="ru-RU"/>
        </w:rPr>
      </w:pPr>
    </w:p>
    <w:p w14:paraId="56C1FE30" w14:textId="6B416D13" w:rsidR="00794C73" w:rsidRDefault="00794C73" w:rsidP="00C744B9">
      <w:pPr>
        <w:jc w:val="center"/>
        <w:rPr>
          <w:rFonts w:ascii="Cambria" w:hAnsi="Cambria"/>
          <w:b/>
          <w:bCs/>
          <w:lang w:val="ru-RU"/>
        </w:rPr>
      </w:pPr>
    </w:p>
    <w:p w14:paraId="4802527C" w14:textId="1C233E22" w:rsidR="00794C73" w:rsidRDefault="00794C73" w:rsidP="00C744B9">
      <w:pPr>
        <w:jc w:val="center"/>
        <w:rPr>
          <w:rFonts w:ascii="Cambria" w:hAnsi="Cambria"/>
          <w:b/>
          <w:bCs/>
          <w:lang w:val="ru-RU"/>
        </w:rPr>
      </w:pPr>
    </w:p>
    <w:p w14:paraId="0F136516" w14:textId="7619C273" w:rsidR="00794C73" w:rsidRDefault="00794C73" w:rsidP="00C744B9">
      <w:pPr>
        <w:jc w:val="center"/>
        <w:rPr>
          <w:rFonts w:ascii="Cambria" w:hAnsi="Cambria"/>
          <w:b/>
          <w:bCs/>
          <w:lang w:val="ru-RU"/>
        </w:rPr>
      </w:pPr>
    </w:p>
    <w:p w14:paraId="55459E3A" w14:textId="6AD3F900" w:rsidR="00794C73" w:rsidRDefault="00794C73" w:rsidP="00C744B9">
      <w:pPr>
        <w:jc w:val="center"/>
        <w:rPr>
          <w:rFonts w:ascii="Cambria" w:hAnsi="Cambria"/>
          <w:b/>
          <w:bCs/>
          <w:lang w:val="ru-RU"/>
        </w:rPr>
      </w:pPr>
    </w:p>
    <w:p w14:paraId="61045E59" w14:textId="7FA46527" w:rsidR="00794C73" w:rsidRDefault="00794C73" w:rsidP="00C744B9">
      <w:pPr>
        <w:jc w:val="center"/>
        <w:rPr>
          <w:rFonts w:ascii="Cambria" w:hAnsi="Cambria"/>
          <w:b/>
          <w:bCs/>
          <w:lang w:val="ru-RU"/>
        </w:rPr>
      </w:pPr>
    </w:p>
    <w:p w14:paraId="60C98DCA" w14:textId="2F516BB4" w:rsidR="00794C73" w:rsidRDefault="00794C73" w:rsidP="00C744B9">
      <w:pPr>
        <w:jc w:val="center"/>
        <w:rPr>
          <w:rFonts w:ascii="Cambria" w:hAnsi="Cambria"/>
          <w:b/>
          <w:bCs/>
          <w:lang w:val="ru-RU"/>
        </w:rPr>
      </w:pPr>
    </w:p>
    <w:p w14:paraId="619DB2C1" w14:textId="79DF7232" w:rsidR="00794C73" w:rsidRDefault="00794C73" w:rsidP="00C744B9">
      <w:pPr>
        <w:jc w:val="center"/>
        <w:rPr>
          <w:rFonts w:ascii="Cambria" w:hAnsi="Cambria"/>
          <w:b/>
          <w:bCs/>
          <w:lang w:val="ru-RU"/>
        </w:rPr>
      </w:pPr>
    </w:p>
    <w:p w14:paraId="2DF80869" w14:textId="35458C01" w:rsidR="00DD566D" w:rsidRPr="009E1250" w:rsidRDefault="009E1250" w:rsidP="00DD566D">
      <w:pPr>
        <w:jc w:val="center"/>
        <w:rPr>
          <w:rFonts w:ascii="Cambria" w:hAnsi="Cambria"/>
          <w:b/>
          <w:bCs/>
          <w:sz w:val="48"/>
          <w:szCs w:val="40"/>
        </w:rPr>
      </w:pPr>
      <w:r w:rsidRPr="009E1250">
        <w:rPr>
          <w:rFonts w:ascii="Cambria" w:hAnsi="Cambria"/>
          <w:b/>
          <w:bCs/>
          <w:sz w:val="48"/>
          <w:szCs w:val="40"/>
        </w:rPr>
        <w:t>NEW PEDAGOGICAL TECHNOLOGIES</w:t>
      </w:r>
    </w:p>
    <w:tbl>
      <w:tblPr>
        <w:tblW w:w="0" w:type="auto"/>
        <w:tblLook w:val="04A0" w:firstRow="1" w:lastRow="0" w:firstColumn="1" w:lastColumn="0" w:noHBand="0" w:noVBand="1"/>
      </w:tblPr>
      <w:tblGrid>
        <w:gridCol w:w="9629"/>
      </w:tblGrid>
      <w:tr w:rsidR="00DD566D" w14:paraId="5B6DF6DD" w14:textId="77777777" w:rsidTr="00C90B56">
        <w:tc>
          <w:tcPr>
            <w:tcW w:w="9629" w:type="dxa"/>
            <w:tcBorders>
              <w:top w:val="nil"/>
              <w:left w:val="nil"/>
              <w:bottom w:val="thinThickSmallGap" w:sz="12" w:space="0" w:color="2E74B5" w:themeColor="accent5" w:themeShade="BF"/>
              <w:right w:val="nil"/>
            </w:tcBorders>
          </w:tcPr>
          <w:p w14:paraId="1F675D2B" w14:textId="77777777" w:rsidR="00DD566D" w:rsidRPr="00D4390E" w:rsidRDefault="00DD566D" w:rsidP="00C90B56">
            <w:pPr>
              <w:rPr>
                <w:rFonts w:ascii="Cambria" w:hAnsi="Cambria"/>
                <w:sz w:val="20"/>
                <w:szCs w:val="16"/>
                <w:lang w:val="ru-RU"/>
              </w:rPr>
            </w:pPr>
          </w:p>
        </w:tc>
      </w:tr>
    </w:tbl>
    <w:p w14:paraId="24A457A0" w14:textId="77777777" w:rsidR="00DD566D" w:rsidRPr="00034123" w:rsidRDefault="00DD566D" w:rsidP="00DD566D">
      <w:pPr>
        <w:spacing w:line="276" w:lineRule="auto"/>
        <w:ind w:firstLine="567"/>
        <w:jc w:val="both"/>
        <w:rPr>
          <w:rFonts w:cs="Times New Roman"/>
          <w:sz w:val="24"/>
          <w:szCs w:val="24"/>
          <w:lang w:val="uz-Latn-UZ"/>
        </w:rPr>
      </w:pPr>
    </w:p>
    <w:p w14:paraId="4FC258B6" w14:textId="77777777" w:rsidR="00DD566D" w:rsidRPr="00034123" w:rsidRDefault="00DD566D" w:rsidP="00DD566D">
      <w:pPr>
        <w:spacing w:line="276" w:lineRule="auto"/>
        <w:jc w:val="both"/>
        <w:rPr>
          <w:rFonts w:eastAsia="Calibri" w:cs="Times New Roman"/>
          <w:b/>
          <w:bCs/>
          <w:sz w:val="24"/>
          <w:szCs w:val="24"/>
        </w:rPr>
      </w:pPr>
      <w:r w:rsidRPr="00034123">
        <w:rPr>
          <w:rFonts w:eastAsia="Calibri" w:cs="Times New Roman"/>
          <w:sz w:val="24"/>
          <w:szCs w:val="24"/>
        </w:rPr>
        <w:t>UDC 61:378.147.3 (07.07)</w:t>
      </w:r>
    </w:p>
    <w:p w14:paraId="6DD211CF" w14:textId="77777777" w:rsidR="00DD566D" w:rsidRPr="00034123" w:rsidRDefault="00DD566D" w:rsidP="00DD566D">
      <w:pPr>
        <w:spacing w:line="276" w:lineRule="auto"/>
        <w:ind w:firstLine="567"/>
        <w:jc w:val="both"/>
        <w:rPr>
          <w:rFonts w:eastAsia="Calibri" w:cs="Times New Roman"/>
          <w:b/>
          <w:bCs/>
          <w:sz w:val="24"/>
          <w:szCs w:val="24"/>
        </w:rPr>
      </w:pPr>
    </w:p>
    <w:p w14:paraId="2F022E48" w14:textId="77777777" w:rsidR="00DD566D" w:rsidRPr="00034123" w:rsidRDefault="00DD566D" w:rsidP="00DD566D">
      <w:pPr>
        <w:pStyle w:val="1"/>
        <w:rPr>
          <w:rFonts w:eastAsia="Calibri"/>
        </w:rPr>
      </w:pPr>
      <w:bookmarkStart w:id="1" w:name="_Toc104745760"/>
      <w:r w:rsidRPr="00034123">
        <w:rPr>
          <w:rFonts w:eastAsia="Calibri"/>
        </w:rPr>
        <w:t>THE RELEVANCE OF THE INTRODUCTION OF DIGITAL MEDICINE SKILLS IN THE LEARNING PROCESS OF MEDICAL UNIVERSITY STUDENTS</w:t>
      </w:r>
      <w:bookmarkEnd w:id="1"/>
    </w:p>
    <w:p w14:paraId="01B65235" w14:textId="77777777" w:rsidR="00DD566D" w:rsidRPr="00034123" w:rsidRDefault="00DD566D" w:rsidP="00DD566D">
      <w:pPr>
        <w:spacing w:line="276" w:lineRule="auto"/>
        <w:ind w:firstLine="567"/>
        <w:jc w:val="both"/>
        <w:rPr>
          <w:rFonts w:eastAsia="Calibri" w:cs="Times New Roman"/>
          <w:b/>
          <w:sz w:val="24"/>
          <w:szCs w:val="24"/>
          <w:lang w:val="uz-Cyrl-UZ"/>
        </w:rPr>
      </w:pPr>
    </w:p>
    <w:p w14:paraId="4A7C6AC2" w14:textId="77777777" w:rsidR="00DD566D" w:rsidRPr="00034123" w:rsidRDefault="00DD566D" w:rsidP="00DD566D">
      <w:pPr>
        <w:spacing w:line="276" w:lineRule="auto"/>
        <w:jc w:val="center"/>
        <w:rPr>
          <w:rFonts w:eastAsia="Calibri" w:cs="Times New Roman"/>
          <w:b/>
          <w:sz w:val="24"/>
          <w:szCs w:val="24"/>
          <w:lang w:val="uz-Cyrl-UZ"/>
        </w:rPr>
      </w:pPr>
      <w:r w:rsidRPr="00034123">
        <w:rPr>
          <w:rFonts w:eastAsia="Calibri" w:cs="Times New Roman"/>
          <w:b/>
          <w:sz w:val="24"/>
          <w:szCs w:val="24"/>
          <w:lang w:val="uz-Cyrl-UZ"/>
        </w:rPr>
        <w:t>Khalmukhamedov B.T.</w:t>
      </w:r>
      <w:r w:rsidRPr="00632F29">
        <w:rPr>
          <w:rFonts w:eastAsia="Calibri" w:cs="Times New Roman"/>
          <w:b/>
          <w:sz w:val="24"/>
          <w:szCs w:val="24"/>
          <w:lang w:val="uz-Cyrl-UZ"/>
        </w:rPr>
        <w:t>,</w:t>
      </w:r>
      <w:r w:rsidRPr="00034123">
        <w:rPr>
          <w:rFonts w:eastAsia="Calibri" w:cs="Times New Roman"/>
          <w:b/>
          <w:sz w:val="24"/>
          <w:szCs w:val="24"/>
          <w:lang w:val="uz-Cyrl-UZ"/>
        </w:rPr>
        <w:t xml:space="preserve"> PhD</w:t>
      </w:r>
    </w:p>
    <w:p w14:paraId="22187477" w14:textId="77777777" w:rsidR="00DD566D" w:rsidRPr="00F20187" w:rsidRDefault="00DD566D" w:rsidP="00DD566D">
      <w:pPr>
        <w:spacing w:line="276" w:lineRule="auto"/>
        <w:jc w:val="center"/>
        <w:rPr>
          <w:rFonts w:eastAsia="Calibri" w:cs="Times New Roman"/>
          <w:bCs/>
          <w:sz w:val="24"/>
          <w:szCs w:val="24"/>
          <w:lang w:val="uz-Cyrl-UZ"/>
        </w:rPr>
      </w:pPr>
      <w:r w:rsidRPr="00034123">
        <w:rPr>
          <w:rFonts w:eastAsia="Calibri" w:cs="Times New Roman"/>
          <w:bCs/>
          <w:sz w:val="24"/>
          <w:szCs w:val="24"/>
          <w:lang w:val="uz-Cyrl-UZ"/>
        </w:rPr>
        <w:t>Tashkent Medical Academy,</w:t>
      </w:r>
      <w:r w:rsidRPr="00F20187">
        <w:rPr>
          <w:rFonts w:eastAsia="Calibri" w:cs="Times New Roman"/>
          <w:bCs/>
          <w:sz w:val="24"/>
          <w:szCs w:val="24"/>
          <w:lang w:val="uz-Cyrl-UZ"/>
        </w:rPr>
        <w:t xml:space="preserve"> Tashkent, Uzbekistan</w:t>
      </w:r>
    </w:p>
    <w:p w14:paraId="1F38B780" w14:textId="77777777" w:rsidR="00DD566D" w:rsidRPr="00F20187" w:rsidRDefault="00DD566D" w:rsidP="00DD566D">
      <w:pPr>
        <w:spacing w:line="276" w:lineRule="auto"/>
        <w:ind w:firstLine="567"/>
        <w:jc w:val="both"/>
        <w:rPr>
          <w:rFonts w:eastAsia="Calibri" w:cs="Times New Roman"/>
          <w:sz w:val="24"/>
          <w:szCs w:val="24"/>
          <w:lang w:val="uz-Cyrl-UZ"/>
        </w:rPr>
      </w:pPr>
    </w:p>
    <w:p w14:paraId="5DE45ACD" w14:textId="77777777" w:rsidR="00DD566D" w:rsidRPr="00F20187" w:rsidRDefault="00DD566D" w:rsidP="00DD566D">
      <w:pPr>
        <w:spacing w:line="276" w:lineRule="auto"/>
        <w:ind w:firstLine="567"/>
        <w:jc w:val="both"/>
        <w:rPr>
          <w:rFonts w:eastAsia="Calibri" w:cs="Times New Roman"/>
          <w:sz w:val="24"/>
          <w:szCs w:val="24"/>
          <w:shd w:val="clear" w:color="auto" w:fill="FFFFFF"/>
          <w:lang w:val="uz-Cyrl-UZ"/>
        </w:rPr>
        <w:sectPr w:rsidR="00DD566D" w:rsidRPr="00F20187" w:rsidSect="00995DC2">
          <w:type w:val="continuous"/>
          <w:pgSz w:w="11907" w:h="16840" w:code="9"/>
          <w:pgMar w:top="1418" w:right="1134" w:bottom="1134" w:left="1134" w:header="907" w:footer="794" w:gutter="0"/>
          <w:cols w:space="708"/>
          <w:docGrid w:linePitch="381"/>
        </w:sectPr>
      </w:pPr>
    </w:p>
    <w:p w14:paraId="1C7C583F" w14:textId="77777777" w:rsidR="00DD566D" w:rsidRPr="00034123" w:rsidRDefault="00DD566D" w:rsidP="00DD566D">
      <w:pPr>
        <w:spacing w:line="276" w:lineRule="auto"/>
        <w:ind w:firstLine="567"/>
        <w:jc w:val="both"/>
        <w:rPr>
          <w:rFonts w:eastAsia="Calibri" w:cs="Times New Roman"/>
          <w:sz w:val="24"/>
          <w:szCs w:val="24"/>
          <w:shd w:val="clear" w:color="auto" w:fill="FFFFFF"/>
        </w:rPr>
      </w:pPr>
      <w:r w:rsidRPr="00034123">
        <w:rPr>
          <w:rFonts w:eastAsia="Calibri" w:cs="Times New Roman"/>
          <w:sz w:val="24"/>
          <w:szCs w:val="24"/>
          <w:shd w:val="clear" w:color="auto" w:fill="FFFFFF"/>
        </w:rPr>
        <w:t>With the rapid development of science and technology, the needs of people also in</w:t>
      </w:r>
      <w:r>
        <w:rPr>
          <w:rFonts w:eastAsia="Calibri" w:cs="Times New Roman"/>
          <w:sz w:val="24"/>
          <w:szCs w:val="24"/>
          <w:shd w:val="clear" w:color="auto" w:fill="FFFFFF"/>
        </w:rPr>
        <w:softHyphen/>
      </w:r>
      <w:r w:rsidRPr="00034123">
        <w:rPr>
          <w:rFonts w:eastAsia="Calibri" w:cs="Times New Roman"/>
          <w:sz w:val="24"/>
          <w:szCs w:val="24"/>
          <w:shd w:val="clear" w:color="auto" w:fill="FFFFFF"/>
        </w:rPr>
        <w:t>crease. Yesterday's inventions, which seemed like a miracle, today have become common</w:t>
      </w:r>
      <w:r>
        <w:rPr>
          <w:rFonts w:eastAsia="Calibri" w:cs="Times New Roman"/>
          <w:sz w:val="24"/>
          <w:szCs w:val="24"/>
          <w:shd w:val="clear" w:color="auto" w:fill="FFFFFF"/>
        </w:rPr>
        <w:softHyphen/>
      </w:r>
      <w:r w:rsidRPr="00034123">
        <w:rPr>
          <w:rFonts w:eastAsia="Calibri" w:cs="Times New Roman"/>
          <w:sz w:val="24"/>
          <w:szCs w:val="24"/>
          <w:shd w:val="clear" w:color="auto" w:fill="FFFFFF"/>
        </w:rPr>
        <w:t>place and are a means of facilitating everyday life. At the same time, the role of modern in</w:t>
      </w:r>
      <w:r>
        <w:rPr>
          <w:rFonts w:eastAsia="Calibri" w:cs="Times New Roman"/>
          <w:sz w:val="24"/>
          <w:szCs w:val="24"/>
          <w:shd w:val="clear" w:color="auto" w:fill="FFFFFF"/>
        </w:rPr>
        <w:softHyphen/>
      </w:r>
      <w:r w:rsidRPr="00034123">
        <w:rPr>
          <w:rFonts w:eastAsia="Calibri" w:cs="Times New Roman"/>
          <w:sz w:val="24"/>
          <w:szCs w:val="24"/>
          <w:shd w:val="clear" w:color="auto" w:fill="FFFFFF"/>
        </w:rPr>
        <w:t>formation and communication technologies is important. The transformations taking place today in the medical field, aimed at improving the standard of living of the population, strengthening their health and ensuring high life expectancy, are paramount.</w:t>
      </w:r>
    </w:p>
    <w:p w14:paraId="69522055" w14:textId="77777777" w:rsidR="00DD566D" w:rsidRPr="00034123" w:rsidRDefault="00DD566D" w:rsidP="00DD566D">
      <w:pPr>
        <w:spacing w:line="276" w:lineRule="auto"/>
        <w:ind w:firstLine="567"/>
        <w:jc w:val="both"/>
        <w:rPr>
          <w:rFonts w:eastAsia="Calibri" w:cs="Times New Roman"/>
          <w:sz w:val="24"/>
          <w:szCs w:val="24"/>
          <w:shd w:val="clear" w:color="auto" w:fill="FFFFFF"/>
        </w:rPr>
      </w:pPr>
      <w:r w:rsidRPr="00034123">
        <w:rPr>
          <w:rFonts w:eastAsia="Calibri" w:cs="Times New Roman"/>
          <w:sz w:val="24"/>
          <w:szCs w:val="24"/>
          <w:shd w:val="clear" w:color="auto" w:fill="FFFFFF"/>
        </w:rPr>
        <w:t>In accordance with the order of the Min</w:t>
      </w:r>
      <w:r>
        <w:rPr>
          <w:rFonts w:eastAsia="Calibri" w:cs="Times New Roman"/>
          <w:sz w:val="24"/>
          <w:szCs w:val="24"/>
          <w:shd w:val="clear" w:color="auto" w:fill="FFFFFF"/>
        </w:rPr>
        <w:softHyphen/>
      </w:r>
      <w:r w:rsidRPr="00034123">
        <w:rPr>
          <w:rFonts w:eastAsia="Calibri" w:cs="Times New Roman"/>
          <w:sz w:val="24"/>
          <w:szCs w:val="24"/>
          <w:shd w:val="clear" w:color="auto" w:fill="FFFFFF"/>
        </w:rPr>
        <w:t>istry of Health on the commissioning of an au</w:t>
      </w:r>
      <w:r>
        <w:rPr>
          <w:rFonts w:eastAsia="Calibri" w:cs="Times New Roman"/>
          <w:sz w:val="24"/>
          <w:szCs w:val="24"/>
          <w:shd w:val="clear" w:color="auto" w:fill="FFFFFF"/>
        </w:rPr>
        <w:softHyphen/>
      </w:r>
      <w:r w:rsidRPr="00034123">
        <w:rPr>
          <w:rFonts w:eastAsia="Calibri" w:cs="Times New Roman"/>
          <w:sz w:val="24"/>
          <w:szCs w:val="24"/>
          <w:shd w:val="clear" w:color="auto" w:fill="FFFFFF"/>
        </w:rPr>
        <w:t>tomated information system (AIS) for a single electronic registration and making an appoint</w:t>
      </w:r>
      <w:r>
        <w:rPr>
          <w:rFonts w:eastAsia="Calibri" w:cs="Times New Roman"/>
          <w:sz w:val="24"/>
          <w:szCs w:val="24"/>
          <w:shd w:val="clear" w:color="auto" w:fill="FFFFFF"/>
        </w:rPr>
        <w:softHyphen/>
      </w:r>
      <w:r w:rsidRPr="00034123">
        <w:rPr>
          <w:rFonts w:eastAsia="Calibri" w:cs="Times New Roman"/>
          <w:sz w:val="24"/>
          <w:szCs w:val="24"/>
          <w:shd w:val="clear" w:color="auto" w:fill="FFFFFF"/>
        </w:rPr>
        <w:t>ment with a doctor via the Internet “Electronic Polyclinic” dated August 17, 2017, centralized databases have been created in many family clinics in Tashkent, a system of electronic out</w:t>
      </w:r>
      <w:r>
        <w:rPr>
          <w:rFonts w:eastAsia="Calibri" w:cs="Times New Roman"/>
          <w:sz w:val="24"/>
          <w:szCs w:val="24"/>
          <w:shd w:val="clear" w:color="auto" w:fill="FFFFFF"/>
        </w:rPr>
        <w:softHyphen/>
      </w:r>
      <w:r w:rsidRPr="00034123">
        <w:rPr>
          <w:rFonts w:eastAsia="Calibri" w:cs="Times New Roman"/>
          <w:sz w:val="24"/>
          <w:szCs w:val="24"/>
          <w:shd w:val="clear" w:color="auto" w:fill="FFFFFF"/>
        </w:rPr>
        <w:t>patient charts and case histories. Through the official website of the Ministry of Health (reg.minzdrav.uz and ssv.uz), citizens can make an appointment with a doctor, get infor</w:t>
      </w:r>
      <w:r>
        <w:rPr>
          <w:rFonts w:eastAsia="Calibri" w:cs="Times New Roman"/>
          <w:sz w:val="24"/>
          <w:szCs w:val="24"/>
          <w:shd w:val="clear" w:color="auto" w:fill="FFFFFF"/>
        </w:rPr>
        <w:softHyphen/>
      </w:r>
      <w:r w:rsidRPr="00034123">
        <w:rPr>
          <w:rFonts w:eastAsia="Calibri" w:cs="Times New Roman"/>
          <w:sz w:val="24"/>
          <w:szCs w:val="24"/>
          <w:shd w:val="clear" w:color="auto" w:fill="FFFFFF"/>
        </w:rPr>
        <w:t>mation about the doctor and the institution. Pa</w:t>
      </w:r>
      <w:r>
        <w:rPr>
          <w:rFonts w:eastAsia="Calibri" w:cs="Times New Roman"/>
          <w:sz w:val="24"/>
          <w:szCs w:val="24"/>
          <w:shd w:val="clear" w:color="auto" w:fill="FFFFFF"/>
        </w:rPr>
        <w:softHyphen/>
      </w:r>
      <w:r w:rsidRPr="00034123">
        <w:rPr>
          <w:rFonts w:eastAsia="Calibri" w:cs="Times New Roman"/>
          <w:sz w:val="24"/>
          <w:szCs w:val="24"/>
          <w:shd w:val="clear" w:color="auto" w:fill="FFFFFF"/>
        </w:rPr>
        <w:t>tients can evaluate the quality of received med</w:t>
      </w:r>
      <w:r>
        <w:rPr>
          <w:rFonts w:eastAsia="Calibri" w:cs="Times New Roman"/>
          <w:sz w:val="24"/>
          <w:szCs w:val="24"/>
          <w:shd w:val="clear" w:color="auto" w:fill="FFFFFF"/>
        </w:rPr>
        <w:softHyphen/>
      </w:r>
      <w:r w:rsidRPr="00034123">
        <w:rPr>
          <w:rFonts w:eastAsia="Calibri" w:cs="Times New Roman"/>
          <w:sz w:val="24"/>
          <w:szCs w:val="24"/>
          <w:shd w:val="clear" w:color="auto" w:fill="FFFFFF"/>
        </w:rPr>
        <w:t>ical services [4].</w:t>
      </w:r>
    </w:p>
    <w:p w14:paraId="0EAF469B"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In accordance with the Decree of the President of the Republic of Uzbekistan dated June 20, 2017 No. PP-3071 “On measures to further develop the provision of specialized medical care to the population of the Republic of Uzbekistan in 2017-2021”, the Electronic Polyclinic system was launched. "Electronic Polyclinic" is one of the most important pro</w:t>
      </w:r>
      <w:r>
        <w:rPr>
          <w:rFonts w:eastAsia="Calibri" w:cs="Times New Roman"/>
          <w:sz w:val="24"/>
          <w:szCs w:val="24"/>
        </w:rPr>
        <w:softHyphen/>
      </w:r>
      <w:r w:rsidRPr="00034123">
        <w:rPr>
          <w:rFonts w:eastAsia="Calibri" w:cs="Times New Roman"/>
          <w:sz w:val="24"/>
          <w:szCs w:val="24"/>
        </w:rPr>
        <w:t>jects developed and implemented by the Cen</w:t>
      </w:r>
      <w:r>
        <w:rPr>
          <w:rFonts w:eastAsia="Calibri" w:cs="Times New Roman"/>
          <w:sz w:val="24"/>
          <w:szCs w:val="24"/>
        </w:rPr>
        <w:softHyphen/>
      </w:r>
      <w:r w:rsidRPr="00034123">
        <w:rPr>
          <w:rFonts w:eastAsia="Calibri" w:cs="Times New Roman"/>
          <w:sz w:val="24"/>
          <w:szCs w:val="24"/>
        </w:rPr>
        <w:t>ter for the Development of Information and Communication Technologies.</w:t>
      </w:r>
    </w:p>
    <w:p w14:paraId="75346718" w14:textId="77777777" w:rsidR="00DD566D" w:rsidRPr="00034123" w:rsidRDefault="00DD566D" w:rsidP="00DD566D">
      <w:pPr>
        <w:spacing w:line="276" w:lineRule="auto"/>
        <w:ind w:firstLine="567"/>
        <w:jc w:val="both"/>
        <w:rPr>
          <w:rFonts w:eastAsia="Times New Roman" w:cs="Times New Roman"/>
          <w:sz w:val="24"/>
          <w:szCs w:val="24"/>
          <w:lang w:eastAsia="ru-RU"/>
        </w:rPr>
      </w:pPr>
      <w:r w:rsidRPr="00034123">
        <w:rPr>
          <w:rFonts w:eastAsia="Times New Roman" w:cs="Times New Roman"/>
          <w:sz w:val="24"/>
          <w:szCs w:val="24"/>
          <w:lang w:eastAsia="ru-RU"/>
        </w:rPr>
        <w:t>With the help of this system, the popula</w:t>
      </w:r>
      <w:r>
        <w:rPr>
          <w:rFonts w:eastAsia="Times New Roman" w:cs="Times New Roman"/>
          <w:sz w:val="24"/>
          <w:szCs w:val="24"/>
          <w:lang w:eastAsia="ru-RU"/>
        </w:rPr>
        <w:softHyphen/>
      </w:r>
      <w:r w:rsidRPr="00034123">
        <w:rPr>
          <w:rFonts w:eastAsia="Times New Roman" w:cs="Times New Roman"/>
          <w:sz w:val="24"/>
          <w:szCs w:val="24"/>
          <w:lang w:eastAsia="ru-RU"/>
        </w:rPr>
        <w:t>tion can make an appointment with a doctor at a convenient time without leaving home, get information about the institution and doctors in their area, and also evaluate the quality of med</w:t>
      </w:r>
      <w:r>
        <w:rPr>
          <w:rFonts w:eastAsia="Times New Roman" w:cs="Times New Roman"/>
          <w:sz w:val="24"/>
          <w:szCs w:val="24"/>
          <w:lang w:eastAsia="ru-RU"/>
        </w:rPr>
        <w:softHyphen/>
      </w:r>
      <w:r w:rsidRPr="00034123">
        <w:rPr>
          <w:rFonts w:eastAsia="Times New Roman" w:cs="Times New Roman"/>
          <w:sz w:val="24"/>
          <w:szCs w:val="24"/>
          <w:lang w:eastAsia="ru-RU"/>
        </w:rPr>
        <w:t>ical services received. The advantages of this system for polyclinics are automated data re</w:t>
      </w:r>
      <w:r>
        <w:rPr>
          <w:rFonts w:eastAsia="Times New Roman" w:cs="Times New Roman"/>
          <w:sz w:val="24"/>
          <w:szCs w:val="24"/>
          <w:lang w:eastAsia="ru-RU"/>
        </w:rPr>
        <w:softHyphen/>
      </w:r>
      <w:r w:rsidRPr="00034123">
        <w:rPr>
          <w:rFonts w:eastAsia="Times New Roman" w:cs="Times New Roman"/>
          <w:sz w:val="24"/>
          <w:szCs w:val="24"/>
          <w:lang w:eastAsia="ru-RU"/>
        </w:rPr>
        <w:t>cording, the possibility of maintaining a single electronic outpatient medical record in family polyclinics. Also, this system has a number of features: the formation of information about the location of medical institutions and their mode of operation; introduction of the elec</w:t>
      </w:r>
      <w:r>
        <w:rPr>
          <w:rFonts w:eastAsia="Times New Roman" w:cs="Times New Roman"/>
          <w:sz w:val="24"/>
          <w:szCs w:val="24"/>
          <w:lang w:eastAsia="ru-RU"/>
        </w:rPr>
        <w:softHyphen/>
      </w:r>
      <w:r w:rsidRPr="00034123">
        <w:rPr>
          <w:rFonts w:eastAsia="Times New Roman" w:cs="Times New Roman"/>
          <w:sz w:val="24"/>
          <w:szCs w:val="24"/>
          <w:lang w:eastAsia="ru-RU"/>
        </w:rPr>
        <w:t>tronic service "Make an appointment with a doctor"; scheduling work of doctors.</w:t>
      </w:r>
    </w:p>
    <w:p w14:paraId="76640C29" w14:textId="77777777" w:rsidR="00DD566D" w:rsidRPr="00034123" w:rsidRDefault="00DD566D" w:rsidP="00DD566D">
      <w:pPr>
        <w:spacing w:line="276" w:lineRule="auto"/>
        <w:ind w:firstLine="567"/>
        <w:jc w:val="both"/>
        <w:rPr>
          <w:rFonts w:eastAsia="Times New Roman" w:cs="Times New Roman"/>
          <w:sz w:val="24"/>
          <w:szCs w:val="24"/>
          <w:lang w:eastAsia="ru-RU"/>
        </w:rPr>
      </w:pPr>
      <w:r w:rsidRPr="00034123">
        <w:rPr>
          <w:rFonts w:eastAsia="Times New Roman" w:cs="Times New Roman"/>
          <w:sz w:val="24"/>
          <w:szCs w:val="24"/>
          <w:lang w:eastAsia="ru-RU"/>
        </w:rPr>
        <w:lastRenderedPageBreak/>
        <w:t>To date, according to the Ministry of Health of the Republic of Uzbekistan, 423 in</w:t>
      </w:r>
      <w:r>
        <w:rPr>
          <w:rFonts w:eastAsia="Times New Roman" w:cs="Times New Roman"/>
          <w:sz w:val="24"/>
          <w:szCs w:val="24"/>
          <w:lang w:eastAsia="ru-RU"/>
        </w:rPr>
        <w:softHyphen/>
      </w:r>
      <w:r w:rsidRPr="00034123">
        <w:rPr>
          <w:rFonts w:eastAsia="Times New Roman" w:cs="Times New Roman"/>
          <w:sz w:val="24"/>
          <w:szCs w:val="24"/>
          <w:lang w:eastAsia="ru-RU"/>
        </w:rPr>
        <w:t>stitutions are connected to the "Electronic Pol</w:t>
      </w:r>
      <w:r>
        <w:rPr>
          <w:rFonts w:eastAsia="Times New Roman" w:cs="Times New Roman"/>
          <w:sz w:val="24"/>
          <w:szCs w:val="24"/>
          <w:lang w:eastAsia="ru-RU"/>
        </w:rPr>
        <w:softHyphen/>
      </w:r>
      <w:r w:rsidRPr="00034123">
        <w:rPr>
          <w:rFonts w:eastAsia="Times New Roman" w:cs="Times New Roman"/>
          <w:sz w:val="24"/>
          <w:szCs w:val="24"/>
          <w:lang w:eastAsia="ru-RU"/>
        </w:rPr>
        <w:t>yclinic" information system, of which: 167 family polyclinics, 168 multidisciplinary poly</w:t>
      </w:r>
      <w:r>
        <w:rPr>
          <w:rFonts w:eastAsia="Times New Roman" w:cs="Times New Roman"/>
          <w:sz w:val="24"/>
          <w:szCs w:val="24"/>
          <w:lang w:eastAsia="ru-RU"/>
        </w:rPr>
        <w:softHyphen/>
      </w:r>
      <w:r w:rsidRPr="00034123">
        <w:rPr>
          <w:rFonts w:eastAsia="Times New Roman" w:cs="Times New Roman"/>
          <w:sz w:val="24"/>
          <w:szCs w:val="24"/>
          <w:lang w:eastAsia="ru-RU"/>
        </w:rPr>
        <w:t>clinics, 19 regional (children's) multidiscipli</w:t>
      </w:r>
      <w:r>
        <w:rPr>
          <w:rFonts w:eastAsia="Times New Roman" w:cs="Times New Roman"/>
          <w:sz w:val="24"/>
          <w:szCs w:val="24"/>
          <w:lang w:eastAsia="ru-RU"/>
        </w:rPr>
        <w:softHyphen/>
      </w:r>
      <w:r w:rsidRPr="00034123">
        <w:rPr>
          <w:rFonts w:eastAsia="Times New Roman" w:cs="Times New Roman"/>
          <w:sz w:val="24"/>
          <w:szCs w:val="24"/>
          <w:lang w:eastAsia="ru-RU"/>
        </w:rPr>
        <w:t>nary medical centers, 69 regional DPM and branches of centers. The number of patient data collected reached 8,412,211. The infor</w:t>
      </w:r>
      <w:r>
        <w:rPr>
          <w:rFonts w:eastAsia="Times New Roman" w:cs="Times New Roman"/>
          <w:sz w:val="24"/>
          <w:szCs w:val="24"/>
          <w:lang w:eastAsia="ru-RU"/>
        </w:rPr>
        <w:softHyphen/>
      </w:r>
      <w:r w:rsidRPr="00034123">
        <w:rPr>
          <w:rFonts w:eastAsia="Times New Roman" w:cs="Times New Roman"/>
          <w:sz w:val="24"/>
          <w:szCs w:val="24"/>
          <w:lang w:eastAsia="ru-RU"/>
        </w:rPr>
        <w:t>mation system "Electronic Polyclinic" allows medical workers to increase work efficiency and transparency of information. As of Febru</w:t>
      </w:r>
      <w:r>
        <w:rPr>
          <w:rFonts w:eastAsia="Times New Roman" w:cs="Times New Roman"/>
          <w:sz w:val="24"/>
          <w:szCs w:val="24"/>
          <w:lang w:eastAsia="ru-RU"/>
        </w:rPr>
        <w:softHyphen/>
      </w:r>
      <w:r w:rsidRPr="00034123">
        <w:rPr>
          <w:rFonts w:eastAsia="Times New Roman" w:cs="Times New Roman"/>
          <w:sz w:val="24"/>
          <w:szCs w:val="24"/>
          <w:lang w:eastAsia="ru-RU"/>
        </w:rPr>
        <w:t>ary 15, 2021, the number of system users ex</w:t>
      </w:r>
      <w:r>
        <w:rPr>
          <w:rFonts w:eastAsia="Times New Roman" w:cs="Times New Roman"/>
          <w:sz w:val="24"/>
          <w:szCs w:val="24"/>
          <w:lang w:eastAsia="ru-RU"/>
        </w:rPr>
        <w:softHyphen/>
      </w:r>
      <w:r w:rsidRPr="00034123">
        <w:rPr>
          <w:rFonts w:eastAsia="Times New Roman" w:cs="Times New Roman"/>
          <w:sz w:val="24"/>
          <w:szCs w:val="24"/>
          <w:lang w:eastAsia="ru-RU"/>
        </w:rPr>
        <w:t>ceeded 10,000 people. The number of indica</w:t>
      </w:r>
      <w:r>
        <w:rPr>
          <w:rFonts w:eastAsia="Times New Roman" w:cs="Times New Roman"/>
          <w:sz w:val="24"/>
          <w:szCs w:val="24"/>
          <w:lang w:eastAsia="ru-RU"/>
        </w:rPr>
        <w:softHyphen/>
      </w:r>
      <w:r w:rsidRPr="00034123">
        <w:rPr>
          <w:rFonts w:eastAsia="Times New Roman" w:cs="Times New Roman"/>
          <w:sz w:val="24"/>
          <w:szCs w:val="24"/>
          <w:lang w:eastAsia="ru-RU"/>
        </w:rPr>
        <w:t>tors listed above has been increasing over the years. However, there are a number of chal</w:t>
      </w:r>
      <w:r>
        <w:rPr>
          <w:rFonts w:eastAsia="Times New Roman" w:cs="Times New Roman"/>
          <w:sz w:val="24"/>
          <w:szCs w:val="24"/>
          <w:lang w:eastAsia="ru-RU"/>
        </w:rPr>
        <w:softHyphen/>
      </w:r>
      <w:r w:rsidRPr="00034123">
        <w:rPr>
          <w:rFonts w:eastAsia="Times New Roman" w:cs="Times New Roman"/>
          <w:sz w:val="24"/>
          <w:szCs w:val="24"/>
          <w:lang w:eastAsia="ru-RU"/>
        </w:rPr>
        <w:t>lenges facing the improvement of the eHealth system today. In particular, some medical in</w:t>
      </w:r>
      <w:r>
        <w:rPr>
          <w:rFonts w:eastAsia="Times New Roman" w:cs="Times New Roman"/>
          <w:sz w:val="24"/>
          <w:szCs w:val="24"/>
          <w:lang w:eastAsia="ru-RU"/>
        </w:rPr>
        <w:softHyphen/>
      </w:r>
      <w:r w:rsidRPr="00034123">
        <w:rPr>
          <w:rFonts w:eastAsia="Times New Roman" w:cs="Times New Roman"/>
          <w:sz w:val="24"/>
          <w:szCs w:val="24"/>
          <w:lang w:eastAsia="ru-RU"/>
        </w:rPr>
        <w:t>stitutions do not have complete computer equipment, high-quality Internet access, doc</w:t>
      </w:r>
      <w:r>
        <w:rPr>
          <w:rFonts w:eastAsia="Times New Roman" w:cs="Times New Roman"/>
          <w:sz w:val="24"/>
          <w:szCs w:val="24"/>
          <w:lang w:eastAsia="ru-RU"/>
        </w:rPr>
        <w:softHyphen/>
      </w:r>
      <w:r w:rsidRPr="00034123">
        <w:rPr>
          <w:rFonts w:eastAsia="Times New Roman" w:cs="Times New Roman"/>
          <w:sz w:val="24"/>
          <w:szCs w:val="24"/>
          <w:lang w:eastAsia="ru-RU"/>
        </w:rPr>
        <w:t>tors do not have enough skills to use the sys</w:t>
      </w:r>
      <w:r>
        <w:rPr>
          <w:rFonts w:eastAsia="Times New Roman" w:cs="Times New Roman"/>
          <w:sz w:val="24"/>
          <w:szCs w:val="24"/>
          <w:lang w:eastAsia="ru-RU"/>
        </w:rPr>
        <w:softHyphen/>
      </w:r>
      <w:r w:rsidRPr="00034123">
        <w:rPr>
          <w:rFonts w:eastAsia="Times New Roman" w:cs="Times New Roman"/>
          <w:sz w:val="24"/>
          <w:szCs w:val="24"/>
          <w:lang w:eastAsia="ru-RU"/>
        </w:rPr>
        <w:t>tem, etc. Necessary measures are being taken to eliminate these shortcomings and problems, and in the near future the system will be avail</w:t>
      </w:r>
      <w:r>
        <w:rPr>
          <w:rFonts w:eastAsia="Times New Roman" w:cs="Times New Roman"/>
          <w:sz w:val="24"/>
          <w:szCs w:val="24"/>
          <w:lang w:eastAsia="ru-RU"/>
        </w:rPr>
        <w:softHyphen/>
      </w:r>
      <w:r w:rsidRPr="00034123">
        <w:rPr>
          <w:rFonts w:eastAsia="Times New Roman" w:cs="Times New Roman"/>
          <w:sz w:val="24"/>
          <w:szCs w:val="24"/>
          <w:lang w:eastAsia="ru-RU"/>
        </w:rPr>
        <w:t>able in in the form of a mobile application [5].</w:t>
      </w:r>
    </w:p>
    <w:p w14:paraId="77337841" w14:textId="77777777" w:rsidR="00DD566D" w:rsidRPr="00034123" w:rsidRDefault="00DD566D" w:rsidP="00DD566D">
      <w:pPr>
        <w:spacing w:line="276" w:lineRule="auto"/>
        <w:ind w:firstLine="567"/>
        <w:jc w:val="both"/>
        <w:rPr>
          <w:rFonts w:eastAsia="Times New Roman" w:cs="Times New Roman"/>
          <w:sz w:val="24"/>
          <w:szCs w:val="24"/>
          <w:lang w:eastAsia="ru-RU"/>
        </w:rPr>
      </w:pPr>
      <w:r w:rsidRPr="00034123">
        <w:rPr>
          <w:rFonts w:eastAsia="Times New Roman" w:cs="Times New Roman"/>
          <w:sz w:val="24"/>
          <w:szCs w:val="24"/>
          <w:lang w:eastAsia="ru-RU"/>
        </w:rPr>
        <w:t>Given the above, for the effective opera</w:t>
      </w:r>
      <w:r>
        <w:rPr>
          <w:rFonts w:eastAsia="Times New Roman" w:cs="Times New Roman"/>
          <w:sz w:val="24"/>
          <w:szCs w:val="24"/>
          <w:lang w:eastAsia="ru-RU"/>
        </w:rPr>
        <w:softHyphen/>
      </w:r>
      <w:r w:rsidRPr="00034123">
        <w:rPr>
          <w:rFonts w:eastAsia="Times New Roman" w:cs="Times New Roman"/>
          <w:sz w:val="24"/>
          <w:szCs w:val="24"/>
          <w:lang w:eastAsia="ru-RU"/>
        </w:rPr>
        <w:t>tion of e-health, a radical improvement in the level of training of medical personnel is neces</w:t>
      </w:r>
      <w:r>
        <w:rPr>
          <w:rFonts w:eastAsia="Times New Roman" w:cs="Times New Roman"/>
          <w:sz w:val="24"/>
          <w:szCs w:val="24"/>
          <w:lang w:eastAsia="ru-RU"/>
        </w:rPr>
        <w:softHyphen/>
      </w:r>
      <w:r w:rsidRPr="00034123">
        <w:rPr>
          <w:rFonts w:eastAsia="Times New Roman" w:cs="Times New Roman"/>
          <w:sz w:val="24"/>
          <w:szCs w:val="24"/>
          <w:lang w:eastAsia="ru-RU"/>
        </w:rPr>
        <w:t>sary. An urgent task in the process of modern</w:t>
      </w:r>
      <w:r>
        <w:rPr>
          <w:rFonts w:eastAsia="Times New Roman" w:cs="Times New Roman"/>
          <w:sz w:val="24"/>
          <w:szCs w:val="24"/>
          <w:lang w:eastAsia="ru-RU"/>
        </w:rPr>
        <w:softHyphen/>
      </w:r>
      <w:r w:rsidRPr="00034123">
        <w:rPr>
          <w:rFonts w:eastAsia="Times New Roman" w:cs="Times New Roman"/>
          <w:sz w:val="24"/>
          <w:szCs w:val="24"/>
          <w:lang w:eastAsia="ru-RU"/>
        </w:rPr>
        <w:t>izing the modern educational process in a med</w:t>
      </w:r>
      <w:r>
        <w:rPr>
          <w:rFonts w:eastAsia="Times New Roman" w:cs="Times New Roman"/>
          <w:sz w:val="24"/>
          <w:szCs w:val="24"/>
          <w:lang w:eastAsia="ru-RU"/>
        </w:rPr>
        <w:softHyphen/>
      </w:r>
      <w:r w:rsidRPr="00034123">
        <w:rPr>
          <w:rFonts w:eastAsia="Times New Roman" w:cs="Times New Roman"/>
          <w:sz w:val="24"/>
          <w:szCs w:val="24"/>
          <w:lang w:eastAsia="ru-RU"/>
        </w:rPr>
        <w:t>ical university is the introduction of a system of active teaching methods based on Hi-Tech technologies into the educational process.</w:t>
      </w:r>
    </w:p>
    <w:p w14:paraId="0C993D18"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Already now, for the convenience of pa</w:t>
      </w:r>
      <w:r>
        <w:rPr>
          <w:rFonts w:eastAsia="Calibri" w:cs="Times New Roman"/>
          <w:sz w:val="24"/>
          <w:szCs w:val="24"/>
        </w:rPr>
        <w:softHyphen/>
      </w:r>
      <w:r w:rsidRPr="00034123">
        <w:rPr>
          <w:rFonts w:eastAsia="Calibri" w:cs="Times New Roman"/>
          <w:sz w:val="24"/>
          <w:szCs w:val="24"/>
        </w:rPr>
        <w:t>tients and doctors, all documents are being converted into electronic form. The ability to make an appointment with doctors not only at the reception, but also through special termi</w:t>
      </w:r>
      <w:r>
        <w:rPr>
          <w:rFonts w:eastAsia="Calibri" w:cs="Times New Roman"/>
          <w:sz w:val="24"/>
          <w:szCs w:val="24"/>
        </w:rPr>
        <w:softHyphen/>
      </w:r>
      <w:r w:rsidRPr="00034123">
        <w:rPr>
          <w:rFonts w:eastAsia="Calibri" w:cs="Times New Roman"/>
          <w:sz w:val="24"/>
          <w:szCs w:val="24"/>
        </w:rPr>
        <w:t>nals in clinics and on the Internet, of course, significantly saves the patient's time and effort. The means of information and communication technologies in the e-medicine system should ensure the timely and reliable exchange of in</w:t>
      </w:r>
      <w:r>
        <w:rPr>
          <w:rFonts w:eastAsia="Calibri" w:cs="Times New Roman"/>
          <w:sz w:val="24"/>
          <w:szCs w:val="24"/>
        </w:rPr>
        <w:softHyphen/>
      </w:r>
      <w:r w:rsidRPr="00034123">
        <w:rPr>
          <w:rFonts w:eastAsia="Calibri" w:cs="Times New Roman"/>
          <w:sz w:val="24"/>
          <w:szCs w:val="24"/>
        </w:rPr>
        <w:t>formation necessary for the provision of e-medicine services.</w:t>
      </w:r>
    </w:p>
    <w:p w14:paraId="6DC96F59"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The introduction of e-health into practice in the Republic of Uzbekistan is characterized by the reorientation of modern medical educa</w:t>
      </w:r>
      <w:r>
        <w:rPr>
          <w:rFonts w:eastAsia="Calibri" w:cs="Times New Roman"/>
          <w:sz w:val="24"/>
          <w:szCs w:val="24"/>
        </w:rPr>
        <w:softHyphen/>
      </w:r>
      <w:r w:rsidRPr="00034123">
        <w:rPr>
          <w:rFonts w:eastAsia="Calibri" w:cs="Times New Roman"/>
          <w:sz w:val="24"/>
          <w:szCs w:val="24"/>
        </w:rPr>
        <w:t>tion at the university to a personal and compe</w:t>
      </w:r>
      <w:r>
        <w:rPr>
          <w:rFonts w:eastAsia="Calibri" w:cs="Times New Roman"/>
          <w:sz w:val="24"/>
          <w:szCs w:val="24"/>
        </w:rPr>
        <w:softHyphen/>
      </w:r>
      <w:r w:rsidRPr="00034123">
        <w:rPr>
          <w:rFonts w:eastAsia="Calibri" w:cs="Times New Roman"/>
          <w:sz w:val="24"/>
          <w:szCs w:val="24"/>
        </w:rPr>
        <w:t>tence-based approach. It is a priority and pro</w:t>
      </w:r>
      <w:r>
        <w:rPr>
          <w:rFonts w:eastAsia="Calibri" w:cs="Times New Roman"/>
          <w:sz w:val="24"/>
          <w:szCs w:val="24"/>
        </w:rPr>
        <w:softHyphen/>
      </w:r>
      <w:r w:rsidRPr="00034123">
        <w:rPr>
          <w:rFonts w:eastAsia="Calibri" w:cs="Times New Roman"/>
          <w:sz w:val="24"/>
          <w:szCs w:val="24"/>
        </w:rPr>
        <w:t>vides for the modernization of the education system through the introduction of training el</w:t>
      </w:r>
      <w:r>
        <w:rPr>
          <w:rFonts w:eastAsia="Calibri" w:cs="Times New Roman"/>
          <w:sz w:val="24"/>
          <w:szCs w:val="24"/>
        </w:rPr>
        <w:softHyphen/>
      </w:r>
      <w:r w:rsidRPr="00034123">
        <w:rPr>
          <w:rFonts w:eastAsia="Calibri" w:cs="Times New Roman"/>
          <w:sz w:val="24"/>
          <w:szCs w:val="24"/>
        </w:rPr>
        <w:t>ements based on the formation of basic compe</w:t>
      </w:r>
      <w:r>
        <w:rPr>
          <w:rFonts w:eastAsia="Calibri" w:cs="Times New Roman"/>
          <w:sz w:val="24"/>
          <w:szCs w:val="24"/>
        </w:rPr>
        <w:softHyphen/>
      </w:r>
      <w:r w:rsidRPr="00034123">
        <w:rPr>
          <w:rFonts w:eastAsia="Calibri" w:cs="Times New Roman"/>
          <w:sz w:val="24"/>
          <w:szCs w:val="24"/>
        </w:rPr>
        <w:t>tencies that allow graduates to independently acquire knowledge that is as close as possible to practical healthcare.</w:t>
      </w:r>
    </w:p>
    <w:p w14:paraId="63C19AEC"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From this point of view, great emphasis is placed on the practical training of specialists in the field of e-health, since students who have completed a bachelor's degree, i.e. future fam</w:t>
      </w:r>
      <w:r>
        <w:rPr>
          <w:rFonts w:eastAsia="Calibri" w:cs="Times New Roman"/>
          <w:sz w:val="24"/>
          <w:szCs w:val="24"/>
        </w:rPr>
        <w:softHyphen/>
      </w:r>
      <w:r w:rsidRPr="00034123">
        <w:rPr>
          <w:rFonts w:eastAsia="Calibri" w:cs="Times New Roman"/>
          <w:sz w:val="24"/>
          <w:szCs w:val="24"/>
        </w:rPr>
        <w:t>ily doctors who have received a diploma im</w:t>
      </w:r>
      <w:r>
        <w:rPr>
          <w:rFonts w:eastAsia="Calibri" w:cs="Times New Roman"/>
          <w:sz w:val="24"/>
          <w:szCs w:val="24"/>
        </w:rPr>
        <w:softHyphen/>
      </w:r>
      <w:r w:rsidRPr="00034123">
        <w:rPr>
          <w:rFonts w:eastAsia="Calibri" w:cs="Times New Roman"/>
          <w:sz w:val="24"/>
          <w:szCs w:val="24"/>
        </w:rPr>
        <w:t>mediately begin practical work in primary health care. Today, given the development and implementation of e-health, medical students and the teaching staff of medical universities are concerned about the peculiarities of prepar</w:t>
      </w:r>
      <w:r>
        <w:rPr>
          <w:rFonts w:eastAsia="Calibri" w:cs="Times New Roman"/>
          <w:sz w:val="24"/>
          <w:szCs w:val="24"/>
        </w:rPr>
        <w:softHyphen/>
      </w:r>
      <w:r w:rsidRPr="00034123">
        <w:rPr>
          <w:rFonts w:eastAsia="Calibri" w:cs="Times New Roman"/>
          <w:sz w:val="24"/>
          <w:szCs w:val="24"/>
        </w:rPr>
        <w:t>ing students at graduating departments. In this regard, medical universities need to actively develop and conduct training sessions to facil</w:t>
      </w:r>
      <w:r>
        <w:rPr>
          <w:rFonts w:eastAsia="Calibri" w:cs="Times New Roman"/>
          <w:sz w:val="24"/>
          <w:szCs w:val="24"/>
        </w:rPr>
        <w:softHyphen/>
      </w:r>
      <w:r w:rsidRPr="00034123">
        <w:rPr>
          <w:rFonts w:eastAsia="Calibri" w:cs="Times New Roman"/>
          <w:sz w:val="24"/>
          <w:szCs w:val="24"/>
        </w:rPr>
        <w:t>itate the adaptation of students to the new rules for organizing the healthcare system. [3].</w:t>
      </w:r>
    </w:p>
    <w:p w14:paraId="156137AA"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The use of electronic documents in the practice of medical personnel, in particular a doctor, especially in primary health care, is im</w:t>
      </w:r>
      <w:r>
        <w:rPr>
          <w:rFonts w:eastAsia="Calibri" w:cs="Times New Roman"/>
          <w:sz w:val="24"/>
          <w:szCs w:val="24"/>
        </w:rPr>
        <w:softHyphen/>
      </w:r>
      <w:r w:rsidRPr="00034123">
        <w:rPr>
          <w:rFonts w:eastAsia="Calibri" w:cs="Times New Roman"/>
          <w:sz w:val="24"/>
          <w:szCs w:val="24"/>
        </w:rPr>
        <w:t>portant in improving the quality of medical care to the population. The introduction of electronic medical outpatient records and case histories in a test mode is currently used in sev</w:t>
      </w:r>
      <w:r>
        <w:rPr>
          <w:rFonts w:eastAsia="Calibri" w:cs="Times New Roman"/>
          <w:sz w:val="24"/>
          <w:szCs w:val="24"/>
        </w:rPr>
        <w:softHyphen/>
      </w:r>
      <w:r w:rsidRPr="00034123">
        <w:rPr>
          <w:rFonts w:eastAsia="Calibri" w:cs="Times New Roman"/>
          <w:sz w:val="24"/>
          <w:szCs w:val="24"/>
        </w:rPr>
        <w:t>eral clinics and hospitals of the Republic of Uzbekistan.</w:t>
      </w:r>
    </w:p>
    <w:p w14:paraId="4DA125C3"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Due to the use of a variety of replenisha</w:t>
      </w:r>
      <w:r>
        <w:rPr>
          <w:rFonts w:eastAsia="Calibri" w:cs="Times New Roman"/>
          <w:sz w:val="24"/>
          <w:szCs w:val="24"/>
        </w:rPr>
        <w:softHyphen/>
      </w:r>
      <w:r w:rsidRPr="00034123">
        <w:rPr>
          <w:rFonts w:eastAsia="Calibri" w:cs="Times New Roman"/>
          <w:sz w:val="24"/>
          <w:szCs w:val="24"/>
        </w:rPr>
        <w:t>ble directories and templates, entering data on cases of patient care in an electronic medical record takes much less time than when manu</w:t>
      </w:r>
      <w:r>
        <w:rPr>
          <w:rFonts w:eastAsia="Calibri" w:cs="Times New Roman"/>
          <w:sz w:val="24"/>
          <w:szCs w:val="24"/>
        </w:rPr>
        <w:softHyphen/>
      </w:r>
      <w:r w:rsidRPr="00034123">
        <w:rPr>
          <w:rFonts w:eastAsia="Calibri" w:cs="Times New Roman"/>
          <w:sz w:val="24"/>
          <w:szCs w:val="24"/>
        </w:rPr>
        <w:t>ally filling out outpatient cards and case histo</w:t>
      </w:r>
      <w:r>
        <w:rPr>
          <w:rFonts w:eastAsia="Calibri" w:cs="Times New Roman"/>
          <w:sz w:val="24"/>
          <w:szCs w:val="24"/>
        </w:rPr>
        <w:softHyphen/>
      </w:r>
      <w:r w:rsidRPr="00034123">
        <w:rPr>
          <w:rFonts w:eastAsia="Calibri" w:cs="Times New Roman"/>
          <w:sz w:val="24"/>
          <w:szCs w:val="24"/>
        </w:rPr>
        <w:t xml:space="preserve">ries. In addition, with its implementation, the problem of transporting documents from one medical organization to another is eliminated, the degree of protection of patients' personal data is increased - this ensures a high-quality </w:t>
      </w:r>
      <w:r w:rsidRPr="00034123">
        <w:rPr>
          <w:rFonts w:eastAsia="Calibri" w:cs="Times New Roman"/>
          <w:sz w:val="24"/>
          <w:szCs w:val="24"/>
        </w:rPr>
        <w:lastRenderedPageBreak/>
        <w:t>exchange of information necessary for the pro</w:t>
      </w:r>
      <w:r>
        <w:rPr>
          <w:rFonts w:eastAsia="Calibri" w:cs="Times New Roman"/>
          <w:sz w:val="24"/>
          <w:szCs w:val="24"/>
        </w:rPr>
        <w:softHyphen/>
      </w:r>
      <w:r w:rsidRPr="00034123">
        <w:rPr>
          <w:rFonts w:eastAsia="Calibri" w:cs="Times New Roman"/>
          <w:sz w:val="24"/>
          <w:szCs w:val="24"/>
        </w:rPr>
        <w:t>vision of e-medicine services. [1].</w:t>
      </w:r>
    </w:p>
    <w:p w14:paraId="3A327BBD"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Currently, students studying at the clini</w:t>
      </w:r>
      <w:r>
        <w:rPr>
          <w:rFonts w:eastAsia="Calibri" w:cs="Times New Roman"/>
          <w:sz w:val="24"/>
          <w:szCs w:val="24"/>
        </w:rPr>
        <w:softHyphen/>
      </w:r>
      <w:r w:rsidRPr="00034123">
        <w:rPr>
          <w:rFonts w:eastAsia="Calibri" w:cs="Times New Roman"/>
          <w:sz w:val="24"/>
          <w:szCs w:val="24"/>
        </w:rPr>
        <w:t>cal bases of medical institutes are trained in the rules for maintaining medical records in paper form. We are faced with the task of full-scale introduction of electronic resources into the learning process of graduating students, which will allow you to quickly find existing and add new information about all cases of medical care provided to the patient, as well as auto</w:t>
      </w:r>
      <w:r>
        <w:rPr>
          <w:rFonts w:eastAsia="Calibri" w:cs="Times New Roman"/>
          <w:sz w:val="24"/>
          <w:szCs w:val="24"/>
        </w:rPr>
        <w:softHyphen/>
      </w:r>
      <w:r w:rsidRPr="00034123">
        <w:rPr>
          <w:rFonts w:eastAsia="Calibri" w:cs="Times New Roman"/>
          <w:sz w:val="24"/>
          <w:szCs w:val="24"/>
        </w:rPr>
        <w:t>matically generate medical documents.</w:t>
      </w:r>
    </w:p>
    <w:p w14:paraId="3DC1C997"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Based on modern telemedicine innova</w:t>
      </w:r>
      <w:r>
        <w:rPr>
          <w:rFonts w:eastAsia="Calibri" w:cs="Times New Roman"/>
          <w:sz w:val="24"/>
          <w:szCs w:val="24"/>
        </w:rPr>
        <w:softHyphen/>
      </w:r>
      <w:r w:rsidRPr="00034123">
        <w:rPr>
          <w:rFonts w:eastAsia="Calibri" w:cs="Times New Roman"/>
          <w:sz w:val="24"/>
          <w:szCs w:val="24"/>
        </w:rPr>
        <w:t>tive computer technologies, to train 6th year students of the Faculty of Medicine in the fol</w:t>
      </w:r>
      <w:r>
        <w:rPr>
          <w:rFonts w:eastAsia="Calibri" w:cs="Times New Roman"/>
          <w:sz w:val="24"/>
          <w:szCs w:val="24"/>
        </w:rPr>
        <w:softHyphen/>
      </w:r>
      <w:r w:rsidRPr="00034123">
        <w:rPr>
          <w:rFonts w:eastAsia="Calibri" w:cs="Times New Roman"/>
          <w:sz w:val="24"/>
          <w:szCs w:val="24"/>
        </w:rPr>
        <w:t>lowing skills: opening an electronic outpatient card and entering the patient's passport data; entering complaints and anamnesis, the results of an objective examination, diagnosis; ap</w:t>
      </w:r>
      <w:r>
        <w:rPr>
          <w:rFonts w:eastAsia="Calibri" w:cs="Times New Roman"/>
          <w:sz w:val="24"/>
          <w:szCs w:val="24"/>
        </w:rPr>
        <w:softHyphen/>
      </w:r>
      <w:r w:rsidRPr="00034123">
        <w:rPr>
          <w:rFonts w:eastAsia="Calibri" w:cs="Times New Roman"/>
          <w:sz w:val="24"/>
          <w:szCs w:val="24"/>
        </w:rPr>
        <w:t>pointment in the electronic patient record of la</w:t>
      </w:r>
      <w:r>
        <w:rPr>
          <w:rFonts w:eastAsia="Calibri" w:cs="Times New Roman"/>
          <w:sz w:val="24"/>
          <w:szCs w:val="24"/>
        </w:rPr>
        <w:softHyphen/>
      </w:r>
      <w:r w:rsidRPr="00034123">
        <w:rPr>
          <w:rFonts w:eastAsia="Calibri" w:cs="Times New Roman"/>
          <w:sz w:val="24"/>
          <w:szCs w:val="24"/>
        </w:rPr>
        <w:t>boratory and instrumental examinations for the patient; prescription of treatment for this pa</w:t>
      </w:r>
      <w:r>
        <w:rPr>
          <w:rFonts w:eastAsia="Calibri" w:cs="Times New Roman"/>
          <w:sz w:val="24"/>
          <w:szCs w:val="24"/>
        </w:rPr>
        <w:softHyphen/>
      </w:r>
      <w:r w:rsidRPr="00034123">
        <w:rPr>
          <w:rFonts w:eastAsia="Calibri" w:cs="Times New Roman"/>
          <w:sz w:val="24"/>
          <w:szCs w:val="24"/>
        </w:rPr>
        <w:t>tient. To increase professional and educational motivation, early readiness of students for practical activities in primary care.</w:t>
      </w:r>
    </w:p>
    <w:p w14:paraId="4E5F8E15"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b/>
          <w:sz w:val="24"/>
          <w:szCs w:val="24"/>
        </w:rPr>
        <w:t xml:space="preserve">Conclusions. </w:t>
      </w:r>
      <w:r w:rsidRPr="00034123">
        <w:rPr>
          <w:rFonts w:eastAsia="Calibri" w:cs="Times New Roman"/>
          <w:sz w:val="24"/>
          <w:szCs w:val="24"/>
        </w:rPr>
        <w:t xml:space="preserve">The introduction of the course "Electronic Polyclinic" into the process of teaching undergraduate students of the 6th year of the Faculty of Medicine will increase and strengthen the readiness of students for </w:t>
      </w:r>
      <w:r w:rsidRPr="00034123">
        <w:rPr>
          <w:rFonts w:eastAsia="Calibri" w:cs="Times New Roman"/>
          <w:sz w:val="24"/>
          <w:szCs w:val="24"/>
        </w:rPr>
        <w:t>medical practice in primary health care. As the confidence in their preparedness for their work increases, so will the motivation for learning, as well as for the professional activities of stu</w:t>
      </w:r>
      <w:r>
        <w:rPr>
          <w:rFonts w:eastAsia="Calibri" w:cs="Times New Roman"/>
          <w:sz w:val="24"/>
          <w:szCs w:val="24"/>
        </w:rPr>
        <w:softHyphen/>
      </w:r>
      <w:r w:rsidRPr="00034123">
        <w:rPr>
          <w:rFonts w:eastAsia="Calibri" w:cs="Times New Roman"/>
          <w:sz w:val="24"/>
          <w:szCs w:val="24"/>
        </w:rPr>
        <w:t>dents. Therefore, it is very important to de</w:t>
      </w:r>
      <w:r>
        <w:rPr>
          <w:rFonts w:eastAsia="Calibri" w:cs="Times New Roman"/>
          <w:sz w:val="24"/>
          <w:szCs w:val="24"/>
        </w:rPr>
        <w:softHyphen/>
      </w:r>
      <w:r w:rsidRPr="00034123">
        <w:rPr>
          <w:rFonts w:eastAsia="Calibri" w:cs="Times New Roman"/>
          <w:sz w:val="24"/>
          <w:szCs w:val="24"/>
        </w:rPr>
        <w:t>velop and improve training courses on working with electronic resources, especially in medi</w:t>
      </w:r>
      <w:r>
        <w:rPr>
          <w:rFonts w:eastAsia="Calibri" w:cs="Times New Roman"/>
          <w:sz w:val="24"/>
          <w:szCs w:val="24"/>
        </w:rPr>
        <w:softHyphen/>
      </w:r>
      <w:r w:rsidRPr="00034123">
        <w:rPr>
          <w:rFonts w:eastAsia="Calibri" w:cs="Times New Roman"/>
          <w:sz w:val="24"/>
          <w:szCs w:val="24"/>
        </w:rPr>
        <w:t xml:space="preserve">cal institutes of our republic. </w:t>
      </w:r>
    </w:p>
    <w:p w14:paraId="42DA8881" w14:textId="77777777" w:rsidR="00DD566D" w:rsidRPr="00034123" w:rsidRDefault="00DD566D" w:rsidP="00DD566D">
      <w:pPr>
        <w:spacing w:line="276" w:lineRule="auto"/>
        <w:ind w:firstLine="567"/>
        <w:jc w:val="both"/>
        <w:rPr>
          <w:rFonts w:eastAsia="Calibri" w:cs="Times New Roman"/>
          <w:sz w:val="24"/>
          <w:szCs w:val="24"/>
        </w:rPr>
      </w:pPr>
    </w:p>
    <w:p w14:paraId="54B3A4A3" w14:textId="77777777" w:rsidR="00DD566D" w:rsidRPr="007B1D55" w:rsidRDefault="00DD566D" w:rsidP="00DD566D">
      <w:pPr>
        <w:spacing w:line="276" w:lineRule="auto"/>
        <w:jc w:val="center"/>
        <w:rPr>
          <w:rFonts w:eastAsia="Calibri" w:cs="Times New Roman"/>
          <w:b/>
          <w:sz w:val="24"/>
          <w:szCs w:val="24"/>
        </w:rPr>
      </w:pPr>
      <w:r w:rsidRPr="00034123">
        <w:rPr>
          <w:rFonts w:eastAsia="Calibri" w:cs="Times New Roman"/>
          <w:b/>
          <w:sz w:val="24"/>
          <w:szCs w:val="24"/>
        </w:rPr>
        <w:t>LITERATURE</w:t>
      </w:r>
    </w:p>
    <w:p w14:paraId="0ABFF103" w14:textId="77777777" w:rsidR="00DD566D" w:rsidRPr="00034123" w:rsidRDefault="00DD566D" w:rsidP="00DD566D">
      <w:pPr>
        <w:spacing w:line="276" w:lineRule="auto"/>
        <w:jc w:val="center"/>
        <w:rPr>
          <w:rFonts w:eastAsia="Calibri" w:cs="Times New Roman"/>
          <w:b/>
          <w:sz w:val="24"/>
          <w:szCs w:val="24"/>
        </w:rPr>
      </w:pPr>
    </w:p>
    <w:p w14:paraId="008DB3DF"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1. Agranovich N.V. Forms and methods of teaching students at the Department of Pol</w:t>
      </w:r>
      <w:r>
        <w:rPr>
          <w:rFonts w:eastAsia="Calibri" w:cs="Times New Roman"/>
          <w:sz w:val="24"/>
          <w:szCs w:val="24"/>
        </w:rPr>
        <w:softHyphen/>
      </w:r>
      <w:r w:rsidRPr="00034123">
        <w:rPr>
          <w:rFonts w:eastAsia="Calibri" w:cs="Times New Roman"/>
          <w:sz w:val="24"/>
          <w:szCs w:val="24"/>
        </w:rPr>
        <w:t>yclinic Therapy: met. rec. Stavropol: StGMA Publishing House, 2011.</w:t>
      </w:r>
    </w:p>
    <w:p w14:paraId="573A12D4" w14:textId="77777777" w:rsidR="00DD566D" w:rsidRPr="00034123" w:rsidRDefault="00DD566D" w:rsidP="00DD566D">
      <w:pPr>
        <w:spacing w:line="276" w:lineRule="auto"/>
        <w:ind w:firstLine="567"/>
        <w:jc w:val="both"/>
        <w:rPr>
          <w:rFonts w:eastAsia="Calibri" w:cs="Times New Roman"/>
          <w:sz w:val="24"/>
          <w:szCs w:val="24"/>
        </w:rPr>
      </w:pPr>
      <w:r w:rsidRPr="00034123">
        <w:rPr>
          <w:rFonts w:eastAsia="Calibri" w:cs="Times New Roman"/>
          <w:sz w:val="24"/>
          <w:szCs w:val="24"/>
        </w:rPr>
        <w:t>2. Agranovich N.V., Khodzhayan A.B. Opportunities and effectiveness of distance learning in medicine // Fundamental research. 2012. No. 3. S. 545-547.</w:t>
      </w:r>
    </w:p>
    <w:p w14:paraId="69F13E48" w14:textId="77777777" w:rsidR="00DD566D" w:rsidRPr="00F20187" w:rsidRDefault="00DD566D" w:rsidP="00DD566D">
      <w:pPr>
        <w:spacing w:line="276" w:lineRule="auto"/>
        <w:ind w:firstLine="567"/>
        <w:jc w:val="both"/>
        <w:rPr>
          <w:rFonts w:eastAsia="Calibri" w:cs="Times New Roman"/>
          <w:sz w:val="24"/>
          <w:szCs w:val="24"/>
          <w:lang w:val="es-MX"/>
        </w:rPr>
      </w:pPr>
      <w:r w:rsidRPr="00034123">
        <w:rPr>
          <w:rFonts w:eastAsia="Calibri" w:cs="Times New Roman"/>
          <w:sz w:val="24"/>
          <w:szCs w:val="24"/>
        </w:rPr>
        <w:t>3. Gulyaeva S.F., Gulyaev P.V. National project "Health" and optimization of the qual</w:t>
      </w:r>
      <w:r>
        <w:rPr>
          <w:rFonts w:eastAsia="Calibri" w:cs="Times New Roman"/>
          <w:sz w:val="24"/>
          <w:szCs w:val="24"/>
        </w:rPr>
        <w:softHyphen/>
      </w:r>
      <w:r w:rsidRPr="00034123">
        <w:rPr>
          <w:rFonts w:eastAsia="Calibri" w:cs="Times New Roman"/>
          <w:sz w:val="24"/>
          <w:szCs w:val="24"/>
        </w:rPr>
        <w:t>ity and strategy of training interns at the De</w:t>
      </w:r>
      <w:r>
        <w:rPr>
          <w:rFonts w:eastAsia="Calibri" w:cs="Times New Roman"/>
          <w:sz w:val="24"/>
          <w:szCs w:val="24"/>
        </w:rPr>
        <w:softHyphen/>
      </w:r>
      <w:r w:rsidRPr="00034123">
        <w:rPr>
          <w:rFonts w:eastAsia="Calibri" w:cs="Times New Roman"/>
          <w:sz w:val="24"/>
          <w:szCs w:val="24"/>
        </w:rPr>
        <w:t xml:space="preserve">partment of Polyclinic Therapy // Ter. archive. </w:t>
      </w:r>
      <w:r w:rsidRPr="00F20187">
        <w:rPr>
          <w:rFonts w:eastAsia="Calibri" w:cs="Times New Roman"/>
          <w:sz w:val="24"/>
          <w:szCs w:val="24"/>
          <w:lang w:val="es-MX"/>
        </w:rPr>
        <w:t>2009. No. 1. S. 7-12.</w:t>
      </w:r>
    </w:p>
    <w:p w14:paraId="66EF51B5" w14:textId="77777777" w:rsidR="00DD566D" w:rsidRPr="00F20187" w:rsidRDefault="00DD566D" w:rsidP="00DD566D">
      <w:pPr>
        <w:tabs>
          <w:tab w:val="left" w:pos="851"/>
        </w:tabs>
        <w:spacing w:line="276" w:lineRule="auto"/>
        <w:ind w:firstLine="567"/>
        <w:jc w:val="both"/>
        <w:rPr>
          <w:rFonts w:eastAsia="Calibri" w:cs="Times New Roman"/>
          <w:sz w:val="24"/>
          <w:szCs w:val="24"/>
          <w:lang w:val="es-MX"/>
        </w:rPr>
      </w:pPr>
      <w:r w:rsidRPr="00F20187">
        <w:rPr>
          <w:rFonts w:eastAsia="Calibri" w:cs="Times New Roman"/>
          <w:sz w:val="24"/>
          <w:szCs w:val="24"/>
          <w:lang w:val="es-MX"/>
        </w:rPr>
        <w:t>4. http://med.uz/news/medical-news-uz</w:t>
      </w:r>
      <w:r w:rsidRPr="00F20187">
        <w:rPr>
          <w:rFonts w:eastAsia="Calibri" w:cs="Times New Roman"/>
          <w:sz w:val="24"/>
          <w:szCs w:val="24"/>
          <w:lang w:val="es-MX"/>
        </w:rPr>
        <w:softHyphen/>
        <w:t>bekistan/elektronnaya-poliklinika-sovremen</w:t>
      </w:r>
      <w:r w:rsidRPr="00F20187">
        <w:rPr>
          <w:rFonts w:eastAsia="Calibri" w:cs="Times New Roman"/>
          <w:sz w:val="24"/>
          <w:szCs w:val="24"/>
          <w:lang w:val="es-MX"/>
        </w:rPr>
        <w:softHyphen/>
        <w:t>nyy-metod-zashity-zdorovya-naseleniya/</w:t>
      </w:r>
    </w:p>
    <w:p w14:paraId="061E68C5" w14:textId="71968D98" w:rsidR="00DD566D" w:rsidRPr="00246C36" w:rsidRDefault="00DD566D" w:rsidP="00DD566D">
      <w:pPr>
        <w:spacing w:line="276" w:lineRule="auto"/>
        <w:ind w:firstLine="567"/>
        <w:jc w:val="both"/>
        <w:rPr>
          <w:rFonts w:eastAsia="Calibri" w:cs="Times New Roman"/>
          <w:sz w:val="24"/>
          <w:szCs w:val="24"/>
          <w:lang w:val="es-MX"/>
        </w:rPr>
      </w:pPr>
      <w:r w:rsidRPr="00F20187">
        <w:rPr>
          <w:rFonts w:eastAsia="Calibri" w:cs="Times New Roman"/>
          <w:sz w:val="24"/>
          <w:szCs w:val="24"/>
          <w:lang w:val="es-MX"/>
        </w:rPr>
        <w:t xml:space="preserve">5. </w:t>
      </w:r>
      <w:r w:rsidRPr="00246C36">
        <w:rPr>
          <w:rFonts w:eastAsia="Calibri" w:cs="Times New Roman"/>
          <w:sz w:val="24"/>
          <w:szCs w:val="24"/>
          <w:lang w:val="es-MX"/>
        </w:rPr>
        <w:t>https://ssv.uz/ru/news/elektronnaja-poliklinika1</w:t>
      </w:r>
    </w:p>
    <w:p w14:paraId="57A60324" w14:textId="77777777" w:rsidR="00DD566D" w:rsidRPr="00F20187" w:rsidRDefault="00DD566D" w:rsidP="00DD566D">
      <w:pPr>
        <w:spacing w:line="276" w:lineRule="auto"/>
        <w:ind w:firstLine="567"/>
        <w:jc w:val="both"/>
        <w:rPr>
          <w:rFonts w:eastAsia="Calibri" w:cs="Times New Roman"/>
          <w:sz w:val="24"/>
          <w:szCs w:val="24"/>
          <w:lang w:val="es-MX"/>
        </w:rPr>
        <w:sectPr w:rsidR="00DD566D" w:rsidRPr="00F20187" w:rsidSect="007B1D55">
          <w:type w:val="continuous"/>
          <w:pgSz w:w="11907" w:h="16840" w:code="9"/>
          <w:pgMar w:top="1418" w:right="1134" w:bottom="1134" w:left="1134" w:header="907" w:footer="794" w:gutter="0"/>
          <w:cols w:num="2" w:space="708"/>
          <w:docGrid w:linePitch="381"/>
        </w:sectPr>
      </w:pPr>
    </w:p>
    <w:p w14:paraId="16D3510D" w14:textId="77777777" w:rsidR="00DD566D" w:rsidRPr="00F20187" w:rsidRDefault="00DD566D" w:rsidP="00DD566D">
      <w:pPr>
        <w:spacing w:line="276" w:lineRule="auto"/>
        <w:ind w:firstLine="567"/>
        <w:jc w:val="both"/>
        <w:rPr>
          <w:rFonts w:eastAsia="Calibri" w:cs="Times New Roman"/>
          <w:sz w:val="24"/>
          <w:szCs w:val="24"/>
          <w:lang w:val="es-MX"/>
        </w:rPr>
      </w:pPr>
    </w:p>
    <w:p w14:paraId="43D91273"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79A59E7D"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008C7461" w14:textId="77777777" w:rsidR="00DD566D" w:rsidRPr="00DD566D" w:rsidRDefault="00DD566D" w:rsidP="0068136C">
      <w:pPr>
        <w:jc w:val="center"/>
        <w:rPr>
          <w:rFonts w:ascii="Cambria" w:hAnsi="Cambria"/>
          <w:b/>
          <w:bCs/>
          <w:sz w:val="48"/>
          <w:szCs w:val="40"/>
          <w:lang w:val="uz-Latn-UZ"/>
        </w:rPr>
      </w:pPr>
    </w:p>
    <w:p w14:paraId="27A44367" w14:textId="77777777" w:rsidR="00DD566D" w:rsidRPr="00DD566D" w:rsidRDefault="00DD566D" w:rsidP="0068136C">
      <w:pPr>
        <w:jc w:val="center"/>
        <w:rPr>
          <w:rFonts w:ascii="Cambria" w:hAnsi="Cambria"/>
          <w:b/>
          <w:bCs/>
          <w:sz w:val="48"/>
          <w:szCs w:val="40"/>
          <w:lang w:val="es-MX"/>
        </w:rPr>
      </w:pPr>
    </w:p>
    <w:p w14:paraId="052F18EE" w14:textId="61BE2402" w:rsidR="00DD566D" w:rsidRDefault="00DD566D" w:rsidP="0068136C">
      <w:pPr>
        <w:jc w:val="center"/>
        <w:rPr>
          <w:rFonts w:ascii="Cambria" w:hAnsi="Cambria"/>
          <w:b/>
          <w:bCs/>
          <w:sz w:val="48"/>
          <w:szCs w:val="40"/>
          <w:lang w:val="es-MX"/>
        </w:rPr>
      </w:pPr>
    </w:p>
    <w:p w14:paraId="567851A4" w14:textId="60E0F683" w:rsidR="00DD566D" w:rsidRDefault="00DD566D" w:rsidP="0068136C">
      <w:pPr>
        <w:jc w:val="center"/>
        <w:rPr>
          <w:rFonts w:ascii="Cambria" w:hAnsi="Cambria"/>
          <w:b/>
          <w:bCs/>
          <w:sz w:val="48"/>
          <w:szCs w:val="40"/>
          <w:lang w:val="es-MX"/>
        </w:rPr>
      </w:pPr>
    </w:p>
    <w:p w14:paraId="315DFC0C" w14:textId="7D9B26E1" w:rsidR="00DD566D" w:rsidRDefault="00DD566D" w:rsidP="0068136C">
      <w:pPr>
        <w:jc w:val="center"/>
        <w:rPr>
          <w:rFonts w:ascii="Cambria" w:hAnsi="Cambria"/>
          <w:b/>
          <w:bCs/>
          <w:sz w:val="48"/>
          <w:szCs w:val="40"/>
          <w:lang w:val="es-MX"/>
        </w:rPr>
      </w:pPr>
    </w:p>
    <w:p w14:paraId="442F93BA" w14:textId="6B5B20CC" w:rsidR="00DD566D" w:rsidRDefault="00DD566D" w:rsidP="0068136C">
      <w:pPr>
        <w:jc w:val="center"/>
        <w:rPr>
          <w:rFonts w:ascii="Cambria" w:hAnsi="Cambria"/>
          <w:b/>
          <w:bCs/>
          <w:sz w:val="48"/>
          <w:szCs w:val="40"/>
          <w:lang w:val="es-MX"/>
        </w:rPr>
      </w:pPr>
    </w:p>
    <w:p w14:paraId="22062C3F" w14:textId="61DC235C" w:rsidR="00DD566D" w:rsidRDefault="00DD566D" w:rsidP="0068136C">
      <w:pPr>
        <w:jc w:val="center"/>
        <w:rPr>
          <w:rFonts w:ascii="Cambria" w:hAnsi="Cambria"/>
          <w:b/>
          <w:bCs/>
          <w:sz w:val="48"/>
          <w:szCs w:val="40"/>
          <w:lang w:val="es-MX"/>
        </w:rPr>
      </w:pPr>
    </w:p>
    <w:p w14:paraId="55455C48" w14:textId="60F22A85" w:rsidR="00DD566D" w:rsidRDefault="00DD566D" w:rsidP="0068136C">
      <w:pPr>
        <w:jc w:val="center"/>
        <w:rPr>
          <w:rFonts w:ascii="Cambria" w:hAnsi="Cambria"/>
          <w:b/>
          <w:bCs/>
          <w:sz w:val="48"/>
          <w:szCs w:val="40"/>
          <w:lang w:val="es-MX"/>
        </w:rPr>
      </w:pPr>
    </w:p>
    <w:p w14:paraId="45560D87" w14:textId="1151CC63" w:rsidR="00DD566D" w:rsidRDefault="00DD566D" w:rsidP="0068136C">
      <w:pPr>
        <w:jc w:val="center"/>
        <w:rPr>
          <w:rFonts w:ascii="Cambria" w:hAnsi="Cambria"/>
          <w:b/>
          <w:bCs/>
          <w:sz w:val="48"/>
          <w:szCs w:val="40"/>
          <w:lang w:val="es-MX"/>
        </w:rPr>
      </w:pPr>
    </w:p>
    <w:p w14:paraId="0A1AAB5D" w14:textId="3C2CC782" w:rsidR="00DD566D" w:rsidRDefault="00DD566D" w:rsidP="0068136C">
      <w:pPr>
        <w:jc w:val="center"/>
        <w:rPr>
          <w:rFonts w:ascii="Cambria" w:hAnsi="Cambria"/>
          <w:b/>
          <w:bCs/>
          <w:sz w:val="48"/>
          <w:szCs w:val="40"/>
          <w:lang w:val="es-MX"/>
        </w:rPr>
      </w:pPr>
    </w:p>
    <w:p w14:paraId="44E2C03A" w14:textId="2D108883" w:rsidR="00DD566D" w:rsidRPr="000E51E4" w:rsidRDefault="009E1250" w:rsidP="00DD566D">
      <w:pPr>
        <w:jc w:val="center"/>
        <w:rPr>
          <w:rFonts w:ascii="Cambria" w:hAnsi="Cambria"/>
          <w:b/>
          <w:bCs/>
          <w:sz w:val="48"/>
          <w:szCs w:val="40"/>
          <w:lang w:val="ru-RU"/>
        </w:rPr>
      </w:pPr>
      <w:r w:rsidRPr="009E1250">
        <w:rPr>
          <w:rFonts w:ascii="Cambria" w:hAnsi="Cambria"/>
          <w:b/>
          <w:bCs/>
          <w:sz w:val="48"/>
          <w:szCs w:val="40"/>
          <w:lang w:val="ru-RU"/>
        </w:rPr>
        <w:t>CLINICAL MEDICINE</w:t>
      </w:r>
    </w:p>
    <w:tbl>
      <w:tblPr>
        <w:tblW w:w="0" w:type="auto"/>
        <w:tblLook w:val="04A0" w:firstRow="1" w:lastRow="0" w:firstColumn="1" w:lastColumn="0" w:noHBand="0" w:noVBand="1"/>
      </w:tblPr>
      <w:tblGrid>
        <w:gridCol w:w="9629"/>
      </w:tblGrid>
      <w:tr w:rsidR="00DD566D" w14:paraId="6283FB99" w14:textId="77777777" w:rsidTr="00C90B56">
        <w:tc>
          <w:tcPr>
            <w:tcW w:w="9629" w:type="dxa"/>
            <w:tcBorders>
              <w:top w:val="nil"/>
              <w:left w:val="nil"/>
              <w:bottom w:val="thinThickSmallGap" w:sz="12" w:space="0" w:color="2E74B5" w:themeColor="accent5" w:themeShade="BF"/>
              <w:right w:val="nil"/>
            </w:tcBorders>
          </w:tcPr>
          <w:p w14:paraId="49F54C7C" w14:textId="77777777" w:rsidR="00DD566D" w:rsidRPr="00D4390E" w:rsidRDefault="00DD566D" w:rsidP="00C90B56">
            <w:pPr>
              <w:rPr>
                <w:rFonts w:ascii="Cambria" w:hAnsi="Cambria"/>
                <w:sz w:val="20"/>
                <w:szCs w:val="16"/>
                <w:lang w:val="ru-RU"/>
              </w:rPr>
            </w:pPr>
          </w:p>
        </w:tc>
      </w:tr>
    </w:tbl>
    <w:p w14:paraId="7C581284" w14:textId="77777777" w:rsidR="00DD566D" w:rsidRPr="00525787" w:rsidRDefault="00DD566D" w:rsidP="00DD566D">
      <w:pPr>
        <w:spacing w:line="276" w:lineRule="auto"/>
        <w:ind w:firstLine="567"/>
        <w:jc w:val="both"/>
        <w:rPr>
          <w:rFonts w:cs="Times New Roman"/>
          <w:sz w:val="24"/>
          <w:szCs w:val="24"/>
          <w:lang w:val="ru-RU"/>
        </w:rPr>
      </w:pPr>
    </w:p>
    <w:p w14:paraId="59CB4E68"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Cs/>
          <w:color w:val="000000"/>
          <w:sz w:val="24"/>
          <w:szCs w:val="24"/>
          <w:lang w:eastAsia="ru-RU" w:bidi="ru-RU"/>
        </w:rPr>
      </w:pPr>
      <w:r w:rsidRPr="00525787">
        <w:rPr>
          <w:rFonts w:eastAsia="Times New Roman" w:cs="Times New Roman"/>
          <w:bCs/>
          <w:color w:val="202124"/>
          <w:sz w:val="24"/>
          <w:szCs w:val="24"/>
          <w:lang w:val="ru-RU" w:eastAsia="ru-RU"/>
        </w:rPr>
        <w:t>UDC:</w:t>
      </w:r>
      <w:r w:rsidRPr="00525787">
        <w:rPr>
          <w:rFonts w:eastAsia="Times New Roman" w:cs="Times New Roman"/>
          <w:bCs/>
          <w:color w:val="202124"/>
          <w:sz w:val="24"/>
          <w:szCs w:val="24"/>
          <w:lang w:eastAsia="ru-RU"/>
        </w:rPr>
        <w:t xml:space="preserve"> </w:t>
      </w:r>
      <w:r w:rsidRPr="00525787">
        <w:rPr>
          <w:rFonts w:eastAsia="Times New Roman" w:cs="Times New Roman"/>
          <w:bCs/>
          <w:color w:val="000000"/>
          <w:sz w:val="24"/>
          <w:szCs w:val="24"/>
          <w:lang w:eastAsia="ru-RU" w:bidi="ru-RU"/>
        </w:rPr>
        <w:t>16.984.45:616- 084:616-018</w:t>
      </w:r>
    </w:p>
    <w:p w14:paraId="678BE0BE"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sz w:val="24"/>
          <w:szCs w:val="24"/>
          <w:lang w:eastAsia="ru-RU"/>
        </w:rPr>
      </w:pPr>
    </w:p>
    <w:p w14:paraId="7C39C79D" w14:textId="77777777" w:rsidR="00DD566D" w:rsidRPr="00525787" w:rsidRDefault="00DD566D" w:rsidP="00DD566D">
      <w:pPr>
        <w:pStyle w:val="1"/>
      </w:pPr>
      <w:bookmarkStart w:id="2" w:name="_Toc104745748"/>
      <w:r w:rsidRPr="00525787">
        <w:rPr>
          <w:lang w:bidi="en-US"/>
        </w:rPr>
        <w:t>THE ADVANCEMENT OF NONSPECIFIC PROPHYLAXIS AND THERAPY PSEUDOTUBERCULOSIS AND INTESTINAL YERSINIOSIS</w:t>
      </w:r>
      <w:bookmarkEnd w:id="2"/>
    </w:p>
    <w:p w14:paraId="4FABD622"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Cambria" w:cs="Times New Roman"/>
          <w:b/>
          <w:bCs/>
          <w:iCs/>
          <w:color w:val="000000"/>
          <w:sz w:val="24"/>
          <w:szCs w:val="24"/>
          <w:shd w:val="clear" w:color="auto" w:fill="FFFFFF"/>
          <w:lang w:bidi="en-US"/>
        </w:rPr>
      </w:pPr>
      <w:r w:rsidRPr="00525787">
        <w:rPr>
          <w:rFonts w:eastAsia="Cambria" w:cs="Times New Roman"/>
          <w:b/>
          <w:bCs/>
          <w:iCs/>
          <w:color w:val="000000"/>
          <w:sz w:val="24"/>
          <w:szCs w:val="24"/>
          <w:shd w:val="clear" w:color="auto" w:fill="FFFFFF"/>
          <w:lang w:bidi="en-US"/>
        </w:rPr>
        <w:t xml:space="preserve">                                      </w:t>
      </w:r>
    </w:p>
    <w:p w14:paraId="0E42B92F"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eastAsia="ru-RU"/>
        </w:rPr>
      </w:pPr>
      <w:r w:rsidRPr="00525787">
        <w:rPr>
          <w:rFonts w:eastAsia="Times New Roman" w:cs="Times New Roman"/>
          <w:b/>
          <w:color w:val="202124"/>
          <w:sz w:val="24"/>
          <w:szCs w:val="24"/>
          <w:lang w:eastAsia="ru-RU"/>
        </w:rPr>
        <w:t>Ostonova Gulruh Sodiqovna</w:t>
      </w:r>
    </w:p>
    <w:p w14:paraId="30C709F4"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Cs/>
          <w:color w:val="202124"/>
          <w:sz w:val="24"/>
          <w:szCs w:val="24"/>
          <w:lang w:eastAsia="ru-RU"/>
        </w:rPr>
      </w:pPr>
      <w:r w:rsidRPr="00525787">
        <w:rPr>
          <w:rFonts w:eastAsia="Times New Roman" w:cs="Times New Roman"/>
          <w:bCs/>
          <w:color w:val="202124"/>
          <w:sz w:val="24"/>
          <w:szCs w:val="24"/>
          <w:lang w:eastAsia="ru-RU"/>
        </w:rPr>
        <w:t>Bukhara state medical institute, Bukhara, Uzbekistan</w:t>
      </w:r>
    </w:p>
    <w:p w14:paraId="5ED5B339" w14:textId="77777777" w:rsidR="00DD566D" w:rsidRPr="00525787" w:rsidRDefault="00DD566D" w:rsidP="00DD566D">
      <w:pPr>
        <w:spacing w:line="276" w:lineRule="auto"/>
        <w:ind w:firstLine="567"/>
        <w:jc w:val="both"/>
        <w:rPr>
          <w:rFonts w:eastAsia="Cambria" w:cs="Times New Roman"/>
          <w:b/>
          <w:bCs/>
          <w:iCs/>
          <w:color w:val="000000"/>
          <w:sz w:val="24"/>
          <w:szCs w:val="24"/>
          <w:shd w:val="clear" w:color="auto" w:fill="FFFFFF"/>
          <w:lang w:bidi="en-US"/>
        </w:rPr>
      </w:pPr>
      <w:r w:rsidRPr="00525787">
        <w:rPr>
          <w:rFonts w:eastAsia="Cambria" w:cs="Times New Roman"/>
          <w:b/>
          <w:bCs/>
          <w:iCs/>
          <w:color w:val="000000"/>
          <w:sz w:val="24"/>
          <w:szCs w:val="24"/>
          <w:shd w:val="clear" w:color="auto" w:fill="FFFFFF"/>
          <w:lang w:bidi="en-US"/>
        </w:rPr>
        <w:t xml:space="preserve">                                                        </w:t>
      </w:r>
    </w:p>
    <w:p w14:paraId="47498CE4" w14:textId="77777777" w:rsidR="00DD566D" w:rsidRPr="00525787" w:rsidRDefault="00DD566D" w:rsidP="00DD566D">
      <w:pPr>
        <w:spacing w:line="276" w:lineRule="auto"/>
        <w:ind w:firstLine="567"/>
        <w:jc w:val="both"/>
        <w:rPr>
          <w:rFonts w:eastAsia="Times New Roman" w:cs="Times New Roman"/>
          <w:i/>
          <w:sz w:val="24"/>
          <w:szCs w:val="24"/>
          <w:lang w:eastAsia="ru-RU"/>
        </w:rPr>
      </w:pPr>
      <w:r w:rsidRPr="00525787">
        <w:rPr>
          <w:rFonts w:eastAsia="Cambria" w:cs="Times New Roman"/>
          <w:b/>
          <w:bCs/>
          <w:i/>
          <w:color w:val="000000"/>
          <w:sz w:val="24"/>
          <w:szCs w:val="24"/>
          <w:shd w:val="clear" w:color="auto" w:fill="FFFFFF"/>
          <w:lang w:bidi="en-US"/>
        </w:rPr>
        <w:t xml:space="preserve"> Summary</w:t>
      </w:r>
      <w:r w:rsidRPr="00960999">
        <w:rPr>
          <w:rFonts w:eastAsia="Cambria" w:cs="Times New Roman"/>
          <w:b/>
          <w:bCs/>
          <w:i/>
          <w:color w:val="000000"/>
          <w:sz w:val="24"/>
          <w:szCs w:val="24"/>
          <w:shd w:val="clear" w:color="auto" w:fill="FFFFFF"/>
          <w:lang w:bidi="en-US"/>
        </w:rPr>
        <w:t xml:space="preserve">. </w:t>
      </w:r>
      <w:r w:rsidRPr="00525787">
        <w:rPr>
          <w:rFonts w:eastAsia="Times New Roman" w:cs="Times New Roman"/>
          <w:i/>
          <w:color w:val="000000"/>
          <w:sz w:val="24"/>
          <w:szCs w:val="24"/>
          <w:lang w:eastAsia="ru-RU" w:bidi="ru-RU"/>
        </w:rPr>
        <w:t>Recent years have witnessed the development and clinical implementation of the new approaches to prophylaxis and treatment of different nosological forms of diseases - combination of conventional therapy and immunocorrection. The review analyzes present-day state of nonspecific prophylaxis and treatment of pseudotuberculosis and intestinal yersiniosis. Information is presented on the effectiveness of immunomodulators, products of vital activity of plant cells and sea creatures, prebiotics, immunoglobuline complex (CIP) in prophylaxis and therapy of these diseases.</w:t>
      </w:r>
    </w:p>
    <w:p w14:paraId="6BAED1FB" w14:textId="77777777" w:rsidR="00DD566D" w:rsidRPr="00525787" w:rsidRDefault="00DD566D" w:rsidP="00DD566D">
      <w:pPr>
        <w:spacing w:line="276" w:lineRule="auto"/>
        <w:ind w:firstLine="567"/>
        <w:jc w:val="both"/>
        <w:rPr>
          <w:rFonts w:eastAsia="Times New Roman" w:cs="Times New Roman"/>
          <w:i/>
          <w:color w:val="000000"/>
          <w:sz w:val="24"/>
          <w:szCs w:val="24"/>
          <w:lang w:eastAsia="ru-RU" w:bidi="ru-RU"/>
        </w:rPr>
      </w:pPr>
      <w:r w:rsidRPr="00525787">
        <w:rPr>
          <w:rFonts w:eastAsia="Times New Roman" w:cs="Times New Roman"/>
          <w:b/>
          <w:i/>
          <w:color w:val="000000"/>
          <w:sz w:val="24"/>
          <w:szCs w:val="24"/>
          <w:lang w:eastAsia="ru-RU" w:bidi="ru-RU"/>
        </w:rPr>
        <w:t>Key words:</w:t>
      </w:r>
      <w:r w:rsidRPr="00525787">
        <w:rPr>
          <w:rFonts w:eastAsia="Times New Roman" w:cs="Times New Roman"/>
          <w:i/>
          <w:color w:val="000000"/>
          <w:sz w:val="24"/>
          <w:szCs w:val="24"/>
          <w:lang w:eastAsia="ru-RU" w:bidi="ru-RU"/>
        </w:rPr>
        <w:t xml:space="preserve"> pseudotuberculosis, intestinal yersiniosis, </w:t>
      </w:r>
      <w:r w:rsidRPr="00960999">
        <w:rPr>
          <w:rFonts w:eastAsia="Times New Roman" w:cs="Times New Roman"/>
          <w:i/>
          <w:color w:val="000000"/>
          <w:sz w:val="24"/>
          <w:szCs w:val="24"/>
          <w:lang w:eastAsia="ru-RU" w:bidi="ru-RU"/>
        </w:rPr>
        <w:t xml:space="preserve">immunoglobulins, </w:t>
      </w:r>
      <w:r w:rsidRPr="00525787">
        <w:rPr>
          <w:rFonts w:eastAsia="Times New Roman" w:cs="Times New Roman"/>
          <w:i/>
          <w:color w:val="000000"/>
          <w:sz w:val="24"/>
          <w:szCs w:val="24"/>
          <w:lang w:eastAsia="ru-RU" w:bidi="ru-RU"/>
        </w:rPr>
        <w:t>immunocorrection, prebiotics.</w:t>
      </w:r>
    </w:p>
    <w:p w14:paraId="2CBA6B24"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sz w:val="24"/>
          <w:szCs w:val="24"/>
          <w:lang w:eastAsia="ru-RU"/>
        </w:rPr>
      </w:pPr>
    </w:p>
    <w:p w14:paraId="06AD1FB8"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sz w:val="24"/>
          <w:szCs w:val="24"/>
          <w:lang w:eastAsia="ru-RU"/>
        </w:rPr>
      </w:pPr>
    </w:p>
    <w:p w14:paraId="3AA68EF1" w14:textId="77777777" w:rsidR="00DD566D" w:rsidRPr="00D27CEF" w:rsidRDefault="00DD566D" w:rsidP="00DD566D">
      <w:pPr>
        <w:jc w:val="center"/>
        <w:rPr>
          <w:b/>
          <w:bCs/>
          <w:sz w:val="24"/>
          <w:szCs w:val="20"/>
          <w:lang w:val="ru-RU"/>
        </w:rPr>
      </w:pPr>
      <w:r w:rsidRPr="00D27CEF">
        <w:rPr>
          <w:b/>
          <w:bCs/>
          <w:sz w:val="24"/>
          <w:szCs w:val="20"/>
          <w:lang w:val="ru-RU"/>
        </w:rPr>
        <w:t>СОВЕРШЕНСТВОВАНИЕ НЕСПЕЦИФИЧЕСКОЙ ПРОФИЛАКТИКИ И ЛЕЧЕНИЯ ПСЕВДОТУБЕРКУЛЕЗА И КИШЕЧНОГО ИЕРСИНИОЗА</w:t>
      </w:r>
    </w:p>
    <w:p w14:paraId="22C676C3" w14:textId="77777777" w:rsidR="00DD566D" w:rsidRPr="00960999"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000000"/>
          <w:sz w:val="24"/>
          <w:szCs w:val="24"/>
          <w:lang w:val="ru-RU" w:bidi="en-US"/>
        </w:rPr>
      </w:pPr>
    </w:p>
    <w:p w14:paraId="32C6EE0F" w14:textId="77777777" w:rsidR="00DD566D" w:rsidRPr="00960999"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000000"/>
          <w:sz w:val="24"/>
          <w:szCs w:val="24"/>
          <w:lang w:val="ru-RU" w:bidi="en-US"/>
        </w:rPr>
      </w:pPr>
      <w:r w:rsidRPr="00960999">
        <w:rPr>
          <w:rFonts w:eastAsia="Times New Roman" w:cs="Times New Roman"/>
          <w:b/>
          <w:color w:val="000000"/>
          <w:sz w:val="24"/>
          <w:szCs w:val="24"/>
          <w:lang w:val="ru-RU" w:bidi="en-US"/>
        </w:rPr>
        <w:t>Остонова Гулрух Содиковна</w:t>
      </w:r>
    </w:p>
    <w:p w14:paraId="14A7796A"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Cs/>
          <w:color w:val="202124"/>
          <w:sz w:val="24"/>
          <w:szCs w:val="24"/>
          <w:lang w:val="ru-RU" w:eastAsia="ru-RU"/>
        </w:rPr>
      </w:pPr>
      <w:r w:rsidRPr="00960999">
        <w:rPr>
          <w:rFonts w:eastAsia="Times New Roman" w:cs="Times New Roman"/>
          <w:bCs/>
          <w:color w:val="000000"/>
          <w:sz w:val="24"/>
          <w:szCs w:val="24"/>
          <w:lang w:val="ru-RU" w:bidi="en-US"/>
        </w:rPr>
        <w:t>Бухарский государственный медицинский институт, Бухара, Узбекистан</w:t>
      </w:r>
    </w:p>
    <w:p w14:paraId="77E98151" w14:textId="77777777" w:rsidR="00DD566D" w:rsidRDefault="00DD566D" w:rsidP="00DD566D">
      <w:pPr>
        <w:keepNext/>
        <w:keepLines/>
        <w:spacing w:line="276" w:lineRule="auto"/>
        <w:ind w:firstLine="567"/>
        <w:jc w:val="both"/>
        <w:rPr>
          <w:rFonts w:eastAsia="Times New Roman" w:cs="Times New Roman"/>
          <w:b/>
          <w:sz w:val="24"/>
          <w:szCs w:val="24"/>
          <w:lang w:val="ru-RU" w:eastAsia="ru-RU"/>
        </w:rPr>
      </w:pPr>
    </w:p>
    <w:p w14:paraId="5412E7E7" w14:textId="77777777" w:rsidR="00DD566D" w:rsidRPr="00525787" w:rsidRDefault="00DD566D" w:rsidP="00DD566D">
      <w:pPr>
        <w:keepNext/>
        <w:keepLines/>
        <w:spacing w:line="276" w:lineRule="auto"/>
        <w:ind w:firstLine="567"/>
        <w:jc w:val="both"/>
        <w:rPr>
          <w:rFonts w:eastAsia="Times New Roman" w:cs="Times New Roman"/>
          <w:i/>
          <w:iCs/>
          <w:sz w:val="24"/>
          <w:szCs w:val="24"/>
          <w:lang w:val="ru-RU" w:eastAsia="ru-RU"/>
        </w:rPr>
      </w:pPr>
      <w:r w:rsidRPr="00525787">
        <w:rPr>
          <w:rFonts w:eastAsia="Times New Roman" w:cs="Times New Roman"/>
          <w:b/>
          <w:i/>
          <w:iCs/>
          <w:sz w:val="24"/>
          <w:szCs w:val="24"/>
          <w:lang w:val="ru-RU" w:eastAsia="ru-RU"/>
        </w:rPr>
        <w:t xml:space="preserve">Резюме. </w:t>
      </w:r>
      <w:r w:rsidRPr="00525787">
        <w:rPr>
          <w:rFonts w:eastAsia="Times New Roman" w:cs="Times New Roman"/>
          <w:i/>
          <w:iCs/>
          <w:color w:val="000000"/>
          <w:sz w:val="24"/>
          <w:szCs w:val="24"/>
          <w:lang w:val="ru-RU" w:eastAsia="ru-RU" w:bidi="ru-RU"/>
        </w:rPr>
        <w:t>В последние годы разрабатываются и внедряются в клиническую практику новые подходы к профилактике и лече</w:t>
      </w:r>
      <w:r w:rsidRPr="00525787">
        <w:rPr>
          <w:rFonts w:eastAsia="Times New Roman" w:cs="Times New Roman"/>
          <w:i/>
          <w:iCs/>
          <w:color w:val="000000"/>
          <w:sz w:val="24"/>
          <w:szCs w:val="24"/>
          <w:lang w:val="ru-RU" w:eastAsia="ru-RU" w:bidi="ru-RU"/>
        </w:rPr>
        <w:softHyphen/>
        <w:t>нию различных нозологических форм заболеваний - сочетание базовой терапии с иммунокоррекцией. Обзор посвящен анализу современного состояния неспецифической профилактики и лечения псевдотуберкулеза и кишечного иерсиниоза. Приведены данные об эффективности иммуномодуляторов, продуктов жизнедеятельности растительных клеток и обитателей морей, пребиотиков, комплексного иммуноглобулинового препарата (КИП) при профилактике и лечении этих заболеваний.</w:t>
      </w:r>
    </w:p>
    <w:p w14:paraId="74575CE9" w14:textId="77777777" w:rsidR="00DD566D" w:rsidRPr="00525787" w:rsidRDefault="00DD566D" w:rsidP="00DD566D">
      <w:pPr>
        <w:spacing w:line="276" w:lineRule="auto"/>
        <w:ind w:firstLine="567"/>
        <w:jc w:val="both"/>
        <w:rPr>
          <w:rFonts w:eastAsia="Times New Roman" w:cs="Times New Roman"/>
          <w:i/>
          <w:iCs/>
          <w:color w:val="000000"/>
          <w:sz w:val="24"/>
          <w:szCs w:val="24"/>
          <w:lang w:val="ru-RU" w:eastAsia="ru-RU" w:bidi="ru-RU"/>
        </w:rPr>
      </w:pPr>
      <w:r w:rsidRPr="00525787">
        <w:rPr>
          <w:rFonts w:eastAsia="Times New Roman" w:cs="Times New Roman"/>
          <w:b/>
          <w:i/>
          <w:iCs/>
          <w:color w:val="000000"/>
          <w:sz w:val="24"/>
          <w:szCs w:val="24"/>
          <w:lang w:val="ru-RU" w:eastAsia="ru-RU" w:bidi="ru-RU"/>
        </w:rPr>
        <w:t>Ключевые слова:</w:t>
      </w:r>
      <w:r w:rsidRPr="00525787">
        <w:rPr>
          <w:rFonts w:eastAsia="Times New Roman" w:cs="Times New Roman"/>
          <w:i/>
          <w:iCs/>
          <w:color w:val="000000"/>
          <w:sz w:val="24"/>
          <w:szCs w:val="24"/>
          <w:lang w:val="ru-RU" w:eastAsia="ru-RU" w:bidi="ru-RU"/>
        </w:rPr>
        <w:t xml:space="preserve"> псевдотуберкулез, кишечный иерсиниоз, иммуноглобулины, иммунокоррекция, пребиотики.</w:t>
      </w:r>
    </w:p>
    <w:p w14:paraId="5694483C" w14:textId="77777777" w:rsidR="00DD566D" w:rsidRPr="00960999" w:rsidRDefault="00DD566D" w:rsidP="00DD566D">
      <w:pPr>
        <w:spacing w:line="276" w:lineRule="auto"/>
        <w:ind w:firstLine="567"/>
        <w:jc w:val="both"/>
        <w:rPr>
          <w:rFonts w:eastAsia="Times New Roman" w:cs="Times New Roman"/>
          <w:b/>
          <w:color w:val="000000"/>
          <w:sz w:val="24"/>
          <w:szCs w:val="24"/>
          <w:lang w:val="ru-RU" w:bidi="en-US"/>
        </w:rPr>
      </w:pPr>
    </w:p>
    <w:p w14:paraId="11A40DBA" w14:textId="77777777" w:rsidR="00DD566D" w:rsidRDefault="00DD566D" w:rsidP="00DD566D">
      <w:pPr>
        <w:spacing w:line="276" w:lineRule="auto"/>
        <w:ind w:firstLine="567"/>
        <w:jc w:val="both"/>
        <w:rPr>
          <w:rFonts w:eastAsia="Times New Roman" w:cs="Times New Roman"/>
          <w:b/>
          <w:color w:val="000000"/>
          <w:sz w:val="24"/>
          <w:szCs w:val="24"/>
          <w:lang w:val="ru-RU" w:bidi="en-US"/>
        </w:rPr>
      </w:pPr>
    </w:p>
    <w:p w14:paraId="5DAF4992"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val="uz-Latn-UZ" w:eastAsia="ru-RU"/>
        </w:rPr>
      </w:pPr>
      <w:r w:rsidRPr="00525787">
        <w:rPr>
          <w:rFonts w:eastAsia="Times New Roman" w:cs="Times New Roman"/>
          <w:b/>
          <w:color w:val="202124"/>
          <w:sz w:val="24"/>
          <w:szCs w:val="24"/>
          <w:lang w:val="uz-Latn-UZ" w:eastAsia="ru-RU"/>
        </w:rPr>
        <w:t xml:space="preserve">PSEVDOTUBERKULYOZ VA ICHAK YERSINIOZINING </w:t>
      </w:r>
      <w:r w:rsidRPr="00525787">
        <w:rPr>
          <w:rFonts w:eastAsia="Times New Roman" w:cs="Times New Roman"/>
          <w:b/>
          <w:color w:val="202124"/>
          <w:sz w:val="24"/>
          <w:szCs w:val="24"/>
          <w:lang w:val="uz-Cyrl-UZ" w:eastAsia="ru-RU"/>
        </w:rPr>
        <w:t>NOSPESIFIK</w:t>
      </w:r>
      <w:r w:rsidRPr="00525787">
        <w:rPr>
          <w:rFonts w:eastAsia="Times New Roman" w:cs="Times New Roman"/>
          <w:b/>
          <w:color w:val="202124"/>
          <w:sz w:val="24"/>
          <w:szCs w:val="24"/>
          <w:lang w:val="uz-Latn-UZ" w:eastAsia="ru-RU"/>
        </w:rPr>
        <w:t xml:space="preserve"> PROFILAKTIKASI VA DAVOLASHNI TAKOMILLASHTIRISH</w:t>
      </w:r>
    </w:p>
    <w:p w14:paraId="28A65E4D"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val="uz-Latn-UZ" w:eastAsia="ru-RU"/>
        </w:rPr>
      </w:pPr>
    </w:p>
    <w:p w14:paraId="117C77E8" w14:textId="77777777" w:rsidR="00DD566D" w:rsidRPr="00960999"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val="uz-Cyrl-UZ" w:eastAsia="ru-RU"/>
        </w:rPr>
      </w:pPr>
      <w:r w:rsidRPr="00960999">
        <w:rPr>
          <w:rFonts w:eastAsia="Times New Roman" w:cs="Times New Roman"/>
          <w:b/>
          <w:color w:val="202124"/>
          <w:sz w:val="24"/>
          <w:szCs w:val="24"/>
          <w:lang w:val="uz-Cyrl-UZ" w:eastAsia="ru-RU"/>
        </w:rPr>
        <w:t>Ostonova Gulruh Sodiqovna</w:t>
      </w:r>
    </w:p>
    <w:p w14:paraId="6F10C124" w14:textId="77777777" w:rsidR="00DD566D" w:rsidRPr="00960999"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Cs/>
          <w:color w:val="202124"/>
          <w:sz w:val="24"/>
          <w:szCs w:val="24"/>
          <w:lang w:val="uz-Cyrl-UZ" w:eastAsia="ru-RU"/>
        </w:rPr>
      </w:pPr>
      <w:r w:rsidRPr="00960999">
        <w:rPr>
          <w:rFonts w:eastAsia="Times New Roman" w:cs="Times New Roman"/>
          <w:bCs/>
          <w:color w:val="202124"/>
          <w:sz w:val="24"/>
          <w:szCs w:val="24"/>
          <w:lang w:val="uz-Cyrl-UZ" w:eastAsia="ru-RU"/>
        </w:rPr>
        <w:t>Buxoro davlat tibbiyot instituti, Buxoro, O‘zbekiston</w:t>
      </w:r>
    </w:p>
    <w:p w14:paraId="70CE7551"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val="uz-Cyrl-UZ" w:eastAsia="ru-RU"/>
        </w:rPr>
      </w:pPr>
    </w:p>
    <w:p w14:paraId="3B778C5A"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i/>
          <w:iCs/>
          <w:color w:val="202124"/>
          <w:sz w:val="24"/>
          <w:szCs w:val="24"/>
          <w:lang w:val="uz-Latn-UZ" w:eastAsia="ru-RU"/>
        </w:rPr>
      </w:pPr>
      <w:r w:rsidRPr="00525787">
        <w:rPr>
          <w:rFonts w:eastAsia="Times New Roman" w:cs="Times New Roman"/>
          <w:b/>
          <w:i/>
          <w:iCs/>
          <w:color w:val="202124"/>
          <w:sz w:val="24"/>
          <w:szCs w:val="24"/>
          <w:lang w:val="uz-Latn-UZ" w:eastAsia="ru-RU"/>
        </w:rPr>
        <w:t>Xulosa</w:t>
      </w:r>
      <w:r w:rsidRPr="00960999">
        <w:rPr>
          <w:rFonts w:eastAsia="Times New Roman" w:cs="Times New Roman"/>
          <w:b/>
          <w:i/>
          <w:iCs/>
          <w:color w:val="202124"/>
          <w:sz w:val="24"/>
          <w:szCs w:val="24"/>
          <w:lang w:val="uz-Latn-UZ" w:eastAsia="ru-RU"/>
        </w:rPr>
        <w:t>.</w:t>
      </w:r>
      <w:r w:rsidRPr="00960999">
        <w:rPr>
          <w:rFonts w:eastAsia="Times New Roman" w:cs="Times New Roman"/>
          <w:i/>
          <w:iCs/>
          <w:color w:val="202124"/>
          <w:sz w:val="24"/>
          <w:szCs w:val="24"/>
          <w:lang w:val="uz-Latn-UZ" w:eastAsia="ru-RU"/>
        </w:rPr>
        <w:t xml:space="preserve"> </w:t>
      </w:r>
      <w:r w:rsidRPr="00525787">
        <w:rPr>
          <w:rFonts w:eastAsia="Times New Roman" w:cs="Times New Roman"/>
          <w:i/>
          <w:iCs/>
          <w:color w:val="202124"/>
          <w:sz w:val="24"/>
          <w:szCs w:val="24"/>
          <w:lang w:val="uz-Latn-UZ" w:eastAsia="ru-RU"/>
        </w:rPr>
        <w:t>So'nggi yillarda kasalliklarning turli nozologik shakllarini oldini olish va davolash bo'yicha yangi yondashuvlar ishlab chiqildi va klinik amaliyotga kiritildi - immunoterapiya bilan asosiy terapiya kombinatsiyasi. Ko'rib chiqish psevdotuberkulyoz va ichak yersiniozining nonspesifik profilaktikasi va davolashning hozirgi holatini tahlil qilishga bag'ishlangan. Ushbu kasalliklarning oldini olish va davolashda immunomodulyatorlar, o'simlik hujayralari va dengiz aholisi chiqindilari, prebiyotikalar va kompleks immunoglobulin preparati (CIP) samaradorligi to'g'risidagi ma'lumotlar keltirilgan.</w:t>
      </w:r>
    </w:p>
    <w:p w14:paraId="74503022"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525787">
        <w:rPr>
          <w:rFonts w:eastAsia="Times New Roman" w:cs="Times New Roman"/>
          <w:b/>
          <w:i/>
          <w:iCs/>
          <w:color w:val="202124"/>
          <w:sz w:val="24"/>
          <w:szCs w:val="24"/>
          <w:lang w:val="uz-Latn-UZ" w:eastAsia="ru-RU"/>
        </w:rPr>
        <w:t>Kalit so'zlar:</w:t>
      </w:r>
      <w:r w:rsidRPr="00525787">
        <w:rPr>
          <w:rFonts w:eastAsia="Times New Roman" w:cs="Times New Roman"/>
          <w:i/>
          <w:iCs/>
          <w:color w:val="202124"/>
          <w:sz w:val="24"/>
          <w:szCs w:val="24"/>
          <w:lang w:val="uz-Latn-UZ" w:eastAsia="ru-RU"/>
        </w:rPr>
        <w:t xml:space="preserve"> psevdotuberkulyoz, ichak yersiniozi, immunoglobulinlar, immunokoreksiya, prebiyotikalar.</w:t>
      </w:r>
      <w:r w:rsidRPr="00C23D03">
        <w:rPr>
          <w:rFonts w:eastAsia="Times New Roman" w:cs="Times New Roman"/>
          <w:color w:val="202124"/>
          <w:sz w:val="24"/>
          <w:szCs w:val="24"/>
          <w:lang w:val="uz-Latn-UZ" w:eastAsia="ru-RU"/>
        </w:rPr>
        <w:t>Microorganisms belonging to the genus Yersinia of the family Enterobacteriaceae are the cause of serious diseases affecting animals and humans and characterized by various clin</w:t>
      </w:r>
      <w:r w:rsidRPr="00C23D03">
        <w:rPr>
          <w:rFonts w:eastAsia="Times New Roman" w:cs="Times New Roman"/>
          <w:color w:val="202124"/>
          <w:sz w:val="24"/>
          <w:szCs w:val="24"/>
          <w:lang w:val="uz-Latn-UZ" w:eastAsia="ru-RU"/>
        </w:rPr>
        <w:softHyphen/>
        <w:t>ical manifestations.</w:t>
      </w:r>
      <w:r w:rsidRPr="00C23D03">
        <w:rPr>
          <w:rFonts w:eastAsia="Times New Roman" w:cs="Times New Roman"/>
          <w:b/>
          <w:bCs/>
          <w:color w:val="202124"/>
          <w:sz w:val="24"/>
          <w:szCs w:val="24"/>
          <w:lang w:val="uz-Latn-UZ" w:bidi="en-US"/>
        </w:rPr>
        <w:t xml:space="preserve"> </w:t>
      </w:r>
      <w:r w:rsidRPr="00525787">
        <w:rPr>
          <w:rFonts w:eastAsia="Times New Roman" w:cs="Times New Roman"/>
          <w:color w:val="202124"/>
          <w:sz w:val="24"/>
          <w:szCs w:val="24"/>
          <w:lang w:eastAsia="ru-RU"/>
        </w:rPr>
        <w:t>There is reason to suppose that diseases caused by the causative agents of pseudotuberculosis and yersiniosis are much more common than diagnosed. This often leads to the fact that the infection becomes general</w:t>
      </w:r>
      <w:r>
        <w:rPr>
          <w:rFonts w:eastAsia="Times New Roman" w:cs="Times New Roman"/>
          <w:color w:val="202124"/>
          <w:sz w:val="24"/>
          <w:szCs w:val="24"/>
          <w:lang w:eastAsia="ru-RU"/>
        </w:rPr>
        <w:softHyphen/>
      </w:r>
      <w:r w:rsidRPr="00525787">
        <w:rPr>
          <w:rFonts w:eastAsia="Times New Roman" w:cs="Times New Roman"/>
          <w:color w:val="202124"/>
          <w:sz w:val="24"/>
          <w:szCs w:val="24"/>
          <w:lang w:eastAsia="ru-RU"/>
        </w:rPr>
        <w:t>ized with the involvement of various organs and systems in the pathological process, recurs and continues for several months.</w:t>
      </w:r>
    </w:p>
    <w:p w14:paraId="43538794"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p>
    <w:p w14:paraId="76852316"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sectPr w:rsidR="00DD566D" w:rsidSect="00C23D03">
          <w:type w:val="continuous"/>
          <w:pgSz w:w="11907" w:h="16840" w:code="9"/>
          <w:pgMar w:top="1418" w:right="1134" w:bottom="1134" w:left="1134" w:header="907" w:footer="794" w:gutter="0"/>
          <w:cols w:space="708"/>
          <w:docGrid w:linePitch="381"/>
        </w:sectPr>
      </w:pPr>
    </w:p>
    <w:p w14:paraId="6C9FF98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It was revealed that the frequent chronic</w:t>
      </w:r>
      <w:r w:rsidRPr="003F357C">
        <w:rPr>
          <w:rFonts w:eastAsia="Times New Roman" w:cs="Times New Roman"/>
          <w:color w:val="202124"/>
          <w:sz w:val="24"/>
          <w:szCs w:val="24"/>
          <w:lang w:eastAsia="ru-RU"/>
        </w:rPr>
        <w:softHyphen/>
        <w:t>ity of the process in pseudotuberculosis can be caused by disorders in the immune status, as well as the lack of adequate therapy that can normalize these disorders [1]. It has been shown that the causative agents of pseudotu</w:t>
      </w:r>
      <w:r w:rsidRPr="003F357C">
        <w:rPr>
          <w:rFonts w:eastAsia="Times New Roman" w:cs="Times New Roman"/>
          <w:color w:val="202124"/>
          <w:sz w:val="24"/>
          <w:szCs w:val="24"/>
          <w:lang w:eastAsia="ru-RU"/>
        </w:rPr>
        <w:softHyphen/>
        <w:t>berculosis and intestinal yersiniosis not only induce apoptosis of macrophages and dendritic cells, but also suppress the induction of TNF-a, IL-12 and IL-10. In addition to the effect on the cells of innate immunity, Yersinia disrupt the formation of an adaptive immune response, changing the properties of T- and B-lympho</w:t>
      </w:r>
      <w:r w:rsidRPr="003F357C">
        <w:rPr>
          <w:rFonts w:eastAsia="Times New Roman" w:cs="Times New Roman"/>
          <w:color w:val="202124"/>
          <w:sz w:val="24"/>
          <w:szCs w:val="24"/>
          <w:lang w:eastAsia="ru-RU"/>
        </w:rPr>
        <w:softHyphen/>
        <w:t>cytes (T- and B-Lf) [2]. The thermostable toxin of pseudotuberculosis bacteria suppresses the phagocytic activity of neutrophils and macro</w:t>
      </w:r>
      <w:r w:rsidRPr="003F357C">
        <w:rPr>
          <w:rFonts w:eastAsia="Times New Roman" w:cs="Times New Roman"/>
          <w:color w:val="202124"/>
          <w:sz w:val="24"/>
          <w:szCs w:val="24"/>
          <w:lang w:eastAsia="ru-RU"/>
        </w:rPr>
        <w:softHyphen/>
        <w:t>phages, as well as the humoral immune re</w:t>
      </w:r>
      <w:r w:rsidRPr="003F357C">
        <w:rPr>
          <w:rFonts w:eastAsia="Times New Roman" w:cs="Times New Roman"/>
          <w:color w:val="202124"/>
          <w:sz w:val="24"/>
          <w:szCs w:val="24"/>
          <w:lang w:eastAsia="ru-RU"/>
        </w:rPr>
        <w:softHyphen/>
        <w:t>sponse, reducing the number of antibody-pro</w:t>
      </w:r>
      <w:r w:rsidRPr="003F357C">
        <w:rPr>
          <w:rFonts w:eastAsia="Times New Roman" w:cs="Times New Roman"/>
          <w:color w:val="202124"/>
          <w:sz w:val="24"/>
          <w:szCs w:val="24"/>
          <w:lang w:eastAsia="ru-RU"/>
        </w:rPr>
        <w:softHyphen/>
        <w:t>ducing cells [3]. A number of clinical strains of Yersinia have drug resistance, which leads to the generalization of the process against the background of a decrease in the body's re</w:t>
      </w:r>
      <w:r w:rsidRPr="003F357C">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sistance, making the traditional treatment of these infections ineffective.</w:t>
      </w:r>
    </w:p>
    <w:p w14:paraId="503497AB"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All of the above indicates the need for the combined use of drugs and substances of various chemical nature for the treatment and prevention of pseudotuberculosis and yer</w:t>
      </w:r>
      <w:r w:rsidRPr="003F357C">
        <w:rPr>
          <w:rFonts w:eastAsia="Times New Roman" w:cs="Times New Roman"/>
          <w:color w:val="202124"/>
          <w:sz w:val="24"/>
          <w:szCs w:val="24"/>
          <w:lang w:eastAsia="ru-RU"/>
        </w:rPr>
        <w:softHyphen/>
        <w:t>siniosis. New approaches to the prevention and treatment of various nosological forms of dis</w:t>
      </w:r>
      <w:r w:rsidRPr="003F357C">
        <w:rPr>
          <w:rFonts w:eastAsia="Times New Roman" w:cs="Times New Roman"/>
          <w:color w:val="202124"/>
          <w:sz w:val="24"/>
          <w:szCs w:val="24"/>
          <w:lang w:eastAsia="ru-RU"/>
        </w:rPr>
        <w:softHyphen/>
        <w:t>eases - the combination of basic therapy with immunocorrection [4, 5], are being developed and introduced into wide clinical practice. One of the first Plotnikov K.P. [6] showed that the use of thymogen along with etiotropic therapy reduces the duration of clinical manifestations and relapses of pseudotuberculosis, which cor</w:t>
      </w:r>
      <w:r w:rsidRPr="003F357C">
        <w:rPr>
          <w:rFonts w:eastAsia="Times New Roman" w:cs="Times New Roman"/>
          <w:color w:val="202124"/>
          <w:sz w:val="24"/>
          <w:szCs w:val="24"/>
          <w:lang w:eastAsia="ru-RU"/>
        </w:rPr>
        <w:softHyphen/>
        <w:t>relates with the normalization of the functional activity of Lf, immunoregulatory index, the number of T-activated Lf. The use of an im</w:t>
      </w:r>
      <w:r w:rsidRPr="003F357C">
        <w:rPr>
          <w:rFonts w:eastAsia="Times New Roman" w:cs="Times New Roman"/>
          <w:color w:val="202124"/>
          <w:sz w:val="24"/>
          <w:szCs w:val="24"/>
          <w:lang w:eastAsia="ru-RU"/>
        </w:rPr>
        <w:softHyphen/>
        <w:t>munomodulator is especially effective in pa</w:t>
      </w:r>
      <w:r w:rsidRPr="003F357C">
        <w:rPr>
          <w:rFonts w:eastAsia="Times New Roman" w:cs="Times New Roman"/>
          <w:color w:val="202124"/>
          <w:sz w:val="24"/>
          <w:szCs w:val="24"/>
          <w:lang w:eastAsia="ru-RU"/>
        </w:rPr>
        <w:softHyphen/>
        <w:t>tients with severe and moderate pseudotuber</w:t>
      </w:r>
      <w:r w:rsidRPr="003F357C">
        <w:rPr>
          <w:rFonts w:eastAsia="Times New Roman" w:cs="Times New Roman"/>
          <w:color w:val="202124"/>
          <w:sz w:val="24"/>
          <w:szCs w:val="24"/>
          <w:lang w:eastAsia="ru-RU"/>
        </w:rPr>
        <w:softHyphen/>
        <w:t>culosis.</w:t>
      </w:r>
    </w:p>
    <w:p w14:paraId="0CAB5D0E"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 xml:space="preserve">The results obtained by O.A. Burgasova et al. [7] in experiments on animals, testify to </w:t>
      </w:r>
      <w:r w:rsidRPr="003F357C">
        <w:rPr>
          <w:rFonts w:eastAsia="Times New Roman" w:cs="Times New Roman"/>
          <w:color w:val="202124"/>
          <w:sz w:val="24"/>
          <w:szCs w:val="24"/>
          <w:lang w:eastAsia="ru-RU"/>
        </w:rPr>
        <w:lastRenderedPageBreak/>
        <w:t>the protective effect of the Bestim immuno</w:t>
      </w:r>
      <w:r w:rsidRPr="003F357C">
        <w:rPr>
          <w:rFonts w:eastAsia="Times New Roman" w:cs="Times New Roman"/>
          <w:color w:val="202124"/>
          <w:sz w:val="24"/>
          <w:szCs w:val="24"/>
          <w:lang w:eastAsia="ru-RU"/>
        </w:rPr>
        <w:softHyphen/>
        <w:t>modulator, which manifests itself in limiting the dissemination of Y. pseudotuberculosis into organs and tissues in 80-90% of mice, re</w:t>
      </w:r>
      <w:r w:rsidRPr="003F357C">
        <w:rPr>
          <w:rFonts w:eastAsia="Times New Roman" w:cs="Times New Roman"/>
          <w:color w:val="202124"/>
          <w:sz w:val="24"/>
          <w:szCs w:val="24"/>
          <w:lang w:eastAsia="ru-RU"/>
        </w:rPr>
        <w:softHyphen/>
        <w:t>ducing the development time (by 6 days) in them of pathological process and prevention of death.</w:t>
      </w:r>
    </w:p>
    <w:p w14:paraId="251DA513"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 use of the drug "Cycloferon" in the treatment of pseudotuberculosis and intestinal yersiniosis in children, in contrast to traditional antibacterial therapy, leads to a more rapid re</w:t>
      </w:r>
      <w:r w:rsidRPr="003F357C">
        <w:rPr>
          <w:rFonts w:eastAsia="Times New Roman" w:cs="Times New Roman"/>
          <w:color w:val="202124"/>
          <w:sz w:val="24"/>
          <w:szCs w:val="24"/>
          <w:lang w:eastAsia="ru-RU"/>
        </w:rPr>
        <w:softHyphen/>
        <w:t>lief of local and systemic symptoms. The pos</w:t>
      </w:r>
      <w:r w:rsidRPr="003F357C">
        <w:rPr>
          <w:rFonts w:eastAsia="Times New Roman" w:cs="Times New Roman"/>
          <w:color w:val="202124"/>
          <w:sz w:val="24"/>
          <w:szCs w:val="24"/>
          <w:lang w:eastAsia="ru-RU"/>
        </w:rPr>
        <w:softHyphen/>
        <w:t>itive effect of the drug on the anti-infectious resistance of the colon mucosa was expressed in the normalization of the microecology of its lumen and the elimination of pathogens and conditionally pathogenic microflora [8, 9].When used in complex therapy of recurrent forms of pseudotuberculosis, the drug Ronco</w:t>
      </w:r>
      <w:r w:rsidRPr="003F357C">
        <w:rPr>
          <w:rFonts w:eastAsia="Times New Roman" w:cs="Times New Roman"/>
          <w:color w:val="202124"/>
          <w:sz w:val="24"/>
          <w:szCs w:val="24"/>
          <w:lang w:eastAsia="ru-RU"/>
        </w:rPr>
        <w:softHyphen/>
        <w:t>leukin, a recombinant human IL-2, has proven itself well. In patients who received this drug, the duration of the period of intoxication was significantly reduced, the rash, cardiopathy, etc. disappeared faster. Not a single patient who received Roncoleukin developed repeated relapses [10].</w:t>
      </w:r>
    </w:p>
    <w:p w14:paraId="7D528C36"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 maximum protective effect of an</w:t>
      </w:r>
      <w:r w:rsidRPr="003F357C">
        <w:rPr>
          <w:rFonts w:eastAsia="Times New Roman" w:cs="Times New Roman"/>
          <w:color w:val="202124"/>
          <w:sz w:val="24"/>
          <w:szCs w:val="24"/>
          <w:lang w:eastAsia="ru-RU"/>
        </w:rPr>
        <w:softHyphen/>
        <w:t>other cytokine (recombinant IL-1v) in animal experiments was established. There was a de</w:t>
      </w:r>
      <w:r w:rsidRPr="003F357C">
        <w:rPr>
          <w:rFonts w:eastAsia="Times New Roman" w:cs="Times New Roman"/>
          <w:color w:val="202124"/>
          <w:sz w:val="24"/>
          <w:szCs w:val="24"/>
          <w:lang w:eastAsia="ru-RU"/>
        </w:rPr>
        <w:softHyphen/>
        <w:t>crease in the number of dead mice by 30% compared to the control and by 1-4 orders of magnitude in the concentration of Yersinia in the internal organs of infected animals, which indicates its positive effect on the severity of experimental pseudotuberculosis [11]. The in</w:t>
      </w:r>
      <w:r w:rsidRPr="003F357C">
        <w:rPr>
          <w:rFonts w:eastAsia="Times New Roman" w:cs="Times New Roman"/>
          <w:color w:val="202124"/>
          <w:sz w:val="24"/>
          <w:szCs w:val="24"/>
          <w:lang w:eastAsia="ru-RU"/>
        </w:rPr>
        <w:softHyphen/>
        <w:t>clusion of sodium nucleonate in the complex therapy of children with yersiniosis did not have a significant effect on the content of T- and B-lymphocytes, but significantly im</w:t>
      </w:r>
      <w:r w:rsidRPr="003F357C">
        <w:rPr>
          <w:rFonts w:eastAsia="Times New Roman" w:cs="Times New Roman"/>
          <w:color w:val="202124"/>
          <w:sz w:val="24"/>
          <w:szCs w:val="24"/>
          <w:lang w:eastAsia="ru-RU"/>
        </w:rPr>
        <w:softHyphen/>
        <w:t>proved the phagocytic activity of blood neutro</w:t>
      </w:r>
      <w:r w:rsidRPr="003F357C">
        <w:rPr>
          <w:rFonts w:eastAsia="Times New Roman" w:cs="Times New Roman"/>
          <w:color w:val="202124"/>
          <w:sz w:val="24"/>
          <w:szCs w:val="24"/>
          <w:lang w:eastAsia="ru-RU"/>
        </w:rPr>
        <w:softHyphen/>
        <w:t>phils, smoothing out the clinical manifesta</w:t>
      </w:r>
      <w:r w:rsidRPr="003F357C">
        <w:rPr>
          <w:rFonts w:eastAsia="Times New Roman" w:cs="Times New Roman"/>
          <w:color w:val="202124"/>
          <w:sz w:val="24"/>
          <w:szCs w:val="24"/>
          <w:lang w:eastAsia="ru-RU"/>
        </w:rPr>
        <w:softHyphen/>
        <w:t>tions of the disease [12].</w:t>
      </w:r>
    </w:p>
    <w:p w14:paraId="62D9EA4D"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 xml:space="preserve">Extensive research is being carried out on the immunomodulatory effect of drugs of various chemical nature, including the waste </w:t>
      </w:r>
      <w:r w:rsidRPr="003F357C">
        <w:rPr>
          <w:rFonts w:eastAsia="Times New Roman" w:cs="Times New Roman"/>
          <w:color w:val="202124"/>
          <w:sz w:val="24"/>
          <w:szCs w:val="24"/>
          <w:lang w:eastAsia="ru-RU"/>
        </w:rPr>
        <w:t>products of plant cells and sea dwellers. Thus, a biopolymer of natural origin arabinogalactan (an intracellular polysaccharide of Dahurian and Siberian larch trees) increases the phago</w:t>
      </w:r>
      <w:r w:rsidRPr="003F357C">
        <w:rPr>
          <w:rFonts w:eastAsia="Times New Roman" w:cs="Times New Roman"/>
          <w:color w:val="202124"/>
          <w:sz w:val="24"/>
          <w:szCs w:val="24"/>
          <w:lang w:eastAsia="ru-RU"/>
        </w:rPr>
        <w:softHyphen/>
        <w:t>cytic activity of macrophages against pseudo</w:t>
      </w:r>
      <w:r w:rsidRPr="003F357C">
        <w:rPr>
          <w:rFonts w:eastAsia="Times New Roman" w:cs="Times New Roman"/>
          <w:color w:val="202124"/>
          <w:sz w:val="24"/>
          <w:szCs w:val="24"/>
          <w:lang w:eastAsia="ru-RU"/>
        </w:rPr>
        <w:softHyphen/>
        <w:t>tuberculosis microbes and stimulates antitelo</w:t>
      </w:r>
      <w:r w:rsidRPr="003F357C">
        <w:rPr>
          <w:rFonts w:eastAsia="Times New Roman" w:cs="Times New Roman"/>
          <w:color w:val="202124"/>
          <w:sz w:val="24"/>
          <w:szCs w:val="24"/>
          <w:lang w:eastAsia="ru-RU"/>
        </w:rPr>
        <w:softHyphen/>
        <w:t>genesis [13].</w:t>
      </w:r>
    </w:p>
    <w:p w14:paraId="5CFE8162"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It was also shown that glucans, glycopro</w:t>
      </w:r>
      <w:r w:rsidRPr="003F357C">
        <w:rPr>
          <w:rFonts w:eastAsia="Times New Roman" w:cs="Times New Roman"/>
          <w:color w:val="202124"/>
          <w:sz w:val="24"/>
          <w:szCs w:val="24"/>
          <w:lang w:eastAsia="ru-RU"/>
        </w:rPr>
        <w:softHyphen/>
        <w:t>teins and peptides of natural origin (mytilan, coral, translam, ponasan, etc.) isolated from marine organisms and representatives of the Far Eastern flora (mussels, corals, algae, etc.) promote an increase in the functional activity of phagocytes, enhancing the absorption and digestion of Y. pseudotuberculosis [14].</w:t>
      </w:r>
    </w:p>
    <w:p w14:paraId="2AB67EA5"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Currently, research in this direction is ongoing. So, scientists of the Pacific Oceano</w:t>
      </w:r>
      <w:r w:rsidRPr="003F357C">
        <w:rPr>
          <w:rFonts w:eastAsia="Times New Roman" w:cs="Times New Roman"/>
          <w:color w:val="202124"/>
          <w:sz w:val="24"/>
          <w:szCs w:val="24"/>
          <w:lang w:eastAsia="ru-RU"/>
        </w:rPr>
        <w:softHyphen/>
        <w:t>logical Institute, together with colleagues from the Research Institute of Epidemiology and Microbiology of Vladivostok, showed that the drug "Pentakan" (extract from Far Eastern galaturias) had immunomodulatory activity, stimulating the functional activity of macro</w:t>
      </w:r>
      <w:r w:rsidRPr="003F357C">
        <w:rPr>
          <w:rFonts w:eastAsia="Times New Roman" w:cs="Times New Roman"/>
          <w:color w:val="202124"/>
          <w:sz w:val="24"/>
          <w:szCs w:val="24"/>
          <w:lang w:eastAsia="ru-RU"/>
        </w:rPr>
        <w:softHyphen/>
        <w:t>phages in pseudotuberculosis infection in mice [15].</w:t>
      </w:r>
    </w:p>
    <w:p w14:paraId="362544F4"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Much attention of modern researchers is paid to the study of the possibility of including preparations of normal intestinal microflora in the treatment regimen and non-specific prophylaxis of many infectious diseases. It has been proven that the constant presence of resi</w:t>
      </w:r>
      <w:r w:rsidRPr="003F357C">
        <w:rPr>
          <w:rFonts w:eastAsia="Times New Roman" w:cs="Times New Roman"/>
          <w:color w:val="202124"/>
          <w:sz w:val="24"/>
          <w:szCs w:val="24"/>
          <w:lang w:eastAsia="ru-RU"/>
        </w:rPr>
        <w:softHyphen/>
        <w:t>dent microorganisms adhered to its wall in the intestine prevents the multiplication of patho</w:t>
      </w:r>
      <w:r w:rsidRPr="003F357C">
        <w:rPr>
          <w:rFonts w:eastAsia="Times New Roman" w:cs="Times New Roman"/>
          <w:color w:val="202124"/>
          <w:sz w:val="24"/>
          <w:szCs w:val="24"/>
          <w:lang w:eastAsia="ru-RU"/>
        </w:rPr>
        <w:softHyphen/>
        <w:t>gens, creates an environment unfavorable for their development due to the formation of an</w:t>
      </w:r>
      <w:r w:rsidRPr="003F357C">
        <w:rPr>
          <w:rFonts w:eastAsia="Times New Roman" w:cs="Times New Roman"/>
          <w:color w:val="202124"/>
          <w:sz w:val="24"/>
          <w:szCs w:val="24"/>
          <w:lang w:eastAsia="ru-RU"/>
        </w:rPr>
        <w:softHyphen/>
        <w:t>timicrobial compounds, and also stimulates the restoration of immune cells in the submucosal layer [16].</w:t>
      </w:r>
    </w:p>
    <w:p w14:paraId="4ED30348"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 most important aspects of the inter</w:t>
      </w:r>
      <w:r w:rsidRPr="003F357C">
        <w:rPr>
          <w:rFonts w:eastAsia="Times New Roman" w:cs="Times New Roman"/>
          <w:color w:val="202124"/>
          <w:sz w:val="24"/>
          <w:szCs w:val="24"/>
          <w:lang w:eastAsia="ru-RU"/>
        </w:rPr>
        <w:softHyphen/>
        <w:t>action of probiotic strains with the intestinal microflora and the body are the formation of antibacterial substances, competition for nutri</w:t>
      </w:r>
      <w:r w:rsidRPr="003F357C">
        <w:rPr>
          <w:rFonts w:eastAsia="Times New Roman" w:cs="Times New Roman"/>
          <w:color w:val="202124"/>
          <w:sz w:val="24"/>
          <w:szCs w:val="24"/>
          <w:lang w:eastAsia="ru-RU"/>
        </w:rPr>
        <w:softHyphen/>
        <w:t>ents and the site of adhesion, changes in micro</w:t>
      </w:r>
      <w:r w:rsidRPr="003F357C">
        <w:rPr>
          <w:rFonts w:eastAsia="Times New Roman" w:cs="Times New Roman"/>
          <w:color w:val="202124"/>
          <w:sz w:val="24"/>
          <w:szCs w:val="24"/>
          <w:lang w:eastAsia="ru-RU"/>
        </w:rPr>
        <w:softHyphen/>
        <w:t>bial metabolism (increase or decrease in enzy</w:t>
      </w:r>
      <w:r w:rsidRPr="003F357C">
        <w:rPr>
          <w:rFonts w:eastAsia="Times New Roman" w:cs="Times New Roman"/>
          <w:color w:val="202124"/>
          <w:sz w:val="24"/>
          <w:szCs w:val="24"/>
          <w:lang w:eastAsia="ru-RU"/>
        </w:rPr>
        <w:softHyphen/>
        <w:t>matic activity), stimulation of the immune sys</w:t>
      </w:r>
      <w:r w:rsidRPr="003F357C">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lastRenderedPageBreak/>
        <w:t>tem, which indicates the prospects for using probiotics for non-specific disease preven</w:t>
      </w:r>
      <w:r w:rsidRPr="003F357C">
        <w:rPr>
          <w:rFonts w:eastAsia="Times New Roman" w:cs="Times New Roman"/>
          <w:color w:val="202124"/>
          <w:sz w:val="24"/>
          <w:szCs w:val="24"/>
          <w:lang w:eastAsia="ru-RU"/>
        </w:rPr>
        <w:softHyphen/>
        <w:t>tion.The possibility of preventing the develop</w:t>
      </w:r>
      <w:r w:rsidRPr="003F357C">
        <w:rPr>
          <w:rFonts w:eastAsia="Times New Roman" w:cs="Times New Roman"/>
          <w:color w:val="202124"/>
          <w:sz w:val="24"/>
          <w:szCs w:val="24"/>
          <w:lang w:eastAsia="ru-RU"/>
        </w:rPr>
        <w:softHyphen/>
        <w:t>ment of pseudotuberculosis and intestinal yer</w:t>
      </w:r>
      <w:r w:rsidRPr="003F357C">
        <w:rPr>
          <w:rFonts w:eastAsia="Times New Roman" w:cs="Times New Roman"/>
          <w:color w:val="202124"/>
          <w:sz w:val="24"/>
          <w:szCs w:val="24"/>
          <w:lang w:eastAsia="ru-RU"/>
        </w:rPr>
        <w:softHyphen/>
        <w:t>siniosis in conventional white mice with the prebiotic "Stimbifid" and low-molecular exo</w:t>
      </w:r>
      <w:r w:rsidRPr="003F357C">
        <w:rPr>
          <w:rFonts w:eastAsia="Times New Roman" w:cs="Times New Roman"/>
          <w:color w:val="202124"/>
          <w:sz w:val="24"/>
          <w:szCs w:val="24"/>
          <w:lang w:eastAsia="ru-RU"/>
        </w:rPr>
        <w:softHyphen/>
        <w:t>metabolites of the supernatant of native cul</w:t>
      </w:r>
      <w:r w:rsidRPr="003F357C">
        <w:rPr>
          <w:rFonts w:eastAsia="Times New Roman" w:cs="Times New Roman"/>
          <w:color w:val="202124"/>
          <w:sz w:val="24"/>
          <w:szCs w:val="24"/>
          <w:lang w:eastAsia="ru-RU"/>
        </w:rPr>
        <w:softHyphen/>
        <w:t>tures of probiotic bifidobacteria and lactoba</w:t>
      </w:r>
      <w:r w:rsidRPr="003F357C">
        <w:rPr>
          <w:rFonts w:eastAsia="Times New Roman" w:cs="Times New Roman"/>
          <w:color w:val="202124"/>
          <w:sz w:val="24"/>
          <w:szCs w:val="24"/>
          <w:lang w:eastAsia="ru-RU"/>
        </w:rPr>
        <w:softHyphen/>
        <w:t>cilli was studied. It was found that these drugs arrest the development of the infectious pro</w:t>
      </w:r>
      <w:r w:rsidRPr="003F357C">
        <w:rPr>
          <w:rFonts w:eastAsia="Times New Roman" w:cs="Times New Roman"/>
          <w:color w:val="202124"/>
          <w:sz w:val="24"/>
          <w:szCs w:val="24"/>
          <w:lang w:eastAsia="ru-RU"/>
        </w:rPr>
        <w:softHyphen/>
        <w:t>cess and its generalization both in the course of prophylactic and therapeutic courses [17-19].</w:t>
      </w:r>
    </w:p>
    <w:p w14:paraId="1031B54E"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There is an opinion that when choosing the means of "starting" therapy in the initial pe</w:t>
      </w:r>
      <w:r w:rsidRPr="003F357C">
        <w:rPr>
          <w:rFonts w:eastAsia="Times New Roman" w:cs="Times New Roman"/>
          <w:color w:val="202124"/>
          <w:sz w:val="24"/>
          <w:szCs w:val="24"/>
          <w:lang w:eastAsia="ru-RU"/>
        </w:rPr>
        <w:softHyphen/>
        <w:t>riod of the disease in mild and moderate forms of infectious diseases (including intestinal), preference should be given not to antibiotic and chemotherapy, but to drugs with direct or indirect etiopathogenetic impact on pathogens [20]. The widely used immunoglobulin (Ig) drugs for passive immunotherapy are such drugs. Increasing the effectiveness of the treat</w:t>
      </w:r>
      <w:r w:rsidRPr="003F357C">
        <w:rPr>
          <w:rFonts w:eastAsia="Times New Roman" w:cs="Times New Roman"/>
          <w:color w:val="202124"/>
          <w:sz w:val="24"/>
          <w:szCs w:val="24"/>
          <w:lang w:eastAsia="ru-RU"/>
        </w:rPr>
        <w:softHyphen/>
        <w:t>ment of infections with the use of antibodies consists in the immediate implementation of their direct effect not only on the microorgan</w:t>
      </w:r>
      <w:r w:rsidRPr="003F357C">
        <w:rPr>
          <w:rFonts w:eastAsia="Times New Roman" w:cs="Times New Roman"/>
          <w:color w:val="202124"/>
          <w:sz w:val="24"/>
          <w:szCs w:val="24"/>
          <w:lang w:eastAsia="ru-RU"/>
        </w:rPr>
        <w:softHyphen/>
        <w:t>ism (opsonization, phagocytosis and elimina</w:t>
      </w:r>
      <w:r w:rsidRPr="003F357C">
        <w:rPr>
          <w:rFonts w:eastAsia="Times New Roman" w:cs="Times New Roman"/>
          <w:color w:val="202124"/>
          <w:sz w:val="24"/>
          <w:szCs w:val="24"/>
          <w:lang w:eastAsia="ru-RU"/>
        </w:rPr>
        <w:softHyphen/>
        <w:t>tion), but also on the immune system of the macroorganism. By binding to the correspond</w:t>
      </w:r>
      <w:r w:rsidRPr="003F357C">
        <w:rPr>
          <w:rFonts w:eastAsia="Times New Roman" w:cs="Times New Roman"/>
          <w:color w:val="202124"/>
          <w:sz w:val="24"/>
          <w:szCs w:val="24"/>
          <w:lang w:eastAsia="ru-RU"/>
        </w:rPr>
        <w:softHyphen/>
        <w:t>ing antigens, antibodies neutralize them, con</w:t>
      </w:r>
      <w:r w:rsidRPr="003F357C">
        <w:rPr>
          <w:rFonts w:eastAsia="Times New Roman" w:cs="Times New Roman"/>
          <w:color w:val="202124"/>
          <w:sz w:val="24"/>
          <w:szCs w:val="24"/>
          <w:lang w:eastAsia="ru-RU"/>
        </w:rPr>
        <w:softHyphen/>
        <w:t>vert them into an insoluble form, as a result of which the mechanisms of phagocytosis, com</w:t>
      </w:r>
      <w:r w:rsidRPr="003F357C">
        <w:rPr>
          <w:rFonts w:eastAsia="Times New Roman" w:cs="Times New Roman"/>
          <w:color w:val="202124"/>
          <w:sz w:val="24"/>
          <w:szCs w:val="24"/>
          <w:lang w:eastAsia="ru-RU"/>
        </w:rPr>
        <w:softHyphen/>
        <w:t>plement-dependent lysis and subsequent elim</w:t>
      </w:r>
      <w:r w:rsidRPr="003F357C">
        <w:rPr>
          <w:rFonts w:eastAsia="Times New Roman" w:cs="Times New Roman"/>
          <w:color w:val="202124"/>
          <w:sz w:val="24"/>
          <w:szCs w:val="24"/>
          <w:lang w:eastAsia="ru-RU"/>
        </w:rPr>
        <w:softHyphen/>
        <w:t>ination of antigens from the body are triggered.</w:t>
      </w:r>
    </w:p>
    <w:p w14:paraId="5E052423"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A complex immunoglobulin preparation (CIP) developed by employees of the Moscow Research Institute of Epidemiology and Micro</w:t>
      </w:r>
      <w:r w:rsidRPr="003F357C">
        <w:rPr>
          <w:rFonts w:eastAsia="Times New Roman" w:cs="Times New Roman"/>
          <w:color w:val="202124"/>
          <w:sz w:val="24"/>
          <w:szCs w:val="24"/>
          <w:lang w:eastAsia="ru-RU"/>
        </w:rPr>
        <w:softHyphen/>
        <w:t>biology. G.N. Gabrichevsky, contains a high concentration of antibodies to gram-negative enteropathogenic bacteria of the intestinal group (Shigella, Salmonella, Escherichia, etc.). Immunobiological properties of instru</w:t>
      </w:r>
      <w:r w:rsidRPr="003F357C">
        <w:rPr>
          <w:rFonts w:eastAsia="Times New Roman" w:cs="Times New Roman"/>
          <w:color w:val="202124"/>
          <w:sz w:val="24"/>
          <w:szCs w:val="24"/>
          <w:lang w:eastAsia="ru-RU"/>
        </w:rPr>
        <w:softHyphen/>
        <w:t>mentation are due to the content of immuno</w:t>
      </w:r>
      <w:r w:rsidRPr="003F357C">
        <w:rPr>
          <w:rFonts w:eastAsia="Times New Roman" w:cs="Times New Roman"/>
          <w:color w:val="202124"/>
          <w:sz w:val="24"/>
          <w:szCs w:val="24"/>
          <w:lang w:eastAsia="ru-RU"/>
        </w:rPr>
        <w:softHyphen/>
        <w:t>globulins of three classes IgA (25%), IgM (25%) and IgG (50%).IgM, activating comple</w:t>
      </w:r>
      <w:r w:rsidRPr="003F357C">
        <w:rPr>
          <w:rFonts w:eastAsia="Times New Roman" w:cs="Times New Roman"/>
          <w:color w:val="202124"/>
          <w:sz w:val="24"/>
          <w:szCs w:val="24"/>
          <w:lang w:eastAsia="ru-RU"/>
        </w:rPr>
        <w:softHyphen/>
        <w:t>ment and causing bacterial lysis, has a bacteri</w:t>
      </w:r>
      <w:r w:rsidRPr="003F357C">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cidal effect on pathogenic microorganisms, IgA makes it difficult for them to attach to the epithelium of the mucous membrane and en</w:t>
      </w:r>
      <w:r w:rsidRPr="003F357C">
        <w:rPr>
          <w:rFonts w:eastAsia="Times New Roman" w:cs="Times New Roman"/>
          <w:color w:val="202124"/>
          <w:sz w:val="24"/>
          <w:szCs w:val="24"/>
          <w:lang w:eastAsia="ru-RU"/>
        </w:rPr>
        <w:softHyphen/>
        <w:t>sures rapid removal from the intestine, IgG neutralizes microbial toxins and viruses, medi</w:t>
      </w:r>
      <w:r w:rsidRPr="003F357C">
        <w:rPr>
          <w:rFonts w:eastAsia="Times New Roman" w:cs="Times New Roman"/>
          <w:color w:val="202124"/>
          <w:sz w:val="24"/>
          <w:szCs w:val="24"/>
          <w:lang w:eastAsia="ru-RU"/>
        </w:rPr>
        <w:softHyphen/>
        <w:t>ates the "adhesion" of bacteria to macrophages with their subsequent phagocytosis. Therefore, the instrumentation, which is very important, can be used without antibacterial therapy [21].</w:t>
      </w:r>
    </w:p>
    <w:p w14:paraId="0648326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In addition to removing pathogenic and opportunistic microorganisms from the body, CIP promotes the growth of normal intestinal microflora (bifidobacteria, lactobacilli, entero</w:t>
      </w:r>
      <w:r w:rsidRPr="003F357C">
        <w:rPr>
          <w:rFonts w:eastAsia="Times New Roman" w:cs="Times New Roman"/>
          <w:color w:val="202124"/>
          <w:sz w:val="24"/>
          <w:szCs w:val="24"/>
          <w:lang w:eastAsia="ru-RU"/>
        </w:rPr>
        <w:softHyphen/>
        <w:t>cocci and non-pathogenic Escherichia coli), in</w:t>
      </w:r>
      <w:r w:rsidRPr="003F357C">
        <w:rPr>
          <w:rFonts w:eastAsia="Times New Roman" w:cs="Times New Roman"/>
          <w:color w:val="202124"/>
          <w:sz w:val="24"/>
          <w:szCs w:val="24"/>
          <w:lang w:eastAsia="ru-RU"/>
        </w:rPr>
        <w:softHyphen/>
        <w:t>creases the production of secretory IgA and normalizes altered indicators of systemic im</w:t>
      </w:r>
      <w:r w:rsidRPr="003F357C">
        <w:rPr>
          <w:rFonts w:eastAsia="Times New Roman" w:cs="Times New Roman"/>
          <w:color w:val="202124"/>
          <w:sz w:val="24"/>
          <w:szCs w:val="24"/>
          <w:lang w:eastAsia="ru-RU"/>
        </w:rPr>
        <w:softHyphen/>
        <w:t>munity.</w:t>
      </w:r>
    </w:p>
    <w:p w14:paraId="1AC24B2C"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 drug is recommended for the pre</w:t>
      </w:r>
      <w:r w:rsidRPr="003F357C">
        <w:rPr>
          <w:rFonts w:eastAsia="Times New Roman" w:cs="Times New Roman"/>
          <w:color w:val="202124"/>
          <w:sz w:val="24"/>
          <w:szCs w:val="24"/>
          <w:lang w:eastAsia="ru-RU"/>
        </w:rPr>
        <w:softHyphen/>
        <w:t>vention of infectious diseases in people with acquired immunodeficiency, as well as for im</w:t>
      </w:r>
      <w:r w:rsidRPr="003F357C">
        <w:rPr>
          <w:rFonts w:eastAsia="Times New Roman" w:cs="Times New Roman"/>
          <w:color w:val="202124"/>
          <w:sz w:val="24"/>
          <w:szCs w:val="24"/>
          <w:lang w:eastAsia="ru-RU"/>
        </w:rPr>
        <w:softHyphen/>
        <w:t>munocorrective therapy in people with reduced activity of humoral immunity factors (prema</w:t>
      </w:r>
      <w:r w:rsidRPr="003F357C">
        <w:rPr>
          <w:rFonts w:eastAsia="Times New Roman" w:cs="Times New Roman"/>
          <w:color w:val="202124"/>
          <w:sz w:val="24"/>
          <w:szCs w:val="24"/>
          <w:lang w:eastAsia="ru-RU"/>
        </w:rPr>
        <w:softHyphen/>
        <w:t>ture babies; infants who are artificially fed; people suffering from chronic diseases of the gastrointestinal tract, elderly people, etc.) [22].Employees of the Rostov-on-Don Anti-Plague Institute [23-24] studied the influence of instrumentation on the development and outcome of experimental pseudotuberculosis and intestinal yersiniosis and the formation of a cellular and humoral immune response to the causative agents of these diseases.</w:t>
      </w:r>
    </w:p>
    <w:p w14:paraId="2ACAA1D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It was revealed that this drug, acting on the initial stages of the initiation of the infec</w:t>
      </w:r>
      <w:r w:rsidRPr="003F357C">
        <w:rPr>
          <w:rFonts w:eastAsia="Times New Roman" w:cs="Times New Roman"/>
          <w:color w:val="202124"/>
          <w:sz w:val="24"/>
          <w:szCs w:val="24"/>
          <w:lang w:eastAsia="ru-RU"/>
        </w:rPr>
        <w:softHyphen/>
        <w:t>tious process upon oral intake of pathogens into the body, prevents their adhesion to the ep</w:t>
      </w:r>
      <w:r w:rsidRPr="003F357C">
        <w:rPr>
          <w:rFonts w:eastAsia="Times New Roman" w:cs="Times New Roman"/>
          <w:color w:val="202124"/>
          <w:sz w:val="24"/>
          <w:szCs w:val="24"/>
          <w:lang w:eastAsia="ru-RU"/>
        </w:rPr>
        <w:softHyphen/>
        <w:t>ithelial cells of the intestinal mucosa of ani</w:t>
      </w:r>
      <w:r w:rsidRPr="003F357C">
        <w:rPr>
          <w:rFonts w:eastAsia="Times New Roman" w:cs="Times New Roman"/>
          <w:color w:val="202124"/>
          <w:sz w:val="24"/>
          <w:szCs w:val="24"/>
          <w:lang w:eastAsia="ru-RU"/>
        </w:rPr>
        <w:softHyphen/>
        <w:t>mals, colonization, further invasion, and, con</w:t>
      </w:r>
      <w:r w:rsidRPr="003F357C">
        <w:rPr>
          <w:rFonts w:eastAsia="Times New Roman" w:cs="Times New Roman"/>
          <w:color w:val="202124"/>
          <w:sz w:val="24"/>
          <w:szCs w:val="24"/>
          <w:lang w:eastAsia="ru-RU"/>
        </w:rPr>
        <w:softHyphen/>
        <w:t>sequently, the dissemination of pathogens in the parenchymal organs, preventing the devel</w:t>
      </w:r>
      <w:r w:rsidRPr="003F357C">
        <w:rPr>
          <w:rFonts w:eastAsia="Times New Roman" w:cs="Times New Roman"/>
          <w:color w:val="202124"/>
          <w:sz w:val="24"/>
          <w:szCs w:val="24"/>
          <w:lang w:eastAsia="ru-RU"/>
        </w:rPr>
        <w:softHyphen/>
        <w:t>opment of pathological processes and the death of mice.</w:t>
      </w:r>
    </w:p>
    <w:p w14:paraId="3AAF7A31"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It was found that the use of the drug en</w:t>
      </w:r>
      <w:r w:rsidRPr="003F357C">
        <w:rPr>
          <w:rFonts w:eastAsia="Times New Roman" w:cs="Times New Roman"/>
          <w:color w:val="202124"/>
          <w:sz w:val="24"/>
          <w:szCs w:val="24"/>
          <w:lang w:eastAsia="ru-RU"/>
        </w:rPr>
        <w:softHyphen/>
        <w:t xml:space="preserve">hances the absorptive, digesting ability of phagocytes, the expression of receptors on </w:t>
      </w:r>
      <w:r w:rsidRPr="003F357C">
        <w:rPr>
          <w:rFonts w:eastAsia="Times New Roman" w:cs="Times New Roman"/>
          <w:color w:val="202124"/>
          <w:sz w:val="24"/>
          <w:szCs w:val="24"/>
          <w:lang w:eastAsia="ru-RU"/>
        </w:rPr>
        <w:lastRenderedPageBreak/>
        <w:t>their membranes, the bactericidal activity of these cells, providing complete phagocytosis of Yersinia. In addition, KIP has a positive ef</w:t>
      </w:r>
      <w:r w:rsidRPr="003F357C">
        <w:rPr>
          <w:rFonts w:eastAsia="Times New Roman" w:cs="Times New Roman"/>
          <w:color w:val="202124"/>
          <w:sz w:val="24"/>
          <w:szCs w:val="24"/>
          <w:lang w:eastAsia="ru-RU"/>
        </w:rPr>
        <w:softHyphen/>
        <w:t>fect on antibodies and the process of utilization of circulating immune complexes.</w:t>
      </w:r>
    </w:p>
    <w:p w14:paraId="78EF6F68"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The results obtained indicate that the use of instrumentation is promising for the preven</w:t>
      </w:r>
      <w:r w:rsidRPr="003F357C">
        <w:rPr>
          <w:rFonts w:eastAsia="Times New Roman" w:cs="Times New Roman"/>
          <w:color w:val="202124"/>
          <w:sz w:val="24"/>
          <w:szCs w:val="24"/>
          <w:lang w:eastAsia="ru-RU"/>
        </w:rPr>
        <w:softHyphen/>
        <w:t>tion and treatment (including in conjunction with etiotropic therapy) of experimental pseudotuberculosis and yersiniosis.</w:t>
      </w:r>
    </w:p>
    <w:p w14:paraId="1491DF2C"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Thus, the results of experimental and clinical studies indicate that the combined use of drugs of various chemical nature, as well as prebiotics, opens up new approaches to the prevention and treatment of pseudotuberculo</w:t>
      </w:r>
      <w:r w:rsidRPr="003F357C">
        <w:rPr>
          <w:rFonts w:eastAsia="Times New Roman" w:cs="Times New Roman"/>
          <w:color w:val="202124"/>
          <w:sz w:val="24"/>
          <w:szCs w:val="24"/>
          <w:lang w:eastAsia="ru-RU"/>
        </w:rPr>
        <w:softHyphen/>
        <w:t>sis and intestinal yersiniosis.</w:t>
      </w:r>
    </w:p>
    <w:p w14:paraId="3B2B4E29"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sz w:val="24"/>
          <w:szCs w:val="24"/>
          <w:lang w:eastAsia="ru-RU"/>
        </w:rPr>
      </w:pPr>
    </w:p>
    <w:p w14:paraId="0762570F"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eastAsia="ru-RU"/>
        </w:rPr>
      </w:pPr>
      <w:r w:rsidRPr="003F357C">
        <w:rPr>
          <w:rFonts w:eastAsia="Times New Roman" w:cs="Times New Roman"/>
          <w:b/>
          <w:color w:val="202124"/>
          <w:sz w:val="24"/>
          <w:szCs w:val="24"/>
          <w:lang w:eastAsia="ru-RU"/>
        </w:rPr>
        <w:t>LITERATURE</w:t>
      </w:r>
    </w:p>
    <w:p w14:paraId="62B29DF5"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color w:val="202124"/>
          <w:sz w:val="24"/>
          <w:szCs w:val="24"/>
          <w:lang w:eastAsia="ru-RU"/>
        </w:rPr>
      </w:pPr>
    </w:p>
    <w:p w14:paraId="7962B31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1.Yushchuk, N.D. Yersiniosis. - M.: Medicine, 2003.</w:t>
      </w:r>
    </w:p>
    <w:p w14:paraId="5A7D798E"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2. Zheleznikova, G.F., Bekhtereva, M.K. Enteropathogenic yersinia and the host cyto</w:t>
      </w:r>
      <w:r w:rsidRPr="003F357C">
        <w:rPr>
          <w:rFonts w:eastAsia="Times New Roman" w:cs="Times New Roman"/>
          <w:color w:val="202124"/>
          <w:sz w:val="24"/>
          <w:szCs w:val="24"/>
          <w:lang w:eastAsia="ru-RU"/>
        </w:rPr>
        <w:softHyphen/>
        <w:t>kine system // Journal of Microbiology, Epide</w:t>
      </w:r>
      <w:r w:rsidRPr="003F357C">
        <w:rPr>
          <w:rFonts w:eastAsia="Times New Roman" w:cs="Times New Roman"/>
          <w:color w:val="202124"/>
          <w:sz w:val="24"/>
          <w:szCs w:val="24"/>
          <w:lang w:eastAsia="ru-RU"/>
        </w:rPr>
        <w:softHyphen/>
        <w:t>miology and Immunobiology - 2010. - No. 6. - S. 112¬-121.</w:t>
      </w:r>
    </w:p>
    <w:p w14:paraId="1AAD34B3"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3. Timchenko, N.F., Terent'ev, L.L., Nedashkovskaya, O.I., Raznik, N.V., Ras</w:t>
      </w:r>
      <w:r w:rsidRPr="003F357C">
        <w:rPr>
          <w:rFonts w:eastAsia="Times New Roman" w:cs="Times New Roman"/>
          <w:color w:val="202124"/>
          <w:sz w:val="24"/>
          <w:szCs w:val="24"/>
          <w:lang w:eastAsia="ru-RU"/>
        </w:rPr>
        <w:softHyphen/>
        <w:t>skazov, V.A. The effect of the thermostable toxin Yersinia pseudotuberculosis on the bio</w:t>
      </w:r>
      <w:r w:rsidRPr="003F357C">
        <w:rPr>
          <w:rFonts w:eastAsia="Times New Roman" w:cs="Times New Roman"/>
          <w:color w:val="202124"/>
          <w:sz w:val="24"/>
          <w:szCs w:val="24"/>
          <w:lang w:eastAsia="ru-RU"/>
        </w:rPr>
        <w:softHyphen/>
        <w:t>synthesis of DNA, RNA and protein in eukar</w:t>
      </w:r>
      <w:r w:rsidRPr="003F357C">
        <w:rPr>
          <w:rFonts w:eastAsia="Times New Roman" w:cs="Times New Roman"/>
          <w:color w:val="202124"/>
          <w:sz w:val="24"/>
          <w:szCs w:val="24"/>
          <w:lang w:eastAsia="ru-RU"/>
        </w:rPr>
        <w:softHyphen/>
        <w:t>yotic cells // Epidemiology and infectious dis</w:t>
      </w:r>
      <w:r w:rsidRPr="003F357C">
        <w:rPr>
          <w:rFonts w:eastAsia="Times New Roman" w:cs="Times New Roman"/>
          <w:color w:val="202124"/>
          <w:sz w:val="24"/>
          <w:szCs w:val="24"/>
          <w:lang w:eastAsia="ru-RU"/>
        </w:rPr>
        <w:softHyphen/>
        <w:t>eases. - 2002. - No. 1. - S. 22-25.</w:t>
      </w:r>
    </w:p>
    <w:p w14:paraId="01CB710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4. Reznikov, Yu.P. Immunocorrective therapy at the turn of the millennium. - M.: Medicine, 2011.</w:t>
      </w:r>
    </w:p>
    <w:p w14:paraId="74BBBD48"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5. Khaitov, R.M., Pinegin, B.V., An</w:t>
      </w:r>
      <w:r w:rsidRPr="003F357C">
        <w:rPr>
          <w:rFonts w:eastAsia="Times New Roman" w:cs="Times New Roman"/>
          <w:color w:val="202124"/>
          <w:sz w:val="24"/>
          <w:szCs w:val="24"/>
          <w:lang w:eastAsia="ru-RU"/>
        </w:rPr>
        <w:softHyphen/>
        <w:t>dronova. T.M. Domestic immunotropic drugs of the last generation and the strategy of their use // Pediatric Pharmacology. - 2002. - pp. 20-24.</w:t>
      </w:r>
    </w:p>
    <w:p w14:paraId="615965A6"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6. Plotnikov, K.P. The use of thymogen in the complex therapy of pseudotuberculosis. // Actual problems of chemotherapy of bacte</w:t>
      </w:r>
      <w:r w:rsidRPr="003F357C">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rial infections: Abstracts. report - Moscow, 2001 .-- S. 504-505.</w:t>
      </w:r>
    </w:p>
    <w:p w14:paraId="3D9D70D7"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7. Burgasova, O.A., Yushchuk, N.D., Voskresenskaya, E.A., Tseneva, G.Ya. Protec</w:t>
      </w:r>
      <w:r w:rsidRPr="003F357C">
        <w:rPr>
          <w:rFonts w:eastAsia="Times New Roman" w:cs="Times New Roman"/>
          <w:color w:val="202124"/>
          <w:sz w:val="24"/>
          <w:szCs w:val="24"/>
          <w:lang w:eastAsia="ru-RU"/>
        </w:rPr>
        <w:softHyphen/>
        <w:t>tive effect of the drug "Bestim" on the course of experimental pseudotuberculosis infection. // Health of the nation and habitat. - 2011. - No. 6. - S. 27-29.</w:t>
      </w:r>
    </w:p>
    <w:p w14:paraId="5BFEB248"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8. Goryacheva, L.G., Botvinieva, V.V., Romantsov, M.G. The use of cycloferon in pe</w:t>
      </w:r>
      <w:r w:rsidRPr="003F357C">
        <w:rPr>
          <w:rFonts w:eastAsia="Times New Roman" w:cs="Times New Roman"/>
          <w:color w:val="202124"/>
          <w:sz w:val="24"/>
          <w:szCs w:val="24"/>
          <w:lang w:eastAsia="ru-RU"/>
        </w:rPr>
        <w:softHyphen/>
        <w:t>diatrics. - Moscow-SPb; 2014.</w:t>
      </w:r>
    </w:p>
    <w:p w14:paraId="550A6D9D"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9. Kvetnaya, A.S., Bekhtereva, M.K., Zheleznova, L.I., Kalinogorskaya, O.S. The use of cycloferon in the complex therapy of salmonella and yersiniosis infections in chil</w:t>
      </w:r>
      <w:r w:rsidRPr="003F357C">
        <w:rPr>
          <w:rFonts w:eastAsia="Times New Roman" w:cs="Times New Roman"/>
          <w:color w:val="202124"/>
          <w:sz w:val="24"/>
          <w:szCs w:val="24"/>
          <w:lang w:eastAsia="ru-RU"/>
        </w:rPr>
        <w:softHyphen/>
        <w:t>dren // Antibiotics and chemotherapy. - 2012. - T. 57. No. 3-4. - S. 9-16.</w:t>
      </w:r>
    </w:p>
    <w:p w14:paraId="0C1C0ABD"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10. Beniova, S. N., Markelova, E. V. Im</w:t>
      </w:r>
      <w:r w:rsidRPr="003F357C">
        <w:rPr>
          <w:rFonts w:eastAsia="Times New Roman" w:cs="Times New Roman"/>
          <w:color w:val="202124"/>
          <w:sz w:val="24"/>
          <w:szCs w:val="24"/>
          <w:lang w:eastAsia="ru-RU"/>
        </w:rPr>
        <w:softHyphen/>
        <w:t>munocorrection of the recurrent course of pseudotuberculosis in children // Cytokines and inflammation. - 2013. - T.2. - Number 3. - S. 13-17.</w:t>
      </w:r>
    </w:p>
    <w:p w14:paraId="2AD49AF3"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11. Tsseneva, G.Ya., Demakova, T.E., Simbirtsev. A.S. Rekombinant interleykin 1p ning eksperimental psevdotuberkulyoz ja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rayoniga ta'siri. // Infec. bol-no: Sovr. probl. di</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agnostika va davolash: Ros. ilmiy-amaliy. Konf.: Moskva-SPb, 2008. - S. 282-283.</w:t>
      </w:r>
    </w:p>
    <w:p w14:paraId="39492F26"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12. Feklisova, L.V., Galkina, L.A. Yer</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siniozli bolalarning kompleks terapiyasiga na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triy nukleonatning kiritilishini baholash // Yer</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siniya sabab bo'lgan infektsiyalar: Mater. xalqaro konf. - SPb, 2000. - S. 60.</w:t>
      </w:r>
    </w:p>
    <w:p w14:paraId="47A29A99"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13. Dubrovina, V.I., Golubinskiy, E.P., Borsuk, G.I. Tabiiy kelib chiqishi immuno</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modulyatorlar tomonidan psevdotuberkulyoz infektsiyasida fagotsitozni tuzatish. // Yersi</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niya tomonidan kelib chiqqan infektsiyalar: Mater. xalqaro konf. - SPb, 2000. - B.19.</w:t>
      </w:r>
    </w:p>
    <w:p w14:paraId="4411B899"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14. Zaporojets, T.S., Krilova, N.V., Iva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nushko, L.A. Tabiiy kelib chiqishi immuno</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modulyatorlar bilan psevdotuberkulyoz in</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fektsiyasida fagotsitoz nuqsonlarini tuzatish. // Jurnal. mikrobiol.- 2007. - № 5. - S. 55-58.</w:t>
      </w:r>
    </w:p>
    <w:p w14:paraId="76E39753"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lastRenderedPageBreak/>
        <w:t>15. Dolmatova, L.S., Zaika, O.A., Tim</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chenko, N.F. Uzoq Sharqdagi dengiz bodring turlaridan ekstraktning turli xil qo'llanilish usullari bilan Yersiniya psevdotuberkulyoz bakteriyalariga chalingan sichqonlarda qorin parda makrofaglarining funktsional faoliyatiga ta'siri. // Yersiniya tomonidan kelib chiqqan in</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fektsiyalar: Mater. III. Butunrossiya. ilmiy-amaliy konf. - SPb, 2011. - S. 52-53.</w:t>
      </w:r>
    </w:p>
    <w:p w14:paraId="143151E0"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16. Bondarenko, V.M., Lixoded, V.G. I.I.ning g'oyalari Mechnikov va inson ichak</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ning zamonaviy mikroekologiyasi. // Jurnal. mikrobiol. - 2008. - № 5. - S. 23-29.</w:t>
      </w:r>
    </w:p>
    <w:p w14:paraId="431EC8A1"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17. Chicherin, I.Yu., Pogorelskiy, I.P., Lundovskik, I.A., Darmov, I.V., Marakulin, I.V. Eksperimental psevdotuberkulyozda ichak mikroflorasining disbiyotik buzilishla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rini oldini olish, davolash va tuzatish imkoni</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yatlarini baholash // J. yuqumli kasallik. - 2012. - T.4. - № 4. - S. 71-79.</w:t>
      </w:r>
    </w:p>
    <w:p w14:paraId="0F03A28E"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18. Chicherin, I. Yu., Pogorelskiy, I. P., Lundovskik, I. A. va eksperimental yer</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siniozda ichak shilliq qavatining boshqa kolonizatsiya qarshiligi. // Jurnal. yuqumli kasallik. - 2013. - T.5. - № 1. - S. 75-82.</w:t>
      </w:r>
    </w:p>
    <w:p w14:paraId="197FE1CD"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19. Bondarenko, V.M., Gracheva, N.M. Ichak disbiyozini davolash va oldini olishda probiyotikalar, prebiyotikalar va sinbiotiklar. // Pharmateca. - 2003. - № 7. - P. 56¬-63.</w:t>
      </w:r>
    </w:p>
    <w:p w14:paraId="5A06427F"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20. Dobritsa, V.P., Boterashvili, N.M., Dobritsa, E.V. Klinik foydalanish uchun za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monaviy immunomodulyatorlar. Shifokorlar uchun qo'llanma. - Politexnika, 2011 yil.</w:t>
      </w:r>
    </w:p>
    <w:p w14:paraId="3D31F7D9"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21. Kopanev, Yu.A., Sokolov, A.L., Aleshkin, V.A. Murakkab immunoglobulin preparatining shartli patogen floraga ta'siri. // Doktor. - 1998. - № 5. - S. 38.</w:t>
      </w:r>
    </w:p>
    <w:p w14:paraId="40FE2762"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22. Gracheva, N.M., Petrov, M.S., Ava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kov, A.A., Tomonlar, O.S.</w:t>
      </w:r>
    </w:p>
    <w:p w14:paraId="7139B57D"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Bolalar va kattalarni davolash ama</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liyotida enteral foydalanish uchun immuno</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globulin preparatlari. // Yangi dorilar. - 2003. - nashr. 4. - S. 33-42.</w:t>
      </w:r>
    </w:p>
    <w:p w14:paraId="4DF462E9" w14:textId="77777777" w:rsidR="00DD566D" w:rsidRPr="003F357C"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3F357C">
        <w:rPr>
          <w:rFonts w:eastAsia="Times New Roman" w:cs="Times New Roman"/>
          <w:color w:val="202124"/>
          <w:sz w:val="24"/>
          <w:szCs w:val="24"/>
          <w:lang w:eastAsia="ru-RU"/>
        </w:rPr>
        <w:t>23. Filippenko, A.V., Morozova, I.V., Ivanova, I.A. Murakkab immunoglobulin preparatining (CIP) Yersiniya jinsi vakillari tomonidan olib borilgan eksperimental in</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fektsiyalarga ta'siri. Immunopatologiya va im</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munoreabilitatsiya: nazariyadan amaliyotga. // Mater. Butunrossiya ilmiy-amaliy. konf. - Penza, 2015. - S. 79-80.</w:t>
      </w:r>
    </w:p>
    <w:p w14:paraId="33837111"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sectPr w:rsidR="00DD566D" w:rsidSect="003F357C">
          <w:type w:val="continuous"/>
          <w:pgSz w:w="11907" w:h="16840" w:code="9"/>
          <w:pgMar w:top="1418" w:right="1134" w:bottom="1134" w:left="1134" w:header="907" w:footer="794" w:gutter="0"/>
          <w:cols w:num="2" w:space="708"/>
          <w:docGrid w:linePitch="381"/>
        </w:sectPr>
      </w:pPr>
      <w:r w:rsidRPr="003F357C">
        <w:rPr>
          <w:rFonts w:eastAsia="Times New Roman" w:cs="Times New Roman"/>
          <w:color w:val="202124"/>
          <w:sz w:val="24"/>
          <w:szCs w:val="24"/>
          <w:lang w:eastAsia="ru-RU"/>
        </w:rPr>
        <w:t>24. Doroshenko, E.P., Omelchenko, N.D., Morozova, I.V. Psevdotuberkulyoz in</w:t>
      </w:r>
      <w:r>
        <w:rPr>
          <w:rFonts w:eastAsia="Times New Roman" w:cs="Times New Roman"/>
          <w:color w:val="202124"/>
          <w:sz w:val="24"/>
          <w:szCs w:val="24"/>
          <w:lang w:eastAsia="ru-RU"/>
        </w:rPr>
        <w:softHyphen/>
      </w:r>
      <w:r w:rsidRPr="003F357C">
        <w:rPr>
          <w:rFonts w:eastAsia="Times New Roman" w:cs="Times New Roman"/>
          <w:color w:val="202124"/>
          <w:sz w:val="24"/>
          <w:szCs w:val="24"/>
          <w:lang w:eastAsia="ru-RU"/>
        </w:rPr>
        <w:t>fektsiyasini davolashda yangi yondashuv. // Yuqumli kasalliklar. - 2015. - № 13 (1-ilova). - S. 113.</w:t>
      </w:r>
    </w:p>
    <w:p w14:paraId="54956CA5" w14:textId="77777777" w:rsidR="00DD566D" w:rsidRPr="00525787"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0375DD1F" w14:textId="77777777" w:rsidR="00DD566D" w:rsidRDefault="00DD566D" w:rsidP="00DD566D">
      <w:pPr>
        <w:spacing w:line="276" w:lineRule="auto"/>
        <w:ind w:firstLine="567"/>
        <w:jc w:val="both"/>
        <w:rPr>
          <w:rFonts w:eastAsia="Times New Roman" w:cs="Times New Roman"/>
          <w:sz w:val="24"/>
          <w:szCs w:val="24"/>
          <w:lang w:val="uz-Latn-UZ" w:eastAsia="ru-RU"/>
        </w:rPr>
        <w:sectPr w:rsidR="00DD566D" w:rsidSect="00C23D03">
          <w:type w:val="continuous"/>
          <w:pgSz w:w="11907" w:h="16840" w:code="9"/>
          <w:pgMar w:top="1418" w:right="1134" w:bottom="1134" w:left="1134" w:header="907" w:footer="794" w:gutter="0"/>
          <w:cols w:space="708"/>
          <w:docGrid w:linePitch="381"/>
        </w:sectPr>
      </w:pPr>
    </w:p>
    <w:p w14:paraId="5BB0A64F" w14:textId="77777777" w:rsidR="00DD566D" w:rsidRDefault="00DD566D" w:rsidP="00DD566D">
      <w:pPr>
        <w:spacing w:line="276" w:lineRule="auto"/>
        <w:ind w:firstLine="567"/>
        <w:jc w:val="both"/>
        <w:rPr>
          <w:rFonts w:eastAsia="Times New Roman" w:cs="Times New Roman"/>
          <w:sz w:val="24"/>
          <w:szCs w:val="24"/>
          <w:lang w:val="uz-Latn-UZ" w:eastAsia="ru-RU"/>
        </w:rPr>
      </w:pPr>
    </w:p>
    <w:p w14:paraId="22E8F972" w14:textId="77777777" w:rsidR="00DD566D" w:rsidRDefault="00DD566D" w:rsidP="00DD566D">
      <w:pPr>
        <w:spacing w:line="276" w:lineRule="auto"/>
        <w:ind w:firstLine="567"/>
        <w:jc w:val="both"/>
        <w:rPr>
          <w:rFonts w:eastAsia="Times New Roman" w:cs="Times New Roman"/>
          <w:sz w:val="24"/>
          <w:szCs w:val="24"/>
          <w:lang w:val="uz-Latn-UZ" w:eastAsia="ru-RU"/>
        </w:rPr>
      </w:pPr>
    </w:p>
    <w:p w14:paraId="5EB64E99" w14:textId="77777777" w:rsidR="00DD566D" w:rsidRDefault="00DD566D" w:rsidP="00DD566D">
      <w:pPr>
        <w:spacing w:line="276" w:lineRule="auto"/>
        <w:ind w:firstLine="567"/>
        <w:jc w:val="both"/>
        <w:rPr>
          <w:rFonts w:eastAsia="Times New Roman" w:cs="Times New Roman"/>
          <w:sz w:val="24"/>
          <w:szCs w:val="24"/>
          <w:lang w:val="uz-Latn-UZ" w:eastAsia="ru-RU"/>
        </w:rPr>
      </w:pPr>
    </w:p>
    <w:p w14:paraId="12F228AA" w14:textId="77777777" w:rsidR="00DD566D" w:rsidRDefault="00DD566D" w:rsidP="00DD566D">
      <w:pPr>
        <w:spacing w:line="276" w:lineRule="auto"/>
        <w:ind w:firstLine="567"/>
        <w:jc w:val="both"/>
        <w:rPr>
          <w:rFonts w:eastAsia="Times New Roman" w:cs="Times New Roman"/>
          <w:sz w:val="24"/>
          <w:szCs w:val="24"/>
          <w:lang w:val="uz-Latn-UZ" w:eastAsia="ru-RU"/>
        </w:rPr>
      </w:pPr>
    </w:p>
    <w:p w14:paraId="6F0EB681" w14:textId="77777777" w:rsidR="00DD566D" w:rsidRDefault="00DD566D" w:rsidP="00DD566D">
      <w:pPr>
        <w:spacing w:line="276" w:lineRule="auto"/>
        <w:ind w:firstLine="567"/>
        <w:jc w:val="both"/>
        <w:rPr>
          <w:rFonts w:eastAsia="Times New Roman" w:cs="Times New Roman"/>
          <w:sz w:val="24"/>
          <w:szCs w:val="24"/>
          <w:lang w:val="uz-Latn-UZ" w:eastAsia="ru-RU"/>
        </w:rPr>
        <w:sectPr w:rsidR="00DD566D" w:rsidSect="00C23D03">
          <w:type w:val="continuous"/>
          <w:pgSz w:w="11907" w:h="16840" w:code="9"/>
          <w:pgMar w:top="1418" w:right="1134" w:bottom="1134" w:left="1134" w:header="907" w:footer="794" w:gutter="0"/>
          <w:cols w:space="708"/>
          <w:docGrid w:linePitch="381"/>
        </w:sectPr>
      </w:pPr>
    </w:p>
    <w:p w14:paraId="227C6E46" w14:textId="77777777" w:rsidR="00DD566D" w:rsidRDefault="00DD566D" w:rsidP="00DD566D">
      <w:pPr>
        <w:spacing w:line="276" w:lineRule="auto"/>
        <w:ind w:firstLine="567"/>
        <w:jc w:val="both"/>
        <w:rPr>
          <w:rFonts w:eastAsia="Times New Roman" w:cs="Times New Roman"/>
          <w:sz w:val="24"/>
          <w:szCs w:val="24"/>
          <w:lang w:val="uz-Latn-UZ" w:eastAsia="ru-RU"/>
        </w:rPr>
      </w:pPr>
    </w:p>
    <w:p w14:paraId="1A9F2D34" w14:textId="77777777" w:rsidR="00DD566D" w:rsidRDefault="00DD566D" w:rsidP="00DD566D">
      <w:pPr>
        <w:spacing w:line="276" w:lineRule="auto"/>
        <w:ind w:firstLine="567"/>
        <w:jc w:val="both"/>
        <w:rPr>
          <w:rFonts w:eastAsia="Times New Roman" w:cs="Times New Roman"/>
          <w:sz w:val="24"/>
          <w:szCs w:val="24"/>
          <w:lang w:val="uz-Latn-UZ" w:eastAsia="ru-RU"/>
        </w:rPr>
      </w:pPr>
    </w:p>
    <w:p w14:paraId="6795D916" w14:textId="77777777" w:rsidR="00DD566D" w:rsidRDefault="00DD566D" w:rsidP="00DD566D">
      <w:pPr>
        <w:spacing w:line="276" w:lineRule="auto"/>
        <w:ind w:firstLine="567"/>
        <w:jc w:val="both"/>
        <w:rPr>
          <w:rFonts w:eastAsia="Times New Roman" w:cs="Times New Roman"/>
          <w:sz w:val="24"/>
          <w:szCs w:val="24"/>
          <w:lang w:val="uz-Latn-UZ" w:eastAsia="ru-RU"/>
        </w:rPr>
      </w:pPr>
    </w:p>
    <w:p w14:paraId="7AB61FD8" w14:textId="77777777" w:rsidR="00DD566D" w:rsidRDefault="00DD566D" w:rsidP="00DD566D">
      <w:pPr>
        <w:spacing w:line="276" w:lineRule="auto"/>
        <w:ind w:firstLine="567"/>
        <w:jc w:val="both"/>
        <w:rPr>
          <w:rFonts w:eastAsia="Times New Roman" w:cs="Times New Roman"/>
          <w:sz w:val="24"/>
          <w:szCs w:val="24"/>
          <w:lang w:val="uz-Latn-UZ" w:eastAsia="ru-RU"/>
        </w:rPr>
      </w:pPr>
    </w:p>
    <w:p w14:paraId="37F08F2A" w14:textId="77777777" w:rsidR="00DD566D" w:rsidRDefault="00DD566D" w:rsidP="00DD566D">
      <w:pPr>
        <w:spacing w:line="276" w:lineRule="auto"/>
        <w:ind w:firstLine="567"/>
        <w:jc w:val="both"/>
        <w:rPr>
          <w:rFonts w:eastAsia="Times New Roman" w:cs="Times New Roman"/>
          <w:sz w:val="24"/>
          <w:szCs w:val="24"/>
          <w:lang w:val="uz-Latn-UZ" w:eastAsia="ru-RU"/>
        </w:rPr>
      </w:pPr>
    </w:p>
    <w:p w14:paraId="22B1151A" w14:textId="77777777" w:rsidR="00DD566D" w:rsidRDefault="00DD566D" w:rsidP="00DD566D">
      <w:pPr>
        <w:spacing w:line="276" w:lineRule="auto"/>
        <w:ind w:firstLine="567"/>
        <w:jc w:val="both"/>
        <w:rPr>
          <w:rFonts w:eastAsia="Times New Roman" w:cs="Times New Roman"/>
          <w:sz w:val="24"/>
          <w:szCs w:val="24"/>
          <w:lang w:val="uz-Latn-UZ" w:eastAsia="ru-RU"/>
        </w:rPr>
      </w:pPr>
    </w:p>
    <w:p w14:paraId="7E834DEC" w14:textId="77777777" w:rsidR="00DD566D" w:rsidRDefault="00DD566D" w:rsidP="00DD566D">
      <w:pPr>
        <w:spacing w:line="276" w:lineRule="auto"/>
        <w:ind w:firstLine="567"/>
        <w:jc w:val="both"/>
        <w:rPr>
          <w:rFonts w:eastAsia="Times New Roman" w:cs="Times New Roman"/>
          <w:sz w:val="24"/>
          <w:szCs w:val="24"/>
          <w:lang w:val="uz-Latn-UZ" w:eastAsia="ru-RU"/>
        </w:rPr>
      </w:pPr>
    </w:p>
    <w:p w14:paraId="0E5161E1" w14:textId="77777777" w:rsidR="00DD566D" w:rsidRDefault="00DD566D" w:rsidP="00DD566D">
      <w:pPr>
        <w:spacing w:line="276" w:lineRule="auto"/>
        <w:ind w:firstLine="567"/>
        <w:jc w:val="both"/>
        <w:rPr>
          <w:rFonts w:eastAsia="Times New Roman" w:cs="Times New Roman"/>
          <w:sz w:val="24"/>
          <w:szCs w:val="24"/>
          <w:lang w:val="uz-Latn-UZ" w:eastAsia="ru-RU"/>
        </w:rPr>
      </w:pPr>
    </w:p>
    <w:p w14:paraId="6324B40D" w14:textId="77777777" w:rsidR="00DD566D" w:rsidRDefault="00DD566D" w:rsidP="00DD566D">
      <w:pPr>
        <w:spacing w:line="276" w:lineRule="auto"/>
        <w:ind w:firstLine="567"/>
        <w:jc w:val="both"/>
        <w:rPr>
          <w:rFonts w:eastAsia="Times New Roman" w:cs="Times New Roman"/>
          <w:sz w:val="24"/>
          <w:szCs w:val="24"/>
          <w:lang w:val="uz-Latn-UZ" w:eastAsia="ru-RU"/>
        </w:rPr>
      </w:pPr>
    </w:p>
    <w:p w14:paraId="121C4339" w14:textId="77777777" w:rsidR="00DD566D" w:rsidRDefault="00DD566D" w:rsidP="00DD566D">
      <w:pPr>
        <w:spacing w:line="276" w:lineRule="auto"/>
        <w:ind w:firstLine="567"/>
        <w:jc w:val="both"/>
        <w:rPr>
          <w:rFonts w:eastAsia="Times New Roman" w:cs="Times New Roman"/>
          <w:sz w:val="24"/>
          <w:szCs w:val="24"/>
          <w:lang w:val="uz-Latn-UZ" w:eastAsia="ru-RU"/>
        </w:rPr>
      </w:pPr>
    </w:p>
    <w:p w14:paraId="614B95C8" w14:textId="77777777" w:rsidR="00DD566D" w:rsidRDefault="00DD566D" w:rsidP="00DD566D">
      <w:pPr>
        <w:spacing w:line="276" w:lineRule="auto"/>
        <w:ind w:firstLine="567"/>
        <w:jc w:val="both"/>
        <w:rPr>
          <w:rFonts w:eastAsia="Times New Roman" w:cs="Times New Roman"/>
          <w:sz w:val="24"/>
          <w:szCs w:val="24"/>
          <w:lang w:val="uz-Latn-UZ" w:eastAsia="ru-RU"/>
        </w:rPr>
      </w:pPr>
    </w:p>
    <w:p w14:paraId="2BBDFCB7" w14:textId="77777777" w:rsidR="00DD566D" w:rsidRDefault="00DD566D" w:rsidP="00DD566D">
      <w:pPr>
        <w:spacing w:line="276" w:lineRule="auto"/>
        <w:ind w:firstLine="567"/>
        <w:jc w:val="both"/>
        <w:rPr>
          <w:rFonts w:eastAsia="Times New Roman" w:cs="Times New Roman"/>
          <w:sz w:val="24"/>
          <w:szCs w:val="24"/>
          <w:lang w:val="uz-Latn-UZ" w:eastAsia="ru-RU"/>
        </w:rPr>
      </w:pPr>
    </w:p>
    <w:p w14:paraId="3294B0E7" w14:textId="77777777" w:rsidR="00DD566D" w:rsidRDefault="00DD566D" w:rsidP="00DD566D">
      <w:pPr>
        <w:spacing w:line="276" w:lineRule="auto"/>
        <w:ind w:firstLine="567"/>
        <w:jc w:val="both"/>
        <w:rPr>
          <w:rFonts w:eastAsia="Times New Roman" w:cs="Times New Roman"/>
          <w:sz w:val="24"/>
          <w:szCs w:val="24"/>
          <w:lang w:val="uz-Latn-UZ" w:eastAsia="ru-RU"/>
        </w:rPr>
      </w:pPr>
    </w:p>
    <w:p w14:paraId="0D535F25" w14:textId="77777777" w:rsidR="00DD566D" w:rsidRDefault="00DD566D" w:rsidP="00DD566D">
      <w:pPr>
        <w:spacing w:line="276" w:lineRule="auto"/>
        <w:ind w:firstLine="567"/>
        <w:jc w:val="both"/>
        <w:rPr>
          <w:rFonts w:eastAsia="Times New Roman" w:cs="Times New Roman"/>
          <w:sz w:val="24"/>
          <w:szCs w:val="24"/>
          <w:lang w:val="uz-Latn-UZ" w:eastAsia="ru-RU"/>
        </w:rPr>
      </w:pPr>
    </w:p>
    <w:p w14:paraId="5275BE05" w14:textId="77777777" w:rsidR="00DD566D" w:rsidRDefault="00DD566D" w:rsidP="00DD566D">
      <w:pPr>
        <w:spacing w:line="276" w:lineRule="auto"/>
        <w:ind w:firstLine="567"/>
        <w:jc w:val="both"/>
        <w:rPr>
          <w:rFonts w:eastAsia="Times New Roman" w:cs="Times New Roman"/>
          <w:sz w:val="24"/>
          <w:szCs w:val="24"/>
          <w:lang w:val="uz-Latn-UZ" w:eastAsia="ru-RU"/>
        </w:rPr>
      </w:pPr>
    </w:p>
    <w:p w14:paraId="0A07ACC6" w14:textId="77777777" w:rsidR="00DD566D" w:rsidRDefault="00DD566D" w:rsidP="00DD566D">
      <w:pPr>
        <w:spacing w:line="276" w:lineRule="auto"/>
        <w:ind w:firstLine="567"/>
        <w:jc w:val="both"/>
        <w:rPr>
          <w:rFonts w:eastAsia="Times New Roman" w:cs="Times New Roman"/>
          <w:sz w:val="24"/>
          <w:szCs w:val="24"/>
          <w:lang w:val="uz-Latn-UZ" w:eastAsia="ru-RU"/>
        </w:rPr>
      </w:pPr>
    </w:p>
    <w:p w14:paraId="637BCB12" w14:textId="77777777" w:rsidR="00DD566D" w:rsidRDefault="00DD566D" w:rsidP="00DD566D">
      <w:pPr>
        <w:spacing w:line="276" w:lineRule="auto"/>
        <w:ind w:firstLine="567"/>
        <w:jc w:val="both"/>
        <w:rPr>
          <w:rFonts w:eastAsia="Times New Roman" w:cs="Times New Roman"/>
          <w:sz w:val="24"/>
          <w:szCs w:val="24"/>
          <w:lang w:val="uz-Latn-UZ" w:eastAsia="ru-RU"/>
        </w:rPr>
      </w:pPr>
    </w:p>
    <w:p w14:paraId="1F2A52A6" w14:textId="77777777" w:rsidR="00DD566D" w:rsidRDefault="00DD566D" w:rsidP="00DD566D">
      <w:pPr>
        <w:spacing w:line="276" w:lineRule="auto"/>
        <w:ind w:firstLine="567"/>
        <w:jc w:val="both"/>
        <w:rPr>
          <w:rFonts w:eastAsia="Times New Roman" w:cs="Times New Roman"/>
          <w:sz w:val="24"/>
          <w:szCs w:val="24"/>
          <w:lang w:val="uz-Latn-UZ" w:eastAsia="ru-RU"/>
        </w:rPr>
      </w:pPr>
    </w:p>
    <w:p w14:paraId="35B16D5E" w14:textId="77777777" w:rsidR="00DD566D" w:rsidRDefault="00DD566D" w:rsidP="00DD566D">
      <w:pPr>
        <w:spacing w:line="276" w:lineRule="auto"/>
        <w:ind w:firstLine="567"/>
        <w:jc w:val="both"/>
        <w:rPr>
          <w:rFonts w:eastAsia="Times New Roman" w:cs="Times New Roman"/>
          <w:sz w:val="24"/>
          <w:szCs w:val="24"/>
          <w:lang w:val="uz-Latn-UZ" w:eastAsia="ru-RU"/>
        </w:rPr>
      </w:pPr>
    </w:p>
    <w:p w14:paraId="72BD786D" w14:textId="77777777" w:rsidR="00DD566D" w:rsidRPr="00695033"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Cs/>
          <w:color w:val="000000"/>
          <w:sz w:val="24"/>
          <w:szCs w:val="24"/>
          <w:lang w:val="uz-Latn-UZ" w:eastAsia="ru-RU" w:bidi="ru-RU"/>
        </w:rPr>
      </w:pPr>
      <w:r w:rsidRPr="00525787">
        <w:rPr>
          <w:rFonts w:eastAsia="Times New Roman" w:cs="Times New Roman"/>
          <w:bCs/>
          <w:color w:val="202124"/>
          <w:sz w:val="24"/>
          <w:szCs w:val="24"/>
          <w:lang w:val="uz-Latn-UZ" w:eastAsia="ru-RU"/>
        </w:rPr>
        <w:t>UDC:</w:t>
      </w:r>
      <w:r w:rsidRPr="00695033">
        <w:rPr>
          <w:rFonts w:eastAsia="Times New Roman" w:cs="Times New Roman"/>
          <w:bCs/>
          <w:color w:val="202124"/>
          <w:sz w:val="24"/>
          <w:szCs w:val="24"/>
          <w:lang w:val="uz-Latn-UZ" w:eastAsia="ru-RU"/>
        </w:rPr>
        <w:t xml:space="preserve"> </w:t>
      </w:r>
      <w:r w:rsidRPr="00525787">
        <w:rPr>
          <w:rFonts w:eastAsia="Times New Roman" w:cs="Times New Roman"/>
          <w:bCs/>
          <w:color w:val="000000"/>
          <w:sz w:val="24"/>
          <w:szCs w:val="24"/>
          <w:lang w:val="uz-Latn-UZ" w:eastAsia="ru-RU" w:bidi="ru-RU"/>
        </w:rPr>
        <w:t>16.984.45:616- 084:616-018</w:t>
      </w:r>
    </w:p>
    <w:p w14:paraId="69C1E029" w14:textId="77777777" w:rsidR="00DD566D" w:rsidRPr="00695033"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sz w:val="24"/>
          <w:szCs w:val="24"/>
          <w:lang w:val="uz-Latn-UZ" w:eastAsia="ru-RU"/>
        </w:rPr>
      </w:pPr>
    </w:p>
    <w:p w14:paraId="4DC17AC2" w14:textId="77777777" w:rsidR="00DD566D" w:rsidRPr="00695033" w:rsidRDefault="00DD566D" w:rsidP="00DD566D">
      <w:pPr>
        <w:pStyle w:val="1"/>
      </w:pPr>
      <w:bookmarkStart w:id="3" w:name="_Toc104745749"/>
      <w:r w:rsidRPr="00695033">
        <w:t>THE RELATIONSHIP BETWEEN CORONARY CALCIUM AND THE LEVEL OF CORONARY ARTERY STENOSIS ACCORDING TO CORONARY ANGIOGRAPHY</w:t>
      </w:r>
      <w:bookmarkEnd w:id="3"/>
    </w:p>
    <w:p w14:paraId="128F339B" w14:textId="77777777" w:rsidR="00DD566D" w:rsidRDefault="00DD566D" w:rsidP="00DD566D">
      <w:pPr>
        <w:spacing w:line="276" w:lineRule="auto"/>
        <w:jc w:val="center"/>
        <w:rPr>
          <w:rFonts w:eastAsia="Times New Roman" w:cs="Times New Roman"/>
          <w:b/>
          <w:sz w:val="24"/>
          <w:szCs w:val="24"/>
          <w:lang w:val="uz-Latn-UZ" w:eastAsia="ru-RU"/>
        </w:rPr>
      </w:pPr>
    </w:p>
    <w:p w14:paraId="1ABB6D98" w14:textId="77777777" w:rsidR="00DD566D" w:rsidRPr="00695033" w:rsidRDefault="00DD566D" w:rsidP="00DD566D">
      <w:pPr>
        <w:spacing w:line="276" w:lineRule="auto"/>
        <w:jc w:val="center"/>
        <w:rPr>
          <w:rFonts w:eastAsia="Times New Roman" w:cs="Times New Roman"/>
          <w:b/>
          <w:bCs/>
          <w:sz w:val="24"/>
          <w:szCs w:val="24"/>
          <w:lang w:eastAsia="ru-RU"/>
        </w:rPr>
      </w:pPr>
      <w:r w:rsidRPr="00695033">
        <w:rPr>
          <w:rFonts w:eastAsia="Times New Roman" w:cs="Times New Roman"/>
          <w:b/>
          <w:bCs/>
          <w:sz w:val="24"/>
          <w:szCs w:val="24"/>
          <w:lang w:eastAsia="ru-RU"/>
        </w:rPr>
        <w:t>Yusupalieva D.B., 1</w:t>
      </w:r>
      <w:r w:rsidRPr="00695033">
        <w:rPr>
          <w:rFonts w:eastAsia="Times New Roman" w:cs="Times New Roman"/>
          <w:b/>
          <w:bCs/>
          <w:sz w:val="24"/>
          <w:szCs w:val="24"/>
          <w:vertAlign w:val="superscript"/>
          <w:lang w:eastAsia="ru-RU"/>
        </w:rPr>
        <w:t>st</w:t>
      </w:r>
      <w:r w:rsidRPr="00695033">
        <w:rPr>
          <w:rFonts w:eastAsia="Times New Roman" w:cs="Times New Roman"/>
          <w:b/>
          <w:bCs/>
          <w:sz w:val="24"/>
          <w:szCs w:val="24"/>
          <w:lang w:eastAsia="ru-RU"/>
        </w:rPr>
        <w:t xml:space="preserve"> year student of the Master's degree in Cardiology</w:t>
      </w:r>
    </w:p>
    <w:p w14:paraId="2368211C" w14:textId="77777777" w:rsidR="00DD566D" w:rsidRPr="00695033" w:rsidRDefault="00DD566D" w:rsidP="00DD566D">
      <w:pPr>
        <w:spacing w:line="276" w:lineRule="auto"/>
        <w:jc w:val="center"/>
        <w:rPr>
          <w:rFonts w:eastAsia="Times New Roman" w:cs="Times New Roman"/>
          <w:b/>
          <w:bCs/>
          <w:sz w:val="24"/>
          <w:szCs w:val="24"/>
          <w:lang w:val="it-IT" w:eastAsia="ru-RU"/>
        </w:rPr>
      </w:pPr>
      <w:r w:rsidRPr="00695033">
        <w:rPr>
          <w:rFonts w:eastAsia="Times New Roman" w:cs="Times New Roman"/>
          <w:b/>
          <w:bCs/>
          <w:sz w:val="24"/>
          <w:szCs w:val="24"/>
          <w:lang w:val="it-IT" w:eastAsia="ru-RU"/>
        </w:rPr>
        <w:t>Shukurdzhanova S.M., PhD, associate professor</w:t>
      </w:r>
    </w:p>
    <w:p w14:paraId="6CCAEE2F" w14:textId="77777777" w:rsidR="00DD566D" w:rsidRPr="00695033" w:rsidRDefault="00DD566D" w:rsidP="00DD566D">
      <w:pPr>
        <w:spacing w:line="276" w:lineRule="auto"/>
        <w:jc w:val="center"/>
        <w:rPr>
          <w:rFonts w:eastAsia="Times New Roman" w:cs="Times New Roman"/>
          <w:sz w:val="24"/>
          <w:szCs w:val="24"/>
          <w:lang w:eastAsia="ru-RU"/>
        </w:rPr>
      </w:pPr>
      <w:r w:rsidRPr="00695033">
        <w:rPr>
          <w:rFonts w:eastAsia="Times New Roman" w:cs="Times New Roman"/>
          <w:sz w:val="24"/>
          <w:szCs w:val="24"/>
          <w:lang w:eastAsia="ru-RU"/>
        </w:rPr>
        <w:t>Department of Internal Diseases No. 1</w:t>
      </w:r>
    </w:p>
    <w:p w14:paraId="40207810" w14:textId="77777777" w:rsidR="00DD566D" w:rsidRPr="00695033" w:rsidRDefault="00DD566D" w:rsidP="00DD566D">
      <w:pPr>
        <w:spacing w:line="276" w:lineRule="auto"/>
        <w:jc w:val="center"/>
        <w:rPr>
          <w:rFonts w:eastAsia="Times New Roman" w:cs="Times New Roman"/>
          <w:sz w:val="24"/>
          <w:szCs w:val="24"/>
          <w:lang w:eastAsia="ru-RU"/>
        </w:rPr>
      </w:pPr>
      <w:r w:rsidRPr="00695033">
        <w:rPr>
          <w:rFonts w:eastAsia="Times New Roman" w:cs="Times New Roman"/>
          <w:sz w:val="24"/>
          <w:szCs w:val="24"/>
          <w:lang w:eastAsia="ru-RU"/>
        </w:rPr>
        <w:t>Tashkent Medical Academy, Tashkent, Uzbekistan</w:t>
      </w:r>
    </w:p>
    <w:p w14:paraId="38AAC25F" w14:textId="77777777" w:rsidR="00DD566D" w:rsidRDefault="00DD566D" w:rsidP="00DD566D">
      <w:pPr>
        <w:spacing w:line="276" w:lineRule="auto"/>
        <w:jc w:val="center"/>
        <w:rPr>
          <w:rFonts w:eastAsia="Times New Roman" w:cs="Times New Roman"/>
          <w:b/>
          <w:sz w:val="24"/>
          <w:szCs w:val="24"/>
          <w:lang w:val="uz-Latn-UZ" w:eastAsia="ru-RU"/>
        </w:rPr>
      </w:pPr>
    </w:p>
    <w:p w14:paraId="09EF9812" w14:textId="77777777" w:rsidR="00DD566D" w:rsidRPr="00695033" w:rsidRDefault="00DD566D" w:rsidP="00DD566D">
      <w:pPr>
        <w:spacing w:line="276" w:lineRule="auto"/>
        <w:ind w:firstLine="567"/>
        <w:jc w:val="both"/>
        <w:rPr>
          <w:rFonts w:eastAsia="Times New Roman" w:cs="Times New Roman"/>
          <w:i/>
          <w:iCs/>
          <w:sz w:val="24"/>
          <w:szCs w:val="24"/>
          <w:lang w:eastAsia="ru-RU"/>
        </w:rPr>
      </w:pPr>
      <w:r w:rsidRPr="00695033">
        <w:rPr>
          <w:rFonts w:eastAsia="Times New Roman" w:cs="Times New Roman"/>
          <w:b/>
          <w:i/>
          <w:iCs/>
          <w:sz w:val="24"/>
          <w:szCs w:val="24"/>
          <w:lang w:eastAsia="ru-RU"/>
        </w:rPr>
        <w:t xml:space="preserve">Abstract. </w:t>
      </w:r>
      <w:r w:rsidRPr="00695033">
        <w:rPr>
          <w:rFonts w:eastAsia="Times New Roman" w:cs="Times New Roman"/>
          <w:i/>
          <w:iCs/>
          <w:sz w:val="24"/>
          <w:szCs w:val="24"/>
          <w:lang w:eastAsia="ru-RU"/>
        </w:rPr>
        <w:t>Coronary heart disease is the leading cause of death worldwide, particularly in Uzbekistan. Early diagnosis of coronary heart disease is one of the primary tasks of clinical medicine. The coronary calcium index is considered one of the strongest tools for predicting the risk of coronary heart disease. Due to the ease of implementation, cost-effectiveness and practically no contraindications, the determination of the calcium index has become widespread, especially during screening in patients with suspected coronary heart disease. The CC index correlates with the level of CA stenosis according to CAG data. This method is included in the American and European recommendations for the diagnosis of coronary heart disease, it has proven its high prognostic value, especially with CI = 0, and can serve as a starting point in changes in recommendations for prescribing statins to asymptomatic patients.</w:t>
      </w:r>
    </w:p>
    <w:p w14:paraId="47A9B10C" w14:textId="77777777" w:rsidR="00DD566D" w:rsidRPr="00695033" w:rsidRDefault="00DD566D" w:rsidP="00DD566D">
      <w:pPr>
        <w:spacing w:line="276" w:lineRule="auto"/>
        <w:ind w:firstLine="567"/>
        <w:jc w:val="both"/>
        <w:rPr>
          <w:rFonts w:eastAsia="Times New Roman" w:cs="Times New Roman"/>
          <w:i/>
          <w:iCs/>
          <w:sz w:val="24"/>
          <w:szCs w:val="24"/>
          <w:lang w:eastAsia="ru-RU"/>
        </w:rPr>
      </w:pPr>
      <w:r w:rsidRPr="00695033">
        <w:rPr>
          <w:rFonts w:eastAsia="Times New Roman" w:cs="Times New Roman"/>
          <w:b/>
          <w:i/>
          <w:iCs/>
          <w:sz w:val="24"/>
          <w:szCs w:val="24"/>
          <w:lang w:eastAsia="ru-RU"/>
        </w:rPr>
        <w:t xml:space="preserve">Key words: </w:t>
      </w:r>
      <w:r w:rsidRPr="00695033">
        <w:rPr>
          <w:rFonts w:eastAsia="Times New Roman" w:cs="Times New Roman"/>
          <w:i/>
          <w:iCs/>
          <w:sz w:val="24"/>
          <w:szCs w:val="24"/>
          <w:lang w:eastAsia="ru-RU"/>
        </w:rPr>
        <w:t xml:space="preserve">Agatston index, MSCT, coronary calcium, cardiovascular diseases, coronary angiography, coronary arteries. </w:t>
      </w:r>
    </w:p>
    <w:p w14:paraId="53F9F046" w14:textId="77777777" w:rsidR="00DD566D" w:rsidRPr="00695033" w:rsidRDefault="00DD566D" w:rsidP="00DD566D">
      <w:pPr>
        <w:spacing w:line="276" w:lineRule="auto"/>
        <w:jc w:val="center"/>
        <w:rPr>
          <w:rFonts w:eastAsia="Times New Roman" w:cs="Times New Roman"/>
          <w:b/>
          <w:sz w:val="24"/>
          <w:szCs w:val="24"/>
          <w:lang w:eastAsia="ru-RU"/>
        </w:rPr>
      </w:pPr>
    </w:p>
    <w:p w14:paraId="3683A23E" w14:textId="77777777" w:rsidR="00DD566D" w:rsidRDefault="00DD566D" w:rsidP="00DD566D">
      <w:pPr>
        <w:spacing w:line="276" w:lineRule="auto"/>
        <w:jc w:val="center"/>
        <w:rPr>
          <w:rFonts w:eastAsia="Times New Roman" w:cs="Times New Roman"/>
          <w:b/>
          <w:sz w:val="24"/>
          <w:szCs w:val="24"/>
          <w:lang w:val="uz-Latn-UZ" w:eastAsia="ru-RU"/>
        </w:rPr>
      </w:pPr>
    </w:p>
    <w:p w14:paraId="72F4052E" w14:textId="77777777" w:rsidR="00DD566D" w:rsidRPr="00695033" w:rsidRDefault="00DD566D" w:rsidP="00DD566D">
      <w:pPr>
        <w:spacing w:line="276" w:lineRule="auto"/>
        <w:jc w:val="center"/>
        <w:rPr>
          <w:rFonts w:eastAsia="Times New Roman" w:cs="Times New Roman"/>
          <w:b/>
          <w:sz w:val="24"/>
          <w:szCs w:val="24"/>
          <w:lang w:val="uz-Latn-UZ" w:eastAsia="ru-RU"/>
        </w:rPr>
      </w:pPr>
      <w:r w:rsidRPr="00695033">
        <w:rPr>
          <w:rFonts w:eastAsia="Times New Roman" w:cs="Times New Roman"/>
          <w:b/>
          <w:sz w:val="24"/>
          <w:szCs w:val="24"/>
          <w:lang w:val="uz-Latn-UZ" w:eastAsia="ru-RU"/>
        </w:rPr>
        <w:t>KORONAR KALSIY VA KORONAR ANGIOGRAFIYA BO'YICHA KORONAR ARTERIYALAR STENOZI DARAJASI O'RTASIDAGI BOG'LIQLIK</w:t>
      </w:r>
    </w:p>
    <w:p w14:paraId="16779BB1" w14:textId="77777777" w:rsidR="00DD566D" w:rsidRDefault="00DD566D" w:rsidP="00DD566D">
      <w:pPr>
        <w:spacing w:line="276" w:lineRule="auto"/>
        <w:ind w:firstLine="567"/>
        <w:jc w:val="both"/>
        <w:rPr>
          <w:rFonts w:eastAsia="Times New Roman" w:cs="Times New Roman"/>
          <w:b/>
          <w:sz w:val="24"/>
          <w:szCs w:val="24"/>
          <w:lang w:val="uz-Latn-UZ" w:eastAsia="ru-RU"/>
        </w:rPr>
      </w:pPr>
    </w:p>
    <w:p w14:paraId="059C9106" w14:textId="77777777" w:rsidR="00DD566D" w:rsidRPr="00695033" w:rsidRDefault="00DD566D" w:rsidP="00DD566D">
      <w:pPr>
        <w:spacing w:line="276" w:lineRule="auto"/>
        <w:ind w:firstLine="567"/>
        <w:jc w:val="both"/>
        <w:rPr>
          <w:rFonts w:eastAsia="Times New Roman" w:cs="Times New Roman"/>
          <w:i/>
          <w:iCs/>
          <w:sz w:val="24"/>
          <w:szCs w:val="24"/>
          <w:lang w:val="uz-Latn-UZ" w:eastAsia="ru-RU"/>
        </w:rPr>
      </w:pPr>
      <w:r w:rsidRPr="00695033">
        <w:rPr>
          <w:rFonts w:eastAsia="Times New Roman" w:cs="Times New Roman"/>
          <w:b/>
          <w:i/>
          <w:iCs/>
          <w:sz w:val="24"/>
          <w:szCs w:val="24"/>
          <w:lang w:val="uz-Latn-UZ" w:eastAsia="ru-RU"/>
        </w:rPr>
        <w:t>Annotatsiya</w:t>
      </w:r>
      <w:r w:rsidRPr="00BC6CB6">
        <w:rPr>
          <w:rFonts w:eastAsia="Times New Roman" w:cs="Times New Roman"/>
          <w:b/>
          <w:i/>
          <w:iCs/>
          <w:sz w:val="24"/>
          <w:szCs w:val="24"/>
          <w:lang w:val="uz-Latn-UZ" w:eastAsia="ru-RU"/>
        </w:rPr>
        <w:t xml:space="preserve">. </w:t>
      </w:r>
      <w:r w:rsidRPr="00695033">
        <w:rPr>
          <w:rFonts w:eastAsia="Times New Roman" w:cs="Times New Roman"/>
          <w:i/>
          <w:iCs/>
          <w:sz w:val="24"/>
          <w:szCs w:val="24"/>
          <w:lang w:val="uz-Latn-UZ" w:eastAsia="ru-RU"/>
        </w:rPr>
        <w:t>Yurak ishemik kasalligi butun dunyoda, shu jumladan, O'zbekistonda o'limning etakchi sababidir. YuIK ning erta diagnostikasi klinik tibbiyotning asosiy vazifalaridan biridir. Koronar kalsiy ko'rsatkichi koronar yurak kasalligi xavfini prognozlashning kuchli vositalaridan biri hisoblanadi. Tufayli amalga oshirish, iqtisodiy samaradorligi va kontraendıkasyonlar deyarli yo'qligi soddaligi uchun, kaltsiy indeksi aniqlash, ayniqsa, koronar arteriya kasalligi shubha bilan bemorlarning skrining, keng tarqalgan edi. KK ko'rsatkichi ka ga ko'ra ka stenozining darajasi bilan bog'liq. Ushbu usul AQSh va Evropa koronar arter kasalligi diagnostikasi bo'yicha tavsiyalarga kiritilgan bo'lib, u yuqori prognostik qiymatini, ayniqsa KI=0da isbotladi va asemptomatik bemorlarga statinlarni tayinlash bo'yicha tavsiyalarni o'zgartirish uchun boshlang'ich nuqta sifatida xizmat qilishi mumkin.</w:t>
      </w:r>
    </w:p>
    <w:p w14:paraId="62743DBD" w14:textId="77777777" w:rsidR="00DD566D" w:rsidRPr="00BC6CB6" w:rsidRDefault="00DD566D" w:rsidP="00DD566D">
      <w:pPr>
        <w:spacing w:line="276" w:lineRule="auto"/>
        <w:ind w:firstLine="567"/>
        <w:jc w:val="both"/>
        <w:rPr>
          <w:rFonts w:eastAsia="Times New Roman" w:cs="Times New Roman"/>
          <w:bCs/>
          <w:i/>
          <w:iCs/>
          <w:sz w:val="24"/>
          <w:szCs w:val="24"/>
          <w:lang w:val="uz-Latn-UZ" w:eastAsia="ru-RU"/>
        </w:rPr>
      </w:pPr>
      <w:r w:rsidRPr="00BC6CB6">
        <w:rPr>
          <w:rFonts w:eastAsia="Times New Roman" w:cs="Times New Roman"/>
          <w:b/>
          <w:i/>
          <w:iCs/>
          <w:sz w:val="24"/>
          <w:szCs w:val="24"/>
          <w:lang w:val="uz-Latn-UZ" w:eastAsia="ru-RU"/>
        </w:rPr>
        <w:lastRenderedPageBreak/>
        <w:t xml:space="preserve">Kalit so'zlar: </w:t>
      </w:r>
      <w:r w:rsidRPr="00BC6CB6">
        <w:rPr>
          <w:rFonts w:eastAsia="Times New Roman" w:cs="Times New Roman"/>
          <w:bCs/>
          <w:i/>
          <w:iCs/>
          <w:sz w:val="24"/>
          <w:szCs w:val="24"/>
          <w:lang w:val="uz-Latn-UZ" w:eastAsia="ru-RU"/>
        </w:rPr>
        <w:t>Agatston indeksi, MSCT, koronar kaltsiy, yurak-qon tomir kasalliklari, koronar angiografiya, koronar arteriyalar.</w:t>
      </w:r>
    </w:p>
    <w:p w14:paraId="20715C18" w14:textId="77777777" w:rsidR="00DD566D" w:rsidRDefault="00DD566D" w:rsidP="00DD566D">
      <w:pPr>
        <w:spacing w:line="276" w:lineRule="auto"/>
        <w:ind w:firstLine="567"/>
        <w:jc w:val="both"/>
        <w:rPr>
          <w:rFonts w:eastAsia="Times New Roman" w:cs="Times New Roman"/>
          <w:b/>
          <w:sz w:val="24"/>
          <w:szCs w:val="24"/>
          <w:lang w:val="uz-Latn-UZ" w:eastAsia="ru-RU"/>
        </w:rPr>
      </w:pPr>
    </w:p>
    <w:p w14:paraId="37E6D5CB" w14:textId="77777777" w:rsidR="00DD566D" w:rsidRDefault="00DD566D" w:rsidP="00DD566D">
      <w:pPr>
        <w:spacing w:line="276" w:lineRule="auto"/>
        <w:ind w:firstLine="567"/>
        <w:jc w:val="both"/>
        <w:rPr>
          <w:rFonts w:eastAsia="Times New Roman" w:cs="Times New Roman"/>
          <w:b/>
          <w:sz w:val="24"/>
          <w:szCs w:val="24"/>
          <w:lang w:val="uz-Latn-UZ" w:eastAsia="ru-RU"/>
        </w:rPr>
      </w:pPr>
    </w:p>
    <w:p w14:paraId="2DA494C1" w14:textId="77777777" w:rsidR="00DD566D" w:rsidRDefault="00DD566D" w:rsidP="00DD566D">
      <w:pPr>
        <w:spacing w:line="276" w:lineRule="auto"/>
        <w:ind w:firstLine="567"/>
        <w:jc w:val="both"/>
        <w:rPr>
          <w:rFonts w:eastAsia="Times New Roman" w:cs="Times New Roman"/>
          <w:b/>
          <w:sz w:val="24"/>
          <w:szCs w:val="24"/>
          <w:lang w:val="uz-Latn-UZ" w:eastAsia="ru-RU"/>
        </w:rPr>
      </w:pPr>
    </w:p>
    <w:p w14:paraId="1DEB78F2" w14:textId="77777777" w:rsidR="00DD566D" w:rsidRDefault="00DD566D" w:rsidP="00DD566D">
      <w:pPr>
        <w:spacing w:line="276" w:lineRule="auto"/>
        <w:ind w:firstLine="567"/>
        <w:jc w:val="both"/>
        <w:rPr>
          <w:rFonts w:eastAsia="Times New Roman" w:cs="Times New Roman"/>
          <w:b/>
          <w:sz w:val="24"/>
          <w:szCs w:val="24"/>
          <w:lang w:val="uz-Latn-UZ" w:eastAsia="ru-RU"/>
        </w:rPr>
      </w:pPr>
    </w:p>
    <w:p w14:paraId="6D8BA4AB" w14:textId="77777777" w:rsidR="00DD566D" w:rsidRPr="00695033" w:rsidRDefault="00DD566D" w:rsidP="00DD566D">
      <w:pPr>
        <w:spacing w:line="276" w:lineRule="auto"/>
        <w:ind w:firstLine="567"/>
        <w:jc w:val="both"/>
        <w:rPr>
          <w:rFonts w:eastAsia="Times New Roman" w:cs="Times New Roman"/>
          <w:b/>
          <w:sz w:val="24"/>
          <w:szCs w:val="24"/>
          <w:lang w:val="uz-Latn-UZ" w:eastAsia="ru-RU"/>
        </w:rPr>
      </w:pPr>
    </w:p>
    <w:p w14:paraId="21391C46" w14:textId="77777777" w:rsidR="00DD566D" w:rsidRPr="00695033" w:rsidRDefault="00DD566D" w:rsidP="00DD566D">
      <w:pPr>
        <w:spacing w:line="276" w:lineRule="auto"/>
        <w:jc w:val="center"/>
        <w:rPr>
          <w:rFonts w:eastAsia="Times New Roman" w:cs="Times New Roman"/>
          <w:b/>
          <w:sz w:val="24"/>
          <w:szCs w:val="24"/>
          <w:lang w:val="ru-RU" w:eastAsia="ru-RU"/>
        </w:rPr>
      </w:pPr>
      <w:r w:rsidRPr="00695033">
        <w:rPr>
          <w:rFonts w:eastAsia="Times New Roman" w:cs="Times New Roman"/>
          <w:b/>
          <w:sz w:val="24"/>
          <w:szCs w:val="24"/>
          <w:lang w:val="ru-RU" w:eastAsia="ru-RU"/>
        </w:rPr>
        <w:t>ВЗАИМОСВЯЗЬ МЕЖДУ КОРОНАРНЫМ КАЛЬЦИЕМ И УРОВНЕМ СТЕНОЗА КОРОНАРНЫХ АРТЕРИЙ ПО ДАННЫМ КОРОНАРОАНГИОГРАФИИ</w:t>
      </w:r>
    </w:p>
    <w:p w14:paraId="26FE6F7D" w14:textId="77777777" w:rsidR="00DD566D" w:rsidRPr="00B62084" w:rsidRDefault="00DD566D" w:rsidP="00DD566D">
      <w:pPr>
        <w:spacing w:line="276" w:lineRule="auto"/>
        <w:ind w:firstLine="567"/>
        <w:jc w:val="both"/>
        <w:rPr>
          <w:rFonts w:eastAsia="Times New Roman" w:cs="Times New Roman"/>
          <w:b/>
          <w:sz w:val="24"/>
          <w:szCs w:val="24"/>
          <w:lang w:val="ru-RU" w:eastAsia="ru-RU"/>
        </w:rPr>
      </w:pPr>
    </w:p>
    <w:p w14:paraId="0A07E1E2" w14:textId="77777777" w:rsidR="00DD566D" w:rsidRPr="00BC6CB6" w:rsidRDefault="00DD566D" w:rsidP="00DD566D">
      <w:pPr>
        <w:spacing w:line="276" w:lineRule="auto"/>
        <w:ind w:firstLine="567"/>
        <w:jc w:val="both"/>
        <w:rPr>
          <w:rFonts w:eastAsia="Times New Roman" w:cs="Times New Roman"/>
          <w:i/>
          <w:iCs/>
          <w:sz w:val="24"/>
          <w:szCs w:val="24"/>
          <w:lang w:val="ru-RU" w:eastAsia="ru-RU"/>
        </w:rPr>
      </w:pPr>
      <w:r w:rsidRPr="00695033">
        <w:rPr>
          <w:rFonts w:eastAsia="Times New Roman" w:cs="Times New Roman"/>
          <w:b/>
          <w:i/>
          <w:iCs/>
          <w:sz w:val="24"/>
          <w:szCs w:val="24"/>
          <w:lang w:val="ru-RU" w:eastAsia="ru-RU"/>
        </w:rPr>
        <w:t>Аннотация</w:t>
      </w:r>
      <w:r w:rsidRPr="00BC6CB6">
        <w:rPr>
          <w:rFonts w:eastAsia="Times New Roman" w:cs="Times New Roman"/>
          <w:b/>
          <w:i/>
          <w:iCs/>
          <w:sz w:val="24"/>
          <w:szCs w:val="24"/>
          <w:lang w:val="ru-RU" w:eastAsia="ru-RU"/>
        </w:rPr>
        <w:t xml:space="preserve">. </w:t>
      </w:r>
      <w:r w:rsidRPr="00695033">
        <w:rPr>
          <w:rFonts w:eastAsia="Times New Roman" w:cs="Times New Roman"/>
          <w:i/>
          <w:iCs/>
          <w:sz w:val="24"/>
          <w:szCs w:val="24"/>
          <w:lang w:val="ru-RU" w:eastAsia="ru-RU"/>
        </w:rPr>
        <w:t xml:space="preserve">Ишемическая болезнь сердца (ИБС) является ведущей причиной смертности во всем мире, в том числе и в Узбекистане. Ранняя диагностика ИБС представляет одну из первостепенных задач клинической медицины. Показатель коронарного кальция (КК) считается одним из сильных инструментов прогнозирования риска развития коронарной болезни сердца. В связи с простотой выполнения, экономичностью и практически отсутствием противопоказаний, определение кальциевого индекса получило широкое распространение, особенно, при скрининге у пациентов с подозрением на наличие ИБС. Показатель КК коррелирует с уровнем стеноза КА по данным КАГ. Данный метод включен в американские и европейские рекомендации по диагностике ИБС, он доказал свою высокую прогностическую ценность, особенно при КИ=0, и может служить отправной точкой в изменениях рекомендаций по назначению статинов бессимптомным пациентам. </w:t>
      </w:r>
    </w:p>
    <w:p w14:paraId="6B715BEA" w14:textId="77777777" w:rsidR="00DD566D" w:rsidRPr="00695033" w:rsidRDefault="00DD566D" w:rsidP="00DD566D">
      <w:pPr>
        <w:spacing w:line="276" w:lineRule="auto"/>
        <w:ind w:firstLine="567"/>
        <w:jc w:val="both"/>
        <w:rPr>
          <w:rFonts w:eastAsia="Times New Roman" w:cs="Times New Roman"/>
          <w:i/>
          <w:iCs/>
          <w:sz w:val="24"/>
          <w:szCs w:val="24"/>
          <w:lang w:val="ru-RU" w:eastAsia="ru-RU"/>
        </w:rPr>
      </w:pPr>
      <w:r w:rsidRPr="00BC6CB6">
        <w:rPr>
          <w:rFonts w:eastAsia="Times New Roman" w:cs="Times New Roman"/>
          <w:b/>
          <w:bCs/>
          <w:i/>
          <w:iCs/>
          <w:sz w:val="24"/>
          <w:szCs w:val="24"/>
          <w:lang w:val="ru-RU" w:eastAsia="ru-RU"/>
        </w:rPr>
        <w:t>Ключевые слова:</w:t>
      </w:r>
      <w:r w:rsidRPr="00BC6CB6">
        <w:rPr>
          <w:rFonts w:eastAsia="Times New Roman" w:cs="Times New Roman"/>
          <w:i/>
          <w:iCs/>
          <w:sz w:val="24"/>
          <w:szCs w:val="24"/>
          <w:lang w:val="ru-RU" w:eastAsia="ru-RU"/>
        </w:rPr>
        <w:t xml:space="preserve"> индекс Агатстона, МСКТ, коронарный кальций, сердечно-сосудистые заболевания, коронарография, коронарные артерии.</w:t>
      </w:r>
    </w:p>
    <w:p w14:paraId="76DFFE6A" w14:textId="77777777" w:rsidR="00DD566D" w:rsidRPr="00695033" w:rsidRDefault="00DD566D" w:rsidP="00DD566D">
      <w:pPr>
        <w:spacing w:line="276" w:lineRule="auto"/>
        <w:ind w:firstLine="567"/>
        <w:jc w:val="both"/>
        <w:rPr>
          <w:rFonts w:eastAsia="Times New Roman" w:cs="Times New Roman"/>
          <w:sz w:val="24"/>
          <w:szCs w:val="24"/>
          <w:lang w:val="ru-RU" w:eastAsia="ru-RU"/>
        </w:rPr>
      </w:pPr>
    </w:p>
    <w:p w14:paraId="0A30239E" w14:textId="77777777" w:rsidR="00DD566D" w:rsidRPr="00B62084" w:rsidRDefault="00DD566D" w:rsidP="00DD566D">
      <w:pPr>
        <w:spacing w:line="276" w:lineRule="auto"/>
        <w:ind w:firstLine="567"/>
        <w:jc w:val="both"/>
        <w:rPr>
          <w:rFonts w:eastAsia="Times New Roman" w:cs="Times New Roman"/>
          <w:b/>
          <w:sz w:val="24"/>
          <w:szCs w:val="24"/>
          <w:lang w:val="ru-RU" w:eastAsia="ru-RU"/>
        </w:rPr>
        <w:sectPr w:rsidR="00DD566D" w:rsidRPr="00B62084" w:rsidSect="00995DC2">
          <w:type w:val="continuous"/>
          <w:pgSz w:w="11907" w:h="16840" w:code="9"/>
          <w:pgMar w:top="1418" w:right="1134" w:bottom="1134" w:left="1134" w:header="907" w:footer="794" w:gutter="0"/>
          <w:cols w:space="708"/>
          <w:docGrid w:linePitch="381"/>
        </w:sectPr>
      </w:pPr>
    </w:p>
    <w:p w14:paraId="73D328A8"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b/>
          <w:sz w:val="24"/>
          <w:szCs w:val="24"/>
          <w:lang w:eastAsia="ru-RU"/>
        </w:rPr>
        <w:t>Relevance.</w:t>
      </w:r>
      <w:r w:rsidRPr="00695033">
        <w:rPr>
          <w:rFonts w:eastAsia="Times New Roman" w:cs="Times New Roman"/>
          <w:sz w:val="24"/>
          <w:szCs w:val="24"/>
          <w:lang w:eastAsia="ru-RU"/>
        </w:rPr>
        <w:t xml:space="preserve"> Cardiovascular diseases (CVD) is the leading cause of mortality in the world and causes over 17.5 million deaths per year. Among CVD in the structure of mortality of the population, the first place is occupied by coronary heart disease (CHD). In Uzbekistan, CHD is also the main cause of death among the adult population. The analysis shows that 53% of deaths among the population of the Republic of Uzbekistan aged 30-70 years are associated with CVD. They are diagnosed in about 4 mil</w:t>
      </w:r>
      <w:r>
        <w:rPr>
          <w:rFonts w:eastAsia="Times New Roman" w:cs="Times New Roman"/>
          <w:sz w:val="24"/>
          <w:szCs w:val="24"/>
          <w:lang w:eastAsia="ru-RU"/>
        </w:rPr>
        <w:softHyphen/>
      </w:r>
      <w:r w:rsidRPr="00695033">
        <w:rPr>
          <w:rFonts w:eastAsia="Times New Roman" w:cs="Times New Roman"/>
          <w:sz w:val="24"/>
          <w:szCs w:val="24"/>
          <w:lang w:eastAsia="ru-RU"/>
        </w:rPr>
        <w:t>lion people, which is 12% of the total popula</w:t>
      </w:r>
      <w:r>
        <w:rPr>
          <w:rFonts w:eastAsia="Times New Roman" w:cs="Times New Roman"/>
          <w:sz w:val="24"/>
          <w:szCs w:val="24"/>
          <w:lang w:eastAsia="ru-RU"/>
        </w:rPr>
        <w:softHyphen/>
      </w:r>
      <w:r w:rsidRPr="00695033">
        <w:rPr>
          <w:rFonts w:eastAsia="Times New Roman" w:cs="Times New Roman"/>
          <w:sz w:val="24"/>
          <w:szCs w:val="24"/>
          <w:lang w:eastAsia="ru-RU"/>
        </w:rPr>
        <w:t xml:space="preserve">tion. </w:t>
      </w:r>
    </w:p>
    <w:p w14:paraId="06CBA11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CHD is an acute or chronic dysfunction resulting from an absolute or relative decrease in the supply of arterial blood to the myocar</w:t>
      </w:r>
      <w:r>
        <w:rPr>
          <w:rFonts w:eastAsia="Times New Roman" w:cs="Times New Roman"/>
          <w:sz w:val="24"/>
          <w:szCs w:val="24"/>
          <w:lang w:eastAsia="ru-RU"/>
        </w:rPr>
        <w:softHyphen/>
      </w:r>
      <w:r w:rsidRPr="00695033">
        <w:rPr>
          <w:rFonts w:eastAsia="Times New Roman" w:cs="Times New Roman"/>
          <w:sz w:val="24"/>
          <w:szCs w:val="24"/>
          <w:lang w:eastAsia="ru-RU"/>
        </w:rPr>
        <w:t>dium. The share of CHD among all causes of mortality of the population is more than 30%. The main etiological factor of CHD is athero</w:t>
      </w:r>
      <w:r>
        <w:rPr>
          <w:rFonts w:eastAsia="Times New Roman" w:cs="Times New Roman"/>
          <w:sz w:val="24"/>
          <w:szCs w:val="24"/>
          <w:lang w:eastAsia="ru-RU"/>
        </w:rPr>
        <w:softHyphen/>
      </w:r>
      <w:r w:rsidRPr="00695033">
        <w:rPr>
          <w:rFonts w:eastAsia="Times New Roman" w:cs="Times New Roman"/>
          <w:sz w:val="24"/>
          <w:szCs w:val="24"/>
          <w:lang w:eastAsia="ru-RU"/>
        </w:rPr>
        <w:t xml:space="preserve">sclerosis of the coronary arteries (CA), in 95% of patients with CHD. </w:t>
      </w:r>
    </w:p>
    <w:p w14:paraId="4CEF5368"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Calcification of the CA is a characteristic sign of coronary atherosclerosis, which is often detected by computed tomography (CT) of the chest organs. The standardized method for as</w:t>
      </w:r>
      <w:r>
        <w:rPr>
          <w:rFonts w:eastAsia="Times New Roman" w:cs="Times New Roman"/>
          <w:sz w:val="24"/>
          <w:szCs w:val="24"/>
          <w:lang w:eastAsia="ru-RU"/>
        </w:rPr>
        <w:softHyphen/>
      </w:r>
      <w:r w:rsidRPr="00695033">
        <w:rPr>
          <w:rFonts w:eastAsia="Times New Roman" w:cs="Times New Roman"/>
          <w:sz w:val="24"/>
          <w:szCs w:val="24"/>
          <w:lang w:eastAsia="ru-RU"/>
        </w:rPr>
        <w:t>sessing coronary calcification is the calcium index (CI) according to the Agatston method. A semi-quantitative assessment of coronary calcium (CC) with electrocardiographic syn</w:t>
      </w:r>
      <w:r>
        <w:rPr>
          <w:rFonts w:eastAsia="Times New Roman" w:cs="Times New Roman"/>
          <w:sz w:val="24"/>
          <w:szCs w:val="24"/>
          <w:lang w:eastAsia="ru-RU"/>
        </w:rPr>
        <w:softHyphen/>
      </w:r>
      <w:r w:rsidRPr="00695033">
        <w:rPr>
          <w:rFonts w:eastAsia="Times New Roman" w:cs="Times New Roman"/>
          <w:sz w:val="24"/>
          <w:szCs w:val="24"/>
          <w:lang w:eastAsia="ru-RU"/>
        </w:rPr>
        <w:t>chronization is considered a strong prognostic factor for the occurrence of coronary events in asymptomatic patients. Zero CI can serve as the strongest negative risk factor for the devel</w:t>
      </w:r>
      <w:r>
        <w:rPr>
          <w:rFonts w:eastAsia="Times New Roman" w:cs="Times New Roman"/>
          <w:sz w:val="24"/>
          <w:szCs w:val="24"/>
          <w:lang w:eastAsia="ru-RU"/>
        </w:rPr>
        <w:softHyphen/>
      </w:r>
      <w:r w:rsidRPr="00695033">
        <w:rPr>
          <w:rFonts w:eastAsia="Times New Roman" w:cs="Times New Roman"/>
          <w:sz w:val="24"/>
          <w:szCs w:val="24"/>
          <w:lang w:eastAsia="ru-RU"/>
        </w:rPr>
        <w:t>opment of cardiovascular events for 10-15 years. According to international recommen</w:t>
      </w:r>
      <w:r>
        <w:rPr>
          <w:rFonts w:eastAsia="Times New Roman" w:cs="Times New Roman"/>
          <w:sz w:val="24"/>
          <w:szCs w:val="24"/>
          <w:lang w:eastAsia="ru-RU"/>
        </w:rPr>
        <w:softHyphen/>
      </w:r>
      <w:r w:rsidRPr="00695033">
        <w:rPr>
          <w:rFonts w:eastAsia="Times New Roman" w:cs="Times New Roman"/>
          <w:sz w:val="24"/>
          <w:szCs w:val="24"/>
          <w:lang w:eastAsia="ru-RU"/>
        </w:rPr>
        <w:t>dations, CI should be used in intermediate-risk and low-risk patients with a cardiovascular family history, as well as in diabetics over 40 years of age.</w:t>
      </w:r>
      <w:r w:rsidRPr="00695033">
        <w:rPr>
          <w:rFonts w:eastAsia="Times New Roman" w:cs="Times New Roman"/>
          <w:sz w:val="24"/>
          <w:szCs w:val="24"/>
          <w:lang w:eastAsia="ru-RU"/>
        </w:rPr>
        <w:tab/>
      </w:r>
    </w:p>
    <w:p w14:paraId="145FA02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b/>
          <w:sz w:val="24"/>
          <w:szCs w:val="24"/>
          <w:lang w:eastAsia="ru-RU"/>
        </w:rPr>
        <w:t>The aim of the study:</w:t>
      </w:r>
      <w:r w:rsidRPr="00695033">
        <w:rPr>
          <w:rFonts w:eastAsia="Times New Roman" w:cs="Times New Roman"/>
          <w:sz w:val="24"/>
          <w:szCs w:val="24"/>
          <w:lang w:eastAsia="ru-RU"/>
        </w:rPr>
        <w:t xml:space="preserve"> to compare the Agaston index (CC) and the level of CA steno</w:t>
      </w:r>
      <w:r>
        <w:rPr>
          <w:rFonts w:eastAsia="Times New Roman" w:cs="Times New Roman"/>
          <w:sz w:val="24"/>
          <w:szCs w:val="24"/>
          <w:lang w:eastAsia="ru-RU"/>
        </w:rPr>
        <w:softHyphen/>
      </w:r>
      <w:r w:rsidRPr="00695033">
        <w:rPr>
          <w:rFonts w:eastAsia="Times New Roman" w:cs="Times New Roman"/>
          <w:sz w:val="24"/>
          <w:szCs w:val="24"/>
          <w:lang w:eastAsia="ru-RU"/>
        </w:rPr>
        <w:t xml:space="preserve">sis according to coronary angiography (CAG); </w:t>
      </w:r>
      <w:r w:rsidRPr="00695033">
        <w:rPr>
          <w:rFonts w:eastAsia="Times New Roman" w:cs="Times New Roman"/>
          <w:sz w:val="24"/>
          <w:szCs w:val="24"/>
          <w:lang w:eastAsia="ru-RU"/>
        </w:rPr>
        <w:lastRenderedPageBreak/>
        <w:t>to increase the early detection of coronary ar</w:t>
      </w:r>
      <w:r>
        <w:rPr>
          <w:rFonts w:eastAsia="Times New Roman" w:cs="Times New Roman"/>
          <w:sz w:val="24"/>
          <w:szCs w:val="24"/>
          <w:lang w:eastAsia="ru-RU"/>
        </w:rPr>
        <w:softHyphen/>
      </w:r>
      <w:r w:rsidRPr="00695033">
        <w:rPr>
          <w:rFonts w:eastAsia="Times New Roman" w:cs="Times New Roman"/>
          <w:sz w:val="24"/>
          <w:szCs w:val="24"/>
          <w:lang w:eastAsia="ru-RU"/>
        </w:rPr>
        <w:t xml:space="preserve">tery disease by determining the indicators of CC.    </w:t>
      </w:r>
    </w:p>
    <w:p w14:paraId="338F330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b/>
          <w:sz w:val="24"/>
          <w:szCs w:val="24"/>
          <w:lang w:eastAsia="ru-RU"/>
        </w:rPr>
        <w:t>Material and methods of research.</w:t>
      </w:r>
      <w:r w:rsidRPr="00695033">
        <w:rPr>
          <w:rFonts w:eastAsia="Times New Roman" w:cs="Times New Roman"/>
          <w:sz w:val="24"/>
          <w:szCs w:val="24"/>
          <w:lang w:eastAsia="ru-RU"/>
        </w:rPr>
        <w:t xml:space="preserve"> The study was conducted in the Tashkent Medical Academy and Republican Specialized Scien</w:t>
      </w:r>
      <w:r>
        <w:rPr>
          <w:rFonts w:eastAsia="Times New Roman" w:cs="Times New Roman"/>
          <w:sz w:val="24"/>
          <w:szCs w:val="24"/>
          <w:lang w:eastAsia="ru-RU"/>
        </w:rPr>
        <w:softHyphen/>
      </w:r>
      <w:r w:rsidRPr="00695033">
        <w:rPr>
          <w:rFonts w:eastAsia="Times New Roman" w:cs="Times New Roman"/>
          <w:sz w:val="24"/>
          <w:szCs w:val="24"/>
          <w:lang w:eastAsia="ru-RU"/>
        </w:rPr>
        <w:t>tific and Practical Center of Cardiology. The study involved 54 people (25 women, 29 men) aged 45-65 years, with complaints of pain and discomfort behind the sternum. All patients un</w:t>
      </w:r>
      <w:r>
        <w:rPr>
          <w:rFonts w:eastAsia="Times New Roman" w:cs="Times New Roman"/>
          <w:sz w:val="24"/>
          <w:szCs w:val="24"/>
          <w:lang w:eastAsia="ru-RU"/>
        </w:rPr>
        <w:softHyphen/>
      </w:r>
      <w:r w:rsidRPr="00695033">
        <w:rPr>
          <w:rFonts w:eastAsia="Times New Roman" w:cs="Times New Roman"/>
          <w:sz w:val="24"/>
          <w:szCs w:val="24"/>
          <w:lang w:eastAsia="ru-RU"/>
        </w:rPr>
        <w:t xml:space="preserve">derwent multispiral computed tomography (MSCT) with the determination of CC, CAG. The CC assessment was carried out using the Philips Ingenuity Core 64 MSCT. </w:t>
      </w:r>
    </w:p>
    <w:p w14:paraId="17A4BAD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b/>
          <w:sz w:val="24"/>
          <w:szCs w:val="24"/>
          <w:lang w:eastAsia="ru-RU"/>
        </w:rPr>
        <w:t>The results of the study.</w:t>
      </w:r>
      <w:r w:rsidRPr="00695033">
        <w:rPr>
          <w:rFonts w:eastAsia="Times New Roman" w:cs="Times New Roman"/>
          <w:sz w:val="24"/>
          <w:szCs w:val="24"/>
          <w:lang w:eastAsia="ru-RU"/>
        </w:rPr>
        <w:t xml:space="preserve">  The Agaston index is a semi-automatic method for calculat</w:t>
      </w:r>
      <w:r>
        <w:rPr>
          <w:rFonts w:eastAsia="Times New Roman" w:cs="Times New Roman"/>
          <w:sz w:val="24"/>
          <w:szCs w:val="24"/>
          <w:lang w:eastAsia="ru-RU"/>
        </w:rPr>
        <w:softHyphen/>
      </w:r>
      <w:r w:rsidRPr="00695033">
        <w:rPr>
          <w:rFonts w:eastAsia="Times New Roman" w:cs="Times New Roman"/>
          <w:sz w:val="24"/>
          <w:szCs w:val="24"/>
          <w:lang w:eastAsia="ru-RU"/>
        </w:rPr>
        <w:t>ing the degree of calcification of CA using low-dose non-amplified CT, which is routinely used in CT examination of the heart. Due to the extended study, this method allows us to iden</w:t>
      </w:r>
      <w:r>
        <w:rPr>
          <w:rFonts w:eastAsia="Times New Roman" w:cs="Times New Roman"/>
          <w:sz w:val="24"/>
          <w:szCs w:val="24"/>
          <w:lang w:eastAsia="ru-RU"/>
        </w:rPr>
        <w:softHyphen/>
      </w:r>
      <w:r w:rsidRPr="00695033">
        <w:rPr>
          <w:rFonts w:eastAsia="Times New Roman" w:cs="Times New Roman"/>
          <w:sz w:val="24"/>
          <w:szCs w:val="24"/>
          <w:lang w:eastAsia="ru-RU"/>
        </w:rPr>
        <w:t>tify the early risk of CHD in patients with an Agaston index of more than &gt;160. Although this method does not allow to evaluate soft-tis</w:t>
      </w:r>
      <w:r>
        <w:rPr>
          <w:rFonts w:eastAsia="Times New Roman" w:cs="Times New Roman"/>
          <w:sz w:val="24"/>
          <w:szCs w:val="24"/>
          <w:lang w:eastAsia="ru-RU"/>
        </w:rPr>
        <w:softHyphen/>
      </w:r>
      <w:r w:rsidRPr="00695033">
        <w:rPr>
          <w:rFonts w:eastAsia="Times New Roman" w:cs="Times New Roman"/>
          <w:sz w:val="24"/>
          <w:szCs w:val="24"/>
          <w:lang w:eastAsia="ru-RU"/>
        </w:rPr>
        <w:t>sue non-calcified plaques, it still correlates well with the data obtained by CT angiography using contrast agents [3].</w:t>
      </w:r>
    </w:p>
    <w:p w14:paraId="25A02E7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b/>
          <w:sz w:val="24"/>
          <w:szCs w:val="24"/>
          <w:lang w:eastAsia="ru-RU"/>
        </w:rPr>
        <w:t>Calculation method.</w:t>
      </w:r>
      <w:r w:rsidRPr="00695033">
        <w:rPr>
          <w:rFonts w:eastAsia="Times New Roman" w:cs="Times New Roman"/>
          <w:sz w:val="24"/>
          <w:szCs w:val="24"/>
          <w:lang w:eastAsia="ru-RU"/>
        </w:rPr>
        <w:t xml:space="preserve"> The calculation is performed by multiplying the weighted density (density factor) for a zone with high radiation attenuation (plaques with high values in Hounsfield units [HU]) by the area of the cal</w:t>
      </w:r>
      <w:r>
        <w:rPr>
          <w:rFonts w:eastAsia="Times New Roman" w:cs="Times New Roman"/>
          <w:sz w:val="24"/>
          <w:szCs w:val="24"/>
          <w:lang w:eastAsia="ru-RU"/>
        </w:rPr>
        <w:softHyphen/>
      </w:r>
      <w:r w:rsidRPr="00695033">
        <w:rPr>
          <w:rFonts w:eastAsia="Times New Roman" w:cs="Times New Roman"/>
          <w:sz w:val="24"/>
          <w:szCs w:val="24"/>
          <w:lang w:eastAsia="ru-RU"/>
        </w:rPr>
        <w:t>cified plaque.</w:t>
      </w:r>
    </w:p>
    <w:p w14:paraId="0D23175F"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Density factor:</w:t>
      </w:r>
    </w:p>
    <w:p w14:paraId="16445B5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130-199 HU: 1</w:t>
      </w:r>
    </w:p>
    <w:p w14:paraId="5770416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w:t>
      </w:r>
      <w:r w:rsidRPr="00695033">
        <w:rPr>
          <w:rFonts w:eastAsia="Times New Roman" w:cs="Times New Roman"/>
          <w:sz w:val="24"/>
          <w:szCs w:val="24"/>
          <w:lang w:eastAsia="ru-RU"/>
        </w:rPr>
        <w:tab/>
        <w:t>200-299 HU: 2</w:t>
      </w:r>
    </w:p>
    <w:p w14:paraId="088962B0"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w:t>
      </w:r>
      <w:r w:rsidRPr="00695033">
        <w:rPr>
          <w:rFonts w:eastAsia="Times New Roman" w:cs="Times New Roman"/>
          <w:sz w:val="24"/>
          <w:szCs w:val="24"/>
          <w:lang w:eastAsia="ru-RU"/>
        </w:rPr>
        <w:tab/>
        <w:t>300-399 HU: 3</w:t>
      </w:r>
    </w:p>
    <w:p w14:paraId="199BA6BF"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w:t>
      </w:r>
      <w:r w:rsidRPr="00695033">
        <w:rPr>
          <w:rFonts w:eastAsia="Times New Roman" w:cs="Times New Roman"/>
          <w:sz w:val="24"/>
          <w:szCs w:val="24"/>
          <w:lang w:eastAsia="ru-RU"/>
        </w:rPr>
        <w:tab/>
        <w:t>400+ HU: 4</w:t>
      </w:r>
    </w:p>
    <w:p w14:paraId="0358B8B2"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For example, if a calcified plaque has a maximum attenuation of 400 HU and occupies an area of 8 mm</w:t>
      </w:r>
      <w:r w:rsidRPr="00695033">
        <w:rPr>
          <w:rFonts w:eastAsia="Times New Roman" w:cs="Times New Roman"/>
          <w:sz w:val="24"/>
          <w:szCs w:val="24"/>
          <w:vertAlign w:val="superscript"/>
          <w:lang w:eastAsia="ru-RU"/>
        </w:rPr>
        <w:t>2</w:t>
      </w:r>
      <w:r w:rsidRPr="00695033">
        <w:rPr>
          <w:rFonts w:eastAsia="Times New Roman" w:cs="Times New Roman"/>
          <w:sz w:val="24"/>
          <w:szCs w:val="24"/>
          <w:lang w:eastAsia="ru-RU"/>
        </w:rPr>
        <w:t>, its CC will be equal to 32. The index of each zone/plaque is summed up giving a total index [2].</w:t>
      </w:r>
    </w:p>
    <w:p w14:paraId="7DB226D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Gradation of coronary vascular lesions based on the total coronary calcium index:</w:t>
      </w:r>
    </w:p>
    <w:p w14:paraId="36888CA0"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there are no signs of damage: the coro</w:t>
      </w:r>
      <w:r>
        <w:rPr>
          <w:rFonts w:eastAsia="Times New Roman" w:cs="Times New Roman"/>
          <w:sz w:val="24"/>
          <w:szCs w:val="24"/>
          <w:lang w:eastAsia="ru-RU"/>
        </w:rPr>
        <w:softHyphen/>
      </w:r>
      <w:r w:rsidRPr="00695033">
        <w:rPr>
          <w:rFonts w:eastAsia="Times New Roman" w:cs="Times New Roman"/>
          <w:sz w:val="24"/>
          <w:szCs w:val="24"/>
          <w:lang w:eastAsia="ru-RU"/>
        </w:rPr>
        <w:t>nary calcium index is 0</w:t>
      </w:r>
    </w:p>
    <w:p w14:paraId="2F87A879"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minimum maintenance: coronary cal</w:t>
      </w:r>
      <w:r>
        <w:rPr>
          <w:rFonts w:eastAsia="Times New Roman" w:cs="Times New Roman"/>
          <w:sz w:val="24"/>
          <w:szCs w:val="24"/>
          <w:lang w:eastAsia="ru-RU"/>
        </w:rPr>
        <w:softHyphen/>
      </w:r>
      <w:r w:rsidRPr="00695033">
        <w:rPr>
          <w:rFonts w:eastAsia="Times New Roman" w:cs="Times New Roman"/>
          <w:sz w:val="24"/>
          <w:szCs w:val="24"/>
          <w:lang w:eastAsia="ru-RU"/>
        </w:rPr>
        <w:t>cium index from 1 to 10</w:t>
      </w:r>
    </w:p>
    <w:p w14:paraId="0256F557"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minor lesion: coronary calcium index from 11 to 100</w:t>
      </w:r>
    </w:p>
    <w:p w14:paraId="5D0EB3BD"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moderate lesion: coronary calcium in</w:t>
      </w:r>
      <w:r>
        <w:rPr>
          <w:rFonts w:eastAsia="Times New Roman" w:cs="Times New Roman"/>
          <w:sz w:val="24"/>
          <w:szCs w:val="24"/>
          <w:lang w:eastAsia="ru-RU"/>
        </w:rPr>
        <w:softHyphen/>
      </w:r>
      <w:r w:rsidRPr="00695033">
        <w:rPr>
          <w:rFonts w:eastAsia="Times New Roman" w:cs="Times New Roman"/>
          <w:sz w:val="24"/>
          <w:szCs w:val="24"/>
          <w:lang w:eastAsia="ru-RU"/>
        </w:rPr>
        <w:t>dex from 101 to 400</w:t>
      </w:r>
    </w:p>
    <w:p w14:paraId="18124F27"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severe lesion: coronary calcium index &gt;400</w:t>
      </w:r>
    </w:p>
    <w:p w14:paraId="11734E7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Quantitative assessment of the Agatston index</w:t>
      </w:r>
    </w:p>
    <w:p w14:paraId="0F95965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Agatston index 0</w:t>
      </w:r>
    </w:p>
    <w:p w14:paraId="78B4D45A"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Ca - Calcium score is not determined </w:t>
      </w:r>
    </w:p>
    <w:p w14:paraId="4C43779B"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The risk of developing CHD is mini</w:t>
      </w:r>
      <w:r>
        <w:rPr>
          <w:rFonts w:eastAsia="Times New Roman" w:cs="Times New Roman"/>
          <w:sz w:val="24"/>
          <w:szCs w:val="24"/>
          <w:lang w:eastAsia="ru-RU"/>
        </w:rPr>
        <w:softHyphen/>
      </w:r>
      <w:r w:rsidRPr="00695033">
        <w:rPr>
          <w:rFonts w:eastAsia="Times New Roman" w:cs="Times New Roman"/>
          <w:sz w:val="24"/>
          <w:szCs w:val="24"/>
          <w:lang w:eastAsia="ru-RU"/>
        </w:rPr>
        <w:t xml:space="preserve">mal </w:t>
      </w:r>
    </w:p>
    <w:p w14:paraId="53505956"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Applicable to men and women over 40 years of age</w:t>
      </w:r>
    </w:p>
    <w:p w14:paraId="4C8024E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Recommendations - General preven</w:t>
      </w:r>
      <w:r>
        <w:rPr>
          <w:rFonts w:eastAsia="Times New Roman" w:cs="Times New Roman"/>
          <w:sz w:val="24"/>
          <w:szCs w:val="24"/>
          <w:lang w:eastAsia="ru-RU"/>
        </w:rPr>
        <w:softHyphen/>
      </w:r>
      <w:r w:rsidRPr="00695033">
        <w:rPr>
          <w:rFonts w:eastAsia="Times New Roman" w:cs="Times New Roman"/>
          <w:sz w:val="24"/>
          <w:szCs w:val="24"/>
          <w:lang w:eastAsia="ru-RU"/>
        </w:rPr>
        <w:t xml:space="preserve">tive measures </w:t>
      </w:r>
    </w:p>
    <w:p w14:paraId="6B1400D6"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 Agatston index 1-10 </w:t>
      </w:r>
    </w:p>
    <w:p w14:paraId="797112EA"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Ca score - Minimum calcification </w:t>
      </w:r>
    </w:p>
    <w:p w14:paraId="01EFA0E9"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Risk of coronary heart disease - The development of coronary heart disease is un</w:t>
      </w:r>
      <w:r>
        <w:rPr>
          <w:rFonts w:eastAsia="Times New Roman" w:cs="Times New Roman"/>
          <w:sz w:val="24"/>
          <w:szCs w:val="24"/>
          <w:lang w:eastAsia="ru-RU"/>
        </w:rPr>
        <w:softHyphen/>
      </w:r>
      <w:r w:rsidRPr="00695033">
        <w:rPr>
          <w:rFonts w:eastAsia="Times New Roman" w:cs="Times New Roman"/>
          <w:sz w:val="24"/>
          <w:szCs w:val="24"/>
          <w:lang w:eastAsia="ru-RU"/>
        </w:rPr>
        <w:t xml:space="preserve">likely </w:t>
      </w:r>
    </w:p>
    <w:p w14:paraId="60FCAE89"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Indications for treatment based on gen</w:t>
      </w:r>
      <w:r>
        <w:rPr>
          <w:rFonts w:eastAsia="Times New Roman" w:cs="Times New Roman"/>
          <w:sz w:val="24"/>
          <w:szCs w:val="24"/>
          <w:lang w:eastAsia="ru-RU"/>
        </w:rPr>
        <w:softHyphen/>
      </w:r>
      <w:r w:rsidRPr="00695033">
        <w:rPr>
          <w:rFonts w:eastAsia="Times New Roman" w:cs="Times New Roman"/>
          <w:sz w:val="24"/>
          <w:szCs w:val="24"/>
          <w:lang w:eastAsia="ru-RU"/>
        </w:rPr>
        <w:t xml:space="preserve">der and age - Applicable to men and women over 40 years of age. </w:t>
      </w:r>
    </w:p>
    <w:p w14:paraId="58C097D6"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Recommendations - General preven</w:t>
      </w:r>
      <w:r>
        <w:rPr>
          <w:rFonts w:eastAsia="Times New Roman" w:cs="Times New Roman"/>
          <w:sz w:val="24"/>
          <w:szCs w:val="24"/>
          <w:lang w:eastAsia="ru-RU"/>
        </w:rPr>
        <w:softHyphen/>
      </w:r>
      <w:r w:rsidRPr="00695033">
        <w:rPr>
          <w:rFonts w:eastAsia="Times New Roman" w:cs="Times New Roman"/>
          <w:sz w:val="24"/>
          <w:szCs w:val="24"/>
          <w:lang w:eastAsia="ru-RU"/>
        </w:rPr>
        <w:t xml:space="preserve">tive measures </w:t>
      </w:r>
    </w:p>
    <w:p w14:paraId="6F8DC3F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 Agatston index 11-100 </w:t>
      </w:r>
    </w:p>
    <w:p w14:paraId="2CA3785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Ca score - Minor calcification</w:t>
      </w:r>
    </w:p>
    <w:p w14:paraId="164BFEC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Risk of coronary heart disease - Mini</w:t>
      </w:r>
      <w:r>
        <w:rPr>
          <w:rFonts w:eastAsia="Times New Roman" w:cs="Times New Roman"/>
          <w:sz w:val="24"/>
          <w:szCs w:val="24"/>
          <w:lang w:eastAsia="ru-RU"/>
        </w:rPr>
        <w:softHyphen/>
      </w:r>
      <w:r w:rsidRPr="00695033">
        <w:rPr>
          <w:rFonts w:eastAsia="Times New Roman" w:cs="Times New Roman"/>
          <w:sz w:val="24"/>
          <w:szCs w:val="24"/>
          <w:lang w:eastAsia="ru-RU"/>
        </w:rPr>
        <w:t xml:space="preserve">mal stenosis is possible </w:t>
      </w:r>
    </w:p>
    <w:p w14:paraId="7C796D48"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Indications for treatment taking into account gender and age - The highest clinical value if the indicator is &gt;75 percentiles </w:t>
      </w:r>
    </w:p>
    <w:p w14:paraId="59625951"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Recommendations - Exclusion of risk factors</w:t>
      </w:r>
    </w:p>
    <w:p w14:paraId="2D096380" w14:textId="77777777" w:rsidR="00DD566D" w:rsidRPr="00695033" w:rsidRDefault="00DD566D" w:rsidP="00DD566D">
      <w:pPr>
        <w:spacing w:line="276" w:lineRule="auto"/>
        <w:ind w:firstLine="567"/>
        <w:jc w:val="both"/>
        <w:rPr>
          <w:rFonts w:eastAsia="Times New Roman" w:cs="Times New Roman"/>
          <w:sz w:val="24"/>
          <w:szCs w:val="24"/>
          <w:lang w:val="it-IT" w:eastAsia="ru-RU"/>
        </w:rPr>
      </w:pPr>
      <w:r w:rsidRPr="00695033">
        <w:rPr>
          <w:rFonts w:eastAsia="Times New Roman" w:cs="Times New Roman"/>
          <w:sz w:val="24"/>
          <w:szCs w:val="24"/>
          <w:lang w:val="it-IT" w:eastAsia="ru-RU"/>
        </w:rPr>
        <w:t xml:space="preserve">• Agatston index 101-400 </w:t>
      </w:r>
    </w:p>
    <w:p w14:paraId="5C3AEEA1" w14:textId="77777777" w:rsidR="00DD566D" w:rsidRPr="00695033" w:rsidRDefault="00DD566D" w:rsidP="00DD566D">
      <w:pPr>
        <w:spacing w:line="276" w:lineRule="auto"/>
        <w:ind w:firstLine="567"/>
        <w:jc w:val="both"/>
        <w:rPr>
          <w:rFonts w:eastAsia="Times New Roman" w:cs="Times New Roman"/>
          <w:sz w:val="24"/>
          <w:szCs w:val="24"/>
          <w:lang w:val="it-IT" w:eastAsia="ru-RU"/>
        </w:rPr>
      </w:pPr>
      <w:r w:rsidRPr="00695033">
        <w:rPr>
          <w:rFonts w:eastAsia="Times New Roman" w:cs="Times New Roman"/>
          <w:sz w:val="24"/>
          <w:szCs w:val="24"/>
          <w:lang w:val="it-IT" w:eastAsia="ru-RU"/>
        </w:rPr>
        <w:t xml:space="preserve">o Ca score - Moderate calcification </w:t>
      </w:r>
    </w:p>
    <w:p w14:paraId="5BE17B1E"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Risk of coronary heart disease - Hemo</w:t>
      </w:r>
      <w:r>
        <w:rPr>
          <w:rFonts w:eastAsia="Times New Roman" w:cs="Times New Roman"/>
          <w:sz w:val="24"/>
          <w:szCs w:val="24"/>
          <w:lang w:eastAsia="ru-RU"/>
        </w:rPr>
        <w:softHyphen/>
      </w:r>
      <w:r w:rsidRPr="00695033">
        <w:rPr>
          <w:rFonts w:eastAsia="Times New Roman" w:cs="Times New Roman"/>
          <w:sz w:val="24"/>
          <w:szCs w:val="24"/>
          <w:lang w:eastAsia="ru-RU"/>
        </w:rPr>
        <w:t xml:space="preserve">dynamically insignificant stenoses are likely </w:t>
      </w:r>
    </w:p>
    <w:p w14:paraId="743D0590"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lastRenderedPageBreak/>
        <w:t xml:space="preserve">o Indications for treatment taking into account gender and age - The highest clinical value if the indicator is &gt;75 percentiles </w:t>
      </w:r>
    </w:p>
    <w:p w14:paraId="640B5315"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Recommendations - Exclusion of risk factors. Cardiological follow-up examination </w:t>
      </w:r>
    </w:p>
    <w:p w14:paraId="217F2A8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 Agatston index &gt; 400 </w:t>
      </w:r>
    </w:p>
    <w:p w14:paraId="268ED449"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Assessment of Ca - Pronounced calci</w:t>
      </w:r>
      <w:r>
        <w:rPr>
          <w:rFonts w:eastAsia="Times New Roman" w:cs="Times New Roman"/>
          <w:sz w:val="24"/>
          <w:szCs w:val="24"/>
          <w:lang w:eastAsia="ru-RU"/>
        </w:rPr>
        <w:softHyphen/>
      </w:r>
      <w:r w:rsidRPr="00695033">
        <w:rPr>
          <w:rFonts w:eastAsia="Times New Roman" w:cs="Times New Roman"/>
          <w:sz w:val="24"/>
          <w:szCs w:val="24"/>
          <w:lang w:eastAsia="ru-RU"/>
        </w:rPr>
        <w:t xml:space="preserve">fication </w:t>
      </w:r>
    </w:p>
    <w:p w14:paraId="5072AF30"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Risk of coronary heart disease - High probability of hemodynamically significant stenoses </w:t>
      </w:r>
    </w:p>
    <w:p w14:paraId="5AB7A6E4"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xml:space="preserve">o Indications for treatment taking into account gender and age - The highest clinical value if the indicator is &gt;75 percentiles </w:t>
      </w:r>
    </w:p>
    <w:p w14:paraId="528A6C97"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Recommendations - Exclusion of risk factors. Stress ECG, Stress Echo. Coronarog</w:t>
      </w:r>
      <w:r>
        <w:rPr>
          <w:rFonts w:eastAsia="Times New Roman" w:cs="Times New Roman"/>
          <w:sz w:val="24"/>
          <w:szCs w:val="24"/>
          <w:lang w:eastAsia="ru-RU"/>
        </w:rPr>
        <w:softHyphen/>
      </w:r>
      <w:r w:rsidRPr="00695033">
        <w:rPr>
          <w:rFonts w:eastAsia="Times New Roman" w:cs="Times New Roman"/>
          <w:sz w:val="24"/>
          <w:szCs w:val="24"/>
          <w:lang w:eastAsia="ru-RU"/>
        </w:rPr>
        <w:t>raphy if necessary.</w:t>
      </w:r>
    </w:p>
    <w:p w14:paraId="2374CF0C"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o Comparison of the coronary calcium index and the level of stenosis according to CAG:</w:t>
      </w:r>
    </w:p>
    <w:p w14:paraId="5337D24E"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coronary calcium index 27-88 corre</w:t>
      </w:r>
      <w:r>
        <w:rPr>
          <w:rFonts w:eastAsia="Times New Roman" w:cs="Times New Roman"/>
          <w:sz w:val="24"/>
          <w:szCs w:val="24"/>
          <w:lang w:eastAsia="ru-RU"/>
        </w:rPr>
        <w:softHyphen/>
      </w:r>
      <w:r w:rsidRPr="00695033">
        <w:rPr>
          <w:rFonts w:eastAsia="Times New Roman" w:cs="Times New Roman"/>
          <w:sz w:val="24"/>
          <w:szCs w:val="24"/>
          <w:lang w:eastAsia="ru-RU"/>
        </w:rPr>
        <w:t>sponds to &gt;20% of stenosis according to CAG</w:t>
      </w:r>
    </w:p>
    <w:p w14:paraId="1F8BD719"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coronary calcium index 89-127 corre</w:t>
      </w:r>
      <w:r>
        <w:rPr>
          <w:rFonts w:eastAsia="Times New Roman" w:cs="Times New Roman"/>
          <w:sz w:val="24"/>
          <w:szCs w:val="24"/>
          <w:lang w:eastAsia="ru-RU"/>
        </w:rPr>
        <w:softHyphen/>
      </w:r>
      <w:r w:rsidRPr="00695033">
        <w:rPr>
          <w:rFonts w:eastAsia="Times New Roman" w:cs="Times New Roman"/>
          <w:sz w:val="24"/>
          <w:szCs w:val="24"/>
          <w:lang w:eastAsia="ru-RU"/>
        </w:rPr>
        <w:t>sponds to &gt;30% of stenosis according to CAG</w:t>
      </w:r>
    </w:p>
    <w:p w14:paraId="52C7AEFA"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coronary calcium index corresponds to &gt;40% of stenosis according to CAG</w:t>
      </w:r>
    </w:p>
    <w:p w14:paraId="51907EF1"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coronary calcium index corresponds to &gt;50% of stenosis according to CAG</w:t>
      </w:r>
    </w:p>
    <w:p w14:paraId="2F62C06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 coronary calcium index &gt;371 corre</w:t>
      </w:r>
      <w:r>
        <w:rPr>
          <w:rFonts w:eastAsia="Times New Roman" w:cs="Times New Roman"/>
          <w:sz w:val="24"/>
          <w:szCs w:val="24"/>
          <w:lang w:eastAsia="ru-RU"/>
        </w:rPr>
        <w:softHyphen/>
      </w:r>
      <w:r w:rsidRPr="00695033">
        <w:rPr>
          <w:rFonts w:eastAsia="Times New Roman" w:cs="Times New Roman"/>
          <w:sz w:val="24"/>
          <w:szCs w:val="24"/>
          <w:lang w:eastAsia="ru-RU"/>
        </w:rPr>
        <w:t>sponds to &gt;70% of stenosis according to CAG [6]</w:t>
      </w:r>
    </w:p>
    <w:p w14:paraId="7A7B71D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Grading of the lesion of the spacecraft according to the Agaston index: 0 – no signs of lesion (group 1); 1-10 – minimal lesions (group 2); 11-100 – minor lesions (group 3); 101-400 – moderate lesion (group 4); more than 400 – severe lesion (group 5). Of the studied patients, 3 (5.6%) were included in group 2, CAG was not performed; 21 (38.9%) were included in group 3, CAH revealed hemodynamically in</w:t>
      </w:r>
      <w:r>
        <w:rPr>
          <w:rFonts w:eastAsia="Times New Roman" w:cs="Times New Roman"/>
          <w:sz w:val="24"/>
          <w:szCs w:val="24"/>
          <w:lang w:eastAsia="ru-RU"/>
        </w:rPr>
        <w:softHyphen/>
      </w:r>
      <w:r w:rsidRPr="00695033">
        <w:rPr>
          <w:rFonts w:eastAsia="Times New Roman" w:cs="Times New Roman"/>
          <w:sz w:val="24"/>
          <w:szCs w:val="24"/>
          <w:lang w:eastAsia="ru-RU"/>
        </w:rPr>
        <w:t>significant CA stenosis; 27 (50%) were in</w:t>
      </w:r>
      <w:r>
        <w:rPr>
          <w:rFonts w:eastAsia="Times New Roman" w:cs="Times New Roman"/>
          <w:sz w:val="24"/>
          <w:szCs w:val="24"/>
          <w:lang w:eastAsia="ru-RU"/>
        </w:rPr>
        <w:softHyphen/>
      </w:r>
      <w:r w:rsidRPr="00695033">
        <w:rPr>
          <w:rFonts w:eastAsia="Times New Roman" w:cs="Times New Roman"/>
          <w:sz w:val="24"/>
          <w:szCs w:val="24"/>
          <w:lang w:eastAsia="ru-RU"/>
        </w:rPr>
        <w:t>cluded in group 4, with CAG in 19 patients - 50-60% CA stenosis and 8 – more 70% CA ste</w:t>
      </w:r>
      <w:r>
        <w:rPr>
          <w:rFonts w:eastAsia="Times New Roman" w:cs="Times New Roman"/>
          <w:sz w:val="24"/>
          <w:szCs w:val="24"/>
          <w:lang w:eastAsia="ru-RU"/>
        </w:rPr>
        <w:softHyphen/>
      </w:r>
      <w:r w:rsidRPr="00695033">
        <w:rPr>
          <w:rFonts w:eastAsia="Times New Roman" w:cs="Times New Roman"/>
          <w:sz w:val="24"/>
          <w:szCs w:val="24"/>
          <w:lang w:eastAsia="ru-RU"/>
        </w:rPr>
        <w:t>nosis; 3 (5.6%) patients were included in group 5, with CA more than 70% CA stenosis. 11 pa</w:t>
      </w:r>
      <w:r>
        <w:rPr>
          <w:rFonts w:eastAsia="Times New Roman" w:cs="Times New Roman"/>
          <w:sz w:val="24"/>
          <w:szCs w:val="24"/>
          <w:lang w:eastAsia="ru-RU"/>
        </w:rPr>
        <w:softHyphen/>
      </w:r>
      <w:r w:rsidRPr="00695033">
        <w:rPr>
          <w:rFonts w:eastAsia="Times New Roman" w:cs="Times New Roman"/>
          <w:sz w:val="24"/>
          <w:szCs w:val="24"/>
          <w:lang w:eastAsia="ru-RU"/>
        </w:rPr>
        <w:t>tients underwent angioplasty with stent place</w:t>
      </w:r>
      <w:r>
        <w:rPr>
          <w:rFonts w:eastAsia="Times New Roman" w:cs="Times New Roman"/>
          <w:sz w:val="24"/>
          <w:szCs w:val="24"/>
          <w:lang w:eastAsia="ru-RU"/>
        </w:rPr>
        <w:softHyphen/>
      </w:r>
      <w:r w:rsidRPr="00695033">
        <w:rPr>
          <w:rFonts w:eastAsia="Times New Roman" w:cs="Times New Roman"/>
          <w:sz w:val="24"/>
          <w:szCs w:val="24"/>
          <w:lang w:eastAsia="ru-RU"/>
        </w:rPr>
        <w:t>ment.</w:t>
      </w:r>
    </w:p>
    <w:p w14:paraId="6CCAA003" w14:textId="77777777" w:rsidR="00DD566D" w:rsidRPr="00695033"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ab/>
      </w:r>
      <w:r w:rsidRPr="00695033">
        <w:rPr>
          <w:rFonts w:eastAsia="Times New Roman" w:cs="Times New Roman"/>
          <w:b/>
          <w:sz w:val="24"/>
          <w:szCs w:val="24"/>
          <w:lang w:eastAsia="ru-RU"/>
        </w:rPr>
        <w:t xml:space="preserve">Conclusion: </w:t>
      </w:r>
      <w:r w:rsidRPr="00695033">
        <w:rPr>
          <w:rFonts w:eastAsia="Times New Roman" w:cs="Times New Roman"/>
          <w:sz w:val="24"/>
          <w:szCs w:val="24"/>
          <w:lang w:eastAsia="ru-RU"/>
        </w:rPr>
        <w:t>CI is considered one of the strongest tools for predicting the risk of CHD. Due to the ease of implementation, cost-effectiveness and practically no contraindica</w:t>
      </w:r>
      <w:r>
        <w:rPr>
          <w:rFonts w:eastAsia="Times New Roman" w:cs="Times New Roman"/>
          <w:sz w:val="24"/>
          <w:szCs w:val="24"/>
          <w:lang w:eastAsia="ru-RU"/>
        </w:rPr>
        <w:softHyphen/>
      </w:r>
      <w:r w:rsidRPr="00695033">
        <w:rPr>
          <w:rFonts w:eastAsia="Times New Roman" w:cs="Times New Roman"/>
          <w:sz w:val="24"/>
          <w:szCs w:val="24"/>
          <w:lang w:eastAsia="ru-RU"/>
        </w:rPr>
        <w:t>tions, the definition of CI has become wide</w:t>
      </w:r>
      <w:r>
        <w:rPr>
          <w:rFonts w:eastAsia="Times New Roman" w:cs="Times New Roman"/>
          <w:sz w:val="24"/>
          <w:szCs w:val="24"/>
          <w:lang w:eastAsia="ru-RU"/>
        </w:rPr>
        <w:softHyphen/>
      </w:r>
      <w:r w:rsidRPr="00695033">
        <w:rPr>
          <w:rFonts w:eastAsia="Times New Roman" w:cs="Times New Roman"/>
          <w:sz w:val="24"/>
          <w:szCs w:val="24"/>
          <w:lang w:eastAsia="ru-RU"/>
        </w:rPr>
        <w:t>spread, especially during screening in patients with suspected CHD [5]. For several decades, a large amount of evidence-based information has accumulated not only about the diagnostic, but also the prognostic value of CI. This method currently confidently occupies its niche among the methods for the early preclin</w:t>
      </w:r>
      <w:r>
        <w:rPr>
          <w:rFonts w:eastAsia="Times New Roman" w:cs="Times New Roman"/>
          <w:sz w:val="24"/>
          <w:szCs w:val="24"/>
          <w:lang w:eastAsia="ru-RU"/>
        </w:rPr>
        <w:softHyphen/>
      </w:r>
      <w:r w:rsidRPr="00695033">
        <w:rPr>
          <w:rFonts w:eastAsia="Times New Roman" w:cs="Times New Roman"/>
          <w:sz w:val="24"/>
          <w:szCs w:val="24"/>
          <w:lang w:eastAsia="ru-RU"/>
        </w:rPr>
        <w:t>ical diagnosis of CHD. It should be noted that the method is included in the American and European recommendations for the diagnosis of CHD, it has proven its high prognostic value, especially with CI = 0, and can serve as a starting point in changes in recommendations for prescribing statins to asymptomatic pa</w:t>
      </w:r>
      <w:r>
        <w:rPr>
          <w:rFonts w:eastAsia="Times New Roman" w:cs="Times New Roman"/>
          <w:sz w:val="24"/>
          <w:szCs w:val="24"/>
          <w:lang w:eastAsia="ru-RU"/>
        </w:rPr>
        <w:softHyphen/>
      </w:r>
      <w:r w:rsidRPr="00695033">
        <w:rPr>
          <w:rFonts w:eastAsia="Times New Roman" w:cs="Times New Roman"/>
          <w:sz w:val="24"/>
          <w:szCs w:val="24"/>
          <w:lang w:eastAsia="ru-RU"/>
        </w:rPr>
        <w:t>tients [4]. The calculation of CI by CT is not inferior in accuracy to the standard Agatston method with ECG synchronization both in ab</w:t>
      </w:r>
      <w:r>
        <w:rPr>
          <w:rFonts w:eastAsia="Times New Roman" w:cs="Times New Roman"/>
          <w:sz w:val="24"/>
          <w:szCs w:val="24"/>
          <w:lang w:eastAsia="ru-RU"/>
        </w:rPr>
        <w:softHyphen/>
      </w:r>
      <w:r w:rsidRPr="00695033">
        <w:rPr>
          <w:rFonts w:eastAsia="Times New Roman" w:cs="Times New Roman"/>
          <w:sz w:val="24"/>
          <w:szCs w:val="24"/>
          <w:lang w:eastAsia="ru-RU"/>
        </w:rPr>
        <w:t>solute values and when assigning patients to a particular risk group according to CI 0.1-100, 101-400, 401-1000 and &gt;1000. The combina</w:t>
      </w:r>
      <w:r>
        <w:rPr>
          <w:rFonts w:eastAsia="Times New Roman" w:cs="Times New Roman"/>
          <w:sz w:val="24"/>
          <w:szCs w:val="24"/>
          <w:lang w:eastAsia="ru-RU"/>
        </w:rPr>
        <w:softHyphen/>
      </w:r>
      <w:r w:rsidRPr="00695033">
        <w:rPr>
          <w:rFonts w:eastAsia="Times New Roman" w:cs="Times New Roman"/>
          <w:sz w:val="24"/>
          <w:szCs w:val="24"/>
          <w:lang w:eastAsia="ru-RU"/>
        </w:rPr>
        <w:t>tion of CT (including low-dose) with the cal</w:t>
      </w:r>
      <w:r>
        <w:rPr>
          <w:rFonts w:eastAsia="Times New Roman" w:cs="Times New Roman"/>
          <w:sz w:val="24"/>
          <w:szCs w:val="24"/>
          <w:lang w:eastAsia="ru-RU"/>
        </w:rPr>
        <w:softHyphen/>
      </w:r>
      <w:r w:rsidRPr="00695033">
        <w:rPr>
          <w:rFonts w:eastAsia="Times New Roman" w:cs="Times New Roman"/>
          <w:sz w:val="24"/>
          <w:szCs w:val="24"/>
          <w:lang w:eastAsia="ru-RU"/>
        </w:rPr>
        <w:t>culation of CI can significantly enhance the significance and effectiveness of screening programs, not only from a diagnostic point of view, but also from an economic point of view. Simultaneous early detection of such socially significant diseases as lung cancer and CHD is a promising stage in the further development of modern radiology [1,2].</w:t>
      </w:r>
    </w:p>
    <w:p w14:paraId="346996BD" w14:textId="77777777" w:rsidR="00DD566D" w:rsidRDefault="00DD566D" w:rsidP="00DD566D">
      <w:pPr>
        <w:spacing w:line="276" w:lineRule="auto"/>
        <w:ind w:firstLine="567"/>
        <w:jc w:val="both"/>
        <w:rPr>
          <w:rFonts w:eastAsia="Times New Roman" w:cs="Times New Roman"/>
          <w:sz w:val="24"/>
          <w:szCs w:val="24"/>
          <w:lang w:eastAsia="ru-RU"/>
        </w:rPr>
      </w:pPr>
      <w:r w:rsidRPr="00695033">
        <w:rPr>
          <w:rFonts w:eastAsia="Times New Roman" w:cs="Times New Roman"/>
          <w:sz w:val="24"/>
          <w:szCs w:val="24"/>
          <w:lang w:eastAsia="ru-RU"/>
        </w:rPr>
        <w:t>The CC score is an independent marker of risk for cardiac events, cardiac mortality, and all-cause mortality [8]. In addition, it pro</w:t>
      </w:r>
      <w:r>
        <w:rPr>
          <w:rFonts w:eastAsia="Times New Roman" w:cs="Times New Roman"/>
          <w:sz w:val="24"/>
          <w:szCs w:val="24"/>
          <w:lang w:eastAsia="ru-RU"/>
        </w:rPr>
        <w:softHyphen/>
      </w:r>
      <w:r w:rsidRPr="00695033">
        <w:rPr>
          <w:rFonts w:eastAsia="Times New Roman" w:cs="Times New Roman"/>
          <w:sz w:val="24"/>
          <w:szCs w:val="24"/>
          <w:lang w:eastAsia="ru-RU"/>
        </w:rPr>
        <w:t>vides additional prognostic information to other cardiovascular risk markers. The well-es</w:t>
      </w:r>
      <w:r>
        <w:rPr>
          <w:rFonts w:eastAsia="Times New Roman" w:cs="Times New Roman"/>
          <w:sz w:val="24"/>
          <w:szCs w:val="24"/>
          <w:lang w:eastAsia="ru-RU"/>
        </w:rPr>
        <w:softHyphen/>
      </w:r>
      <w:r w:rsidRPr="00695033">
        <w:rPr>
          <w:rFonts w:eastAsia="Times New Roman" w:cs="Times New Roman"/>
          <w:sz w:val="24"/>
          <w:szCs w:val="24"/>
          <w:lang w:eastAsia="ru-RU"/>
        </w:rPr>
        <w:t>tablished indications for the use of the CC score include stratification of global cardiovas</w:t>
      </w:r>
      <w:r>
        <w:rPr>
          <w:rFonts w:eastAsia="Times New Roman" w:cs="Times New Roman"/>
          <w:sz w:val="24"/>
          <w:szCs w:val="24"/>
          <w:lang w:eastAsia="ru-RU"/>
        </w:rPr>
        <w:softHyphen/>
      </w:r>
      <w:r w:rsidRPr="00695033">
        <w:rPr>
          <w:rFonts w:eastAsia="Times New Roman" w:cs="Times New Roman"/>
          <w:sz w:val="24"/>
          <w:szCs w:val="24"/>
          <w:lang w:eastAsia="ru-RU"/>
        </w:rPr>
        <w:t>cular risk for asymptomatic patients: interme</w:t>
      </w:r>
      <w:r>
        <w:rPr>
          <w:rFonts w:eastAsia="Times New Roman" w:cs="Times New Roman"/>
          <w:sz w:val="24"/>
          <w:szCs w:val="24"/>
          <w:lang w:eastAsia="ru-RU"/>
        </w:rPr>
        <w:softHyphen/>
      </w:r>
      <w:r w:rsidRPr="00695033">
        <w:rPr>
          <w:rFonts w:eastAsia="Times New Roman" w:cs="Times New Roman"/>
          <w:sz w:val="24"/>
          <w:szCs w:val="24"/>
          <w:lang w:eastAsia="ru-RU"/>
        </w:rPr>
        <w:t xml:space="preserve">diate risk based on the Framingham risk score </w:t>
      </w:r>
      <w:r w:rsidRPr="00695033">
        <w:rPr>
          <w:rFonts w:eastAsia="Times New Roman" w:cs="Times New Roman"/>
          <w:sz w:val="24"/>
          <w:szCs w:val="24"/>
          <w:lang w:eastAsia="ru-RU"/>
        </w:rPr>
        <w:lastRenderedPageBreak/>
        <w:t>(class I); low risk based on a family history of early CHD (class IIa); and low-risk patients with diabetes (class IIa) [9,10]. In symptomatic patients, the pre-test probability should always be given weight in the interpretation of the CC score as a filter or tool to indicate the best method to facilitate the diagnosis. Therefore, the use of the CC score alone is limited in symptomatic patients. In patients with diabe</w:t>
      </w:r>
      <w:r>
        <w:rPr>
          <w:rFonts w:eastAsia="Times New Roman" w:cs="Times New Roman"/>
          <w:sz w:val="24"/>
          <w:szCs w:val="24"/>
          <w:lang w:eastAsia="ru-RU"/>
        </w:rPr>
        <w:softHyphen/>
      </w:r>
      <w:r w:rsidRPr="00695033">
        <w:rPr>
          <w:rFonts w:eastAsia="Times New Roman" w:cs="Times New Roman"/>
          <w:sz w:val="24"/>
          <w:szCs w:val="24"/>
          <w:lang w:eastAsia="ru-RU"/>
        </w:rPr>
        <w:t>tes, the CC score helps identify the individuals most at risk, who could benefit from screening for silent ischemia and from more aggressive clinical treatment.</w:t>
      </w:r>
    </w:p>
    <w:p w14:paraId="51C8B00B" w14:textId="77777777" w:rsidR="00DD566D" w:rsidRDefault="00DD566D" w:rsidP="00DD566D">
      <w:pPr>
        <w:spacing w:line="276" w:lineRule="auto"/>
        <w:jc w:val="both"/>
        <w:rPr>
          <w:rFonts w:eastAsia="Times New Roman" w:cs="Times New Roman"/>
          <w:sz w:val="24"/>
          <w:szCs w:val="24"/>
          <w:lang w:eastAsia="ru-RU"/>
        </w:rPr>
      </w:pPr>
    </w:p>
    <w:p w14:paraId="1B16789B" w14:textId="77777777" w:rsidR="00DD566D" w:rsidRDefault="00DD566D" w:rsidP="00DD566D">
      <w:pPr>
        <w:spacing w:line="276" w:lineRule="auto"/>
        <w:jc w:val="center"/>
        <w:rPr>
          <w:rFonts w:eastAsia="Times New Roman" w:cs="Times New Roman"/>
          <w:b/>
          <w:sz w:val="24"/>
          <w:szCs w:val="24"/>
          <w:lang w:val="ru-RU" w:eastAsia="ru-RU"/>
        </w:rPr>
      </w:pPr>
      <w:r w:rsidRPr="00695033">
        <w:rPr>
          <w:rFonts w:eastAsia="Times New Roman" w:cs="Times New Roman"/>
          <w:b/>
          <w:sz w:val="24"/>
          <w:szCs w:val="24"/>
          <w:lang w:eastAsia="ru-RU"/>
        </w:rPr>
        <w:t>REFERENCES</w:t>
      </w:r>
    </w:p>
    <w:p w14:paraId="481D8748" w14:textId="77777777" w:rsidR="00DD566D" w:rsidRPr="00695033" w:rsidRDefault="00DD566D" w:rsidP="00DD566D">
      <w:pPr>
        <w:spacing w:line="276" w:lineRule="auto"/>
        <w:jc w:val="both"/>
        <w:rPr>
          <w:rFonts w:eastAsia="Times New Roman" w:cs="Times New Roman"/>
          <w:sz w:val="24"/>
          <w:szCs w:val="24"/>
          <w:lang w:eastAsia="ru-RU"/>
        </w:rPr>
      </w:pPr>
    </w:p>
    <w:p w14:paraId="2FDBBF1B"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Agatston AS, Janowitz WR, Hildner FJ, Zusmer NR, Viamonte M, Detrano R. Quantification of coronary artery calcium us</w:t>
      </w:r>
      <w:r>
        <w:rPr>
          <w:rFonts w:eastAsia="Times New Roman" w:cs="Times New Roman"/>
          <w:sz w:val="24"/>
          <w:szCs w:val="24"/>
          <w:lang w:eastAsia="ru-RU"/>
        </w:rPr>
        <w:softHyphen/>
      </w:r>
      <w:r w:rsidRPr="00695033">
        <w:rPr>
          <w:rFonts w:eastAsia="Times New Roman" w:cs="Times New Roman"/>
          <w:sz w:val="24"/>
          <w:szCs w:val="24"/>
          <w:lang w:eastAsia="ru-RU"/>
        </w:rPr>
        <w:t>ing ultrafast computed tomography. (1990) Journal of the American College of Cardiol</w:t>
      </w:r>
      <w:r>
        <w:rPr>
          <w:rFonts w:eastAsia="Times New Roman" w:cs="Times New Roman"/>
          <w:sz w:val="24"/>
          <w:szCs w:val="24"/>
          <w:lang w:eastAsia="ru-RU"/>
        </w:rPr>
        <w:softHyphen/>
      </w:r>
      <w:r w:rsidRPr="00695033">
        <w:rPr>
          <w:rFonts w:eastAsia="Times New Roman" w:cs="Times New Roman"/>
          <w:sz w:val="24"/>
          <w:szCs w:val="24"/>
          <w:lang w:eastAsia="ru-RU"/>
        </w:rPr>
        <w:t>ogy. 15 (4): 827-32. </w:t>
      </w:r>
      <w:hyperlink r:id="rId15" w:history="1">
        <w:r w:rsidRPr="00695033">
          <w:rPr>
            <w:rFonts w:eastAsia="Times New Roman" w:cs="Times New Roman"/>
            <w:sz w:val="24"/>
            <w:szCs w:val="24"/>
            <w:u w:val="single"/>
            <w:lang w:eastAsia="ru-RU"/>
          </w:rPr>
          <w:t>Pubmed</w:t>
        </w:r>
      </w:hyperlink>
    </w:p>
    <w:p w14:paraId="1C3F4282"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Arad Y, Spadaro LA, Goodman K, Newstein D, Guerci AD. Prediction of coro</w:t>
      </w:r>
      <w:r>
        <w:rPr>
          <w:rFonts w:eastAsia="Times New Roman" w:cs="Times New Roman"/>
          <w:sz w:val="24"/>
          <w:szCs w:val="24"/>
          <w:lang w:eastAsia="ru-RU"/>
        </w:rPr>
        <w:softHyphen/>
      </w:r>
      <w:r w:rsidRPr="00695033">
        <w:rPr>
          <w:rFonts w:eastAsia="Times New Roman" w:cs="Times New Roman"/>
          <w:sz w:val="24"/>
          <w:szCs w:val="24"/>
          <w:lang w:eastAsia="ru-RU"/>
        </w:rPr>
        <w:t>nary events with electron beam computed to</w:t>
      </w:r>
      <w:r>
        <w:rPr>
          <w:rFonts w:eastAsia="Times New Roman" w:cs="Times New Roman"/>
          <w:sz w:val="24"/>
          <w:szCs w:val="24"/>
          <w:lang w:eastAsia="ru-RU"/>
        </w:rPr>
        <w:softHyphen/>
      </w:r>
      <w:r w:rsidRPr="00695033">
        <w:rPr>
          <w:rFonts w:eastAsia="Times New Roman" w:cs="Times New Roman"/>
          <w:sz w:val="24"/>
          <w:szCs w:val="24"/>
          <w:lang w:eastAsia="ru-RU"/>
        </w:rPr>
        <w:t>mography. (2000) Journal of the American College of Cardiology. 36 (4): 1253-60. </w:t>
      </w:r>
      <w:hyperlink r:id="rId16" w:history="1">
        <w:r w:rsidRPr="00695033">
          <w:rPr>
            <w:rFonts w:eastAsia="Times New Roman" w:cs="Times New Roman"/>
            <w:sz w:val="24"/>
            <w:szCs w:val="24"/>
            <w:u w:val="single"/>
            <w:bdr w:val="single" w:sz="2" w:space="0" w:color="E5E7EB" w:frame="1"/>
            <w:lang w:eastAsia="ru-RU"/>
          </w:rPr>
          <w:t>Pubmed</w:t>
        </w:r>
      </w:hyperlink>
    </w:p>
    <w:p w14:paraId="41E72495"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https://radiograph</w:t>
      </w:r>
      <w:r>
        <w:rPr>
          <w:rFonts w:eastAsia="Times New Roman" w:cs="Times New Roman"/>
          <w:sz w:val="24"/>
          <w:szCs w:val="24"/>
          <w:lang w:eastAsia="ru-RU"/>
        </w:rPr>
        <w:softHyphen/>
      </w:r>
      <w:r w:rsidRPr="00695033">
        <w:rPr>
          <w:rFonts w:eastAsia="Times New Roman" w:cs="Times New Roman"/>
          <w:sz w:val="24"/>
          <w:szCs w:val="24"/>
          <w:lang w:eastAsia="ru-RU"/>
        </w:rPr>
        <w:t>ia.info/article/agatston-score</w:t>
      </w:r>
    </w:p>
    <w:p w14:paraId="5B733A2D"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shd w:val="clear" w:color="auto" w:fill="FFFFFF"/>
          <w:lang w:eastAsia="ru-RU"/>
        </w:rPr>
        <w:t>Neves PO, Andrade J, Monção H. Coronary artery calcium score: current sta</w:t>
      </w:r>
      <w:r>
        <w:rPr>
          <w:rFonts w:eastAsia="Times New Roman" w:cs="Times New Roman"/>
          <w:sz w:val="24"/>
          <w:szCs w:val="24"/>
          <w:shd w:val="clear" w:color="auto" w:fill="FFFFFF"/>
          <w:lang w:eastAsia="ru-RU"/>
        </w:rPr>
        <w:softHyphen/>
      </w:r>
      <w:r w:rsidRPr="00695033">
        <w:rPr>
          <w:rFonts w:eastAsia="Times New Roman" w:cs="Times New Roman"/>
          <w:sz w:val="24"/>
          <w:szCs w:val="24"/>
          <w:shd w:val="clear" w:color="auto" w:fill="FFFFFF"/>
          <w:lang w:eastAsia="ru-RU"/>
        </w:rPr>
        <w:t>tus. </w:t>
      </w:r>
      <w:r w:rsidRPr="00695033">
        <w:rPr>
          <w:rFonts w:eastAsia="Times New Roman" w:cs="Times New Roman"/>
          <w:i/>
          <w:iCs/>
          <w:sz w:val="24"/>
          <w:szCs w:val="24"/>
          <w:shd w:val="clear" w:color="auto" w:fill="FFFFFF"/>
          <w:lang w:eastAsia="ru-RU"/>
        </w:rPr>
        <w:t>Radiol Bras</w:t>
      </w:r>
      <w:r w:rsidRPr="00695033">
        <w:rPr>
          <w:rFonts w:eastAsia="Times New Roman" w:cs="Times New Roman"/>
          <w:sz w:val="24"/>
          <w:szCs w:val="24"/>
          <w:shd w:val="clear" w:color="auto" w:fill="FFFFFF"/>
          <w:lang w:eastAsia="ru-RU"/>
        </w:rPr>
        <w:t>. 2017;50(3):182-189. doi:10.1590/0100-3984.2015.0235</w:t>
      </w:r>
    </w:p>
    <w:p w14:paraId="6E8BA637"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 xml:space="preserve"> Otsuka F, Sakakura K, Yahagi K, et al. Has our understanding of calcification in human coronary atherosclerosis progressed? Arterioscler Thromb Vasc Biol. </w:t>
      </w:r>
      <w:r w:rsidRPr="00695033">
        <w:rPr>
          <w:rFonts w:eastAsia="Times New Roman" w:cs="Times New Roman"/>
          <w:sz w:val="24"/>
          <w:szCs w:val="24"/>
          <w:lang w:eastAsia="ru-RU"/>
        </w:rPr>
        <w:t>2014;34,4:724-36. doi:10.1161/AT</w:t>
      </w:r>
      <w:r>
        <w:rPr>
          <w:rFonts w:eastAsia="Times New Roman" w:cs="Times New Roman"/>
          <w:sz w:val="24"/>
          <w:szCs w:val="24"/>
          <w:lang w:eastAsia="ru-RU"/>
        </w:rPr>
        <w:softHyphen/>
      </w:r>
      <w:r w:rsidRPr="00695033">
        <w:rPr>
          <w:rFonts w:eastAsia="Times New Roman" w:cs="Times New Roman"/>
          <w:sz w:val="24"/>
          <w:szCs w:val="24"/>
          <w:lang w:eastAsia="ru-RU"/>
        </w:rPr>
        <w:t xml:space="preserve">VBAHA.113.302642. </w:t>
      </w:r>
    </w:p>
    <w:p w14:paraId="7E746BF6"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Pugliese G, Iacobini C, Blasetti C, Menini S. The dark and bright side of athero</w:t>
      </w:r>
      <w:r>
        <w:rPr>
          <w:rFonts w:eastAsia="Times New Roman" w:cs="Times New Roman"/>
          <w:sz w:val="24"/>
          <w:szCs w:val="24"/>
          <w:lang w:eastAsia="ru-RU"/>
        </w:rPr>
        <w:softHyphen/>
      </w:r>
      <w:r w:rsidRPr="00695033">
        <w:rPr>
          <w:rFonts w:eastAsia="Times New Roman" w:cs="Times New Roman"/>
          <w:sz w:val="24"/>
          <w:szCs w:val="24"/>
          <w:lang w:eastAsia="ru-RU"/>
        </w:rPr>
        <w:t>sclerotic calcification. Atherosclerosis. 2015;238:220-30. doi:10.1016/j. atherosclero</w:t>
      </w:r>
      <w:r>
        <w:rPr>
          <w:rFonts w:eastAsia="Times New Roman" w:cs="Times New Roman"/>
          <w:sz w:val="24"/>
          <w:szCs w:val="24"/>
          <w:lang w:eastAsia="ru-RU"/>
        </w:rPr>
        <w:softHyphen/>
      </w:r>
      <w:r w:rsidRPr="00695033">
        <w:rPr>
          <w:rFonts w:eastAsia="Times New Roman" w:cs="Times New Roman"/>
          <w:sz w:val="24"/>
          <w:szCs w:val="24"/>
          <w:lang w:eastAsia="ru-RU"/>
        </w:rPr>
        <w:t xml:space="preserve">sis.2014.12.011. 6. Leopold J. MicroRNAs regulate vascular medial calcification. Cells. 2014;3:963-80. doi:10.3390/cells3040963. </w:t>
      </w:r>
    </w:p>
    <w:p w14:paraId="535EB06E"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Sandfort V, Bluemke DA. CT cal</w:t>
      </w:r>
      <w:r>
        <w:rPr>
          <w:rFonts w:eastAsia="Times New Roman" w:cs="Times New Roman"/>
          <w:sz w:val="24"/>
          <w:szCs w:val="24"/>
          <w:lang w:eastAsia="ru-RU"/>
        </w:rPr>
        <w:softHyphen/>
      </w:r>
      <w:r w:rsidRPr="00695033">
        <w:rPr>
          <w:rFonts w:eastAsia="Times New Roman" w:cs="Times New Roman"/>
          <w:sz w:val="24"/>
          <w:szCs w:val="24"/>
          <w:lang w:eastAsia="ru-RU"/>
        </w:rPr>
        <w:t>cium scoring. History, current status and out</w:t>
      </w:r>
      <w:r>
        <w:rPr>
          <w:rFonts w:eastAsia="Times New Roman" w:cs="Times New Roman"/>
          <w:sz w:val="24"/>
          <w:szCs w:val="24"/>
          <w:lang w:eastAsia="ru-RU"/>
        </w:rPr>
        <w:softHyphen/>
      </w:r>
      <w:r w:rsidRPr="00695033">
        <w:rPr>
          <w:rFonts w:eastAsia="Times New Roman" w:cs="Times New Roman"/>
          <w:sz w:val="24"/>
          <w:szCs w:val="24"/>
          <w:lang w:eastAsia="ru-RU"/>
        </w:rPr>
        <w:t xml:space="preserve">look. Diagn Interv Imaging. 2017;98,1:3-10. doi:10.1016/j.diii.2016.06.007. </w:t>
      </w:r>
    </w:p>
    <w:p w14:paraId="72A353BC"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lang w:eastAsia="ru-RU"/>
        </w:rPr>
        <w:t>van</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der</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Bijl</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N</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Joemai</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RM</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Geleijns</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J</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Bax</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JJ</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Schuijf</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JD</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de</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Roos</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A</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Kroft</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LJ</w:t>
      </w:r>
      <w:r w:rsidRPr="00B62084">
        <w:rPr>
          <w:rFonts w:eastAsia="Times New Roman" w:cs="Times New Roman"/>
          <w:sz w:val="24"/>
          <w:szCs w:val="24"/>
          <w:lang w:eastAsia="ru-RU"/>
        </w:rPr>
        <w:t xml:space="preserve">. </w:t>
      </w:r>
      <w:r w:rsidRPr="00695033">
        <w:rPr>
          <w:rFonts w:eastAsia="Times New Roman" w:cs="Times New Roman"/>
          <w:sz w:val="24"/>
          <w:szCs w:val="24"/>
          <w:lang w:eastAsia="ru-RU"/>
        </w:rPr>
        <w:t>As</w:t>
      </w:r>
      <w:r>
        <w:rPr>
          <w:rFonts w:eastAsia="Times New Roman" w:cs="Times New Roman"/>
          <w:sz w:val="24"/>
          <w:szCs w:val="24"/>
          <w:lang w:eastAsia="ru-RU"/>
        </w:rPr>
        <w:softHyphen/>
      </w:r>
      <w:r w:rsidRPr="00695033">
        <w:rPr>
          <w:rFonts w:eastAsia="Times New Roman" w:cs="Times New Roman"/>
          <w:sz w:val="24"/>
          <w:szCs w:val="24"/>
          <w:lang w:eastAsia="ru-RU"/>
        </w:rPr>
        <w:t>sessment of Agatston coronary artery calcium score using contrast-enhanced CT coronary an</w:t>
      </w:r>
      <w:r>
        <w:rPr>
          <w:rFonts w:eastAsia="Times New Roman" w:cs="Times New Roman"/>
          <w:sz w:val="24"/>
          <w:szCs w:val="24"/>
          <w:lang w:eastAsia="ru-RU"/>
        </w:rPr>
        <w:softHyphen/>
      </w:r>
      <w:r w:rsidRPr="00695033">
        <w:rPr>
          <w:rFonts w:eastAsia="Times New Roman" w:cs="Times New Roman"/>
          <w:sz w:val="24"/>
          <w:szCs w:val="24"/>
          <w:lang w:eastAsia="ru-RU"/>
        </w:rPr>
        <w:t>giography. (2010) AJR. American journal of roentgenology. 195 (6): 1299-305. </w:t>
      </w:r>
      <w:hyperlink r:id="rId17" w:history="1">
        <w:r w:rsidRPr="00695033">
          <w:rPr>
            <w:rFonts w:eastAsia="Times New Roman" w:cs="Times New Roman"/>
            <w:sz w:val="24"/>
            <w:szCs w:val="24"/>
            <w:u w:val="single"/>
            <w:bdr w:val="single" w:sz="2" w:space="0" w:color="E5E7EB" w:frame="1"/>
            <w:lang w:eastAsia="ru-RU"/>
          </w:rPr>
          <w:t>doi:10.2214/AJR.09.3734</w:t>
        </w:r>
      </w:hyperlink>
      <w:r w:rsidRPr="00695033">
        <w:rPr>
          <w:rFonts w:eastAsia="Times New Roman" w:cs="Times New Roman"/>
          <w:sz w:val="24"/>
          <w:szCs w:val="24"/>
          <w:lang w:eastAsia="ru-RU"/>
        </w:rPr>
        <w:t> - </w:t>
      </w:r>
      <w:hyperlink r:id="rId18" w:history="1">
        <w:r w:rsidRPr="00695033">
          <w:rPr>
            <w:rFonts w:eastAsia="Times New Roman" w:cs="Times New Roman"/>
            <w:sz w:val="24"/>
            <w:szCs w:val="24"/>
            <w:u w:val="single"/>
            <w:bdr w:val="single" w:sz="2" w:space="0" w:color="E5E7EB" w:frame="1"/>
            <w:lang w:eastAsia="ru-RU"/>
          </w:rPr>
          <w:t>Pubmed</w:t>
        </w:r>
      </w:hyperlink>
    </w:p>
    <w:p w14:paraId="7ED04316"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shd w:val="clear" w:color="auto" w:fill="FFFFFF"/>
          <w:lang w:eastAsia="ru-RU"/>
        </w:rPr>
        <w:t>Zhuravlev K.N., Styazhkina O.V., Vasilieva E.Yu., Sinitsyn V.E., Shpektor A.V. The diagnostic value of low-dose chest com</w:t>
      </w:r>
      <w:r>
        <w:rPr>
          <w:rFonts w:eastAsia="Times New Roman" w:cs="Times New Roman"/>
          <w:sz w:val="24"/>
          <w:szCs w:val="24"/>
          <w:shd w:val="clear" w:color="auto" w:fill="FFFFFF"/>
          <w:lang w:eastAsia="ru-RU"/>
        </w:rPr>
        <w:softHyphen/>
      </w:r>
      <w:r w:rsidRPr="00695033">
        <w:rPr>
          <w:rFonts w:eastAsia="Times New Roman" w:cs="Times New Roman"/>
          <w:sz w:val="24"/>
          <w:szCs w:val="24"/>
          <w:shd w:val="clear" w:color="auto" w:fill="FFFFFF"/>
          <w:lang w:eastAsia="ru-RU"/>
        </w:rPr>
        <w:t>puted tomography for calcium score determin</w:t>
      </w:r>
      <w:r>
        <w:rPr>
          <w:rFonts w:eastAsia="Times New Roman" w:cs="Times New Roman"/>
          <w:sz w:val="24"/>
          <w:szCs w:val="24"/>
          <w:shd w:val="clear" w:color="auto" w:fill="FFFFFF"/>
          <w:lang w:eastAsia="ru-RU"/>
        </w:rPr>
        <w:softHyphen/>
      </w:r>
      <w:r w:rsidRPr="00695033">
        <w:rPr>
          <w:rFonts w:eastAsia="Times New Roman" w:cs="Times New Roman"/>
          <w:sz w:val="24"/>
          <w:szCs w:val="24"/>
          <w:shd w:val="clear" w:color="auto" w:fill="FFFFFF"/>
          <w:lang w:eastAsia="ru-RU"/>
        </w:rPr>
        <w:t>ing compared with the standard method and the results of computed tomography and selective coronary angiography. </w:t>
      </w:r>
      <w:r w:rsidRPr="00695033">
        <w:rPr>
          <w:rFonts w:eastAsia="Times New Roman" w:cs="Times New Roman"/>
          <w:i/>
          <w:iCs/>
          <w:sz w:val="24"/>
          <w:szCs w:val="24"/>
          <w:shd w:val="clear" w:color="auto" w:fill="FFFFFF"/>
          <w:lang w:eastAsia="ru-RU"/>
        </w:rPr>
        <w:t>Russian Journal of Cardiology</w:t>
      </w:r>
      <w:r w:rsidRPr="00695033">
        <w:rPr>
          <w:rFonts w:eastAsia="Times New Roman" w:cs="Times New Roman"/>
          <w:sz w:val="24"/>
          <w:szCs w:val="24"/>
          <w:shd w:val="clear" w:color="auto" w:fill="FFFFFF"/>
          <w:lang w:eastAsia="ru-RU"/>
        </w:rPr>
        <w:t>. 2019;(12):16-21. (In Russ.) </w:t>
      </w:r>
      <w:hyperlink r:id="rId19" w:tgtFrame="_blank" w:history="1">
        <w:r w:rsidRPr="00695033">
          <w:rPr>
            <w:rFonts w:eastAsia="Times New Roman" w:cs="Times New Roman"/>
            <w:sz w:val="24"/>
            <w:szCs w:val="24"/>
            <w:u w:val="single"/>
            <w:shd w:val="clear" w:color="auto" w:fill="FFFFFF"/>
            <w:lang w:eastAsia="ru-RU"/>
          </w:rPr>
          <w:t>https://doi.org/10.15829/1560-4071-2019-12-16-21</w:t>
        </w:r>
      </w:hyperlink>
    </w:p>
    <w:p w14:paraId="16AAA37F" w14:textId="77777777" w:rsidR="00DD566D" w:rsidRPr="00695033" w:rsidRDefault="00DD566D" w:rsidP="00DD566D">
      <w:pPr>
        <w:numPr>
          <w:ilvl w:val="3"/>
          <w:numId w:val="39"/>
        </w:numPr>
        <w:tabs>
          <w:tab w:val="left" w:pos="993"/>
        </w:tabs>
        <w:spacing w:line="276" w:lineRule="auto"/>
        <w:ind w:left="0" w:firstLine="567"/>
        <w:contextualSpacing/>
        <w:jc w:val="both"/>
        <w:rPr>
          <w:rFonts w:eastAsia="Times New Roman" w:cs="Times New Roman"/>
          <w:sz w:val="24"/>
          <w:szCs w:val="24"/>
          <w:lang w:eastAsia="ru-RU"/>
        </w:rPr>
      </w:pPr>
      <w:r w:rsidRPr="00695033">
        <w:rPr>
          <w:rFonts w:eastAsia="Times New Roman" w:cs="Times New Roman"/>
          <w:sz w:val="24"/>
          <w:szCs w:val="24"/>
          <w:shd w:val="clear" w:color="auto" w:fill="FFFFFF"/>
          <w:lang w:eastAsia="ru-RU"/>
        </w:rPr>
        <w:t>Zhuravlev K.N., Vasilieva E.Yu., Sinitsyn V.E., Spector A.V. Calcium score as a screening method for cardiovascular disease diagnosis. </w:t>
      </w:r>
      <w:r w:rsidRPr="00695033">
        <w:rPr>
          <w:rFonts w:eastAsia="Times New Roman" w:cs="Times New Roman"/>
          <w:i/>
          <w:iCs/>
          <w:sz w:val="24"/>
          <w:szCs w:val="24"/>
          <w:shd w:val="clear" w:color="auto" w:fill="FFFFFF"/>
          <w:lang w:eastAsia="ru-RU"/>
        </w:rPr>
        <w:t>Russian Journal of Cardiology</w:t>
      </w:r>
      <w:r w:rsidRPr="00695033">
        <w:rPr>
          <w:rFonts w:eastAsia="Times New Roman" w:cs="Times New Roman"/>
          <w:sz w:val="24"/>
          <w:szCs w:val="24"/>
          <w:shd w:val="clear" w:color="auto" w:fill="FFFFFF"/>
          <w:lang w:eastAsia="ru-RU"/>
        </w:rPr>
        <w:t>. 2019;(12):153-161. (In Russ.) </w:t>
      </w:r>
      <w:hyperlink r:id="rId20" w:tgtFrame="_blank" w:history="1">
        <w:r w:rsidRPr="00695033">
          <w:rPr>
            <w:rFonts w:eastAsia="Times New Roman" w:cs="Times New Roman"/>
            <w:sz w:val="24"/>
            <w:szCs w:val="24"/>
            <w:u w:val="single"/>
            <w:shd w:val="clear" w:color="auto" w:fill="FFFFFF"/>
            <w:lang w:eastAsia="ru-RU"/>
          </w:rPr>
          <w:t>https://doi.org/10.15829/1560-4071-2019-12-153-161</w:t>
        </w:r>
      </w:hyperlink>
    </w:p>
    <w:p w14:paraId="2B4F0665" w14:textId="77777777" w:rsidR="00DD566D" w:rsidRDefault="00DD566D" w:rsidP="00DD566D">
      <w:pPr>
        <w:spacing w:line="276" w:lineRule="auto"/>
        <w:ind w:firstLine="567"/>
        <w:jc w:val="both"/>
        <w:rPr>
          <w:rFonts w:eastAsia="Times New Roman" w:cs="Times New Roman"/>
          <w:sz w:val="24"/>
          <w:szCs w:val="24"/>
          <w:lang w:eastAsia="ru-RU"/>
        </w:rPr>
        <w:sectPr w:rsidR="00DD566D" w:rsidSect="00BC6CB6">
          <w:type w:val="continuous"/>
          <w:pgSz w:w="11907" w:h="16840" w:code="9"/>
          <w:pgMar w:top="1418" w:right="1134" w:bottom="1134" w:left="1134" w:header="907" w:footer="794" w:gutter="0"/>
          <w:cols w:num="2" w:space="708"/>
          <w:docGrid w:linePitch="381"/>
        </w:sectPr>
      </w:pPr>
    </w:p>
    <w:p w14:paraId="11B52091" w14:textId="77777777" w:rsidR="00DD566D" w:rsidRDefault="00DD566D" w:rsidP="00DD566D">
      <w:pPr>
        <w:spacing w:line="276" w:lineRule="auto"/>
        <w:ind w:firstLine="567"/>
        <w:jc w:val="both"/>
        <w:rPr>
          <w:rFonts w:eastAsia="Times New Roman" w:cs="Times New Roman"/>
          <w:sz w:val="24"/>
          <w:szCs w:val="24"/>
          <w:lang w:eastAsia="ru-RU"/>
        </w:rPr>
      </w:pPr>
    </w:p>
    <w:p w14:paraId="6CAF2647" w14:textId="77777777" w:rsidR="00DD566D" w:rsidRDefault="00DD566D" w:rsidP="00DD566D">
      <w:pPr>
        <w:spacing w:line="276" w:lineRule="auto"/>
        <w:ind w:firstLine="567"/>
        <w:jc w:val="both"/>
        <w:rPr>
          <w:rFonts w:eastAsia="Times New Roman" w:cs="Times New Roman"/>
          <w:sz w:val="24"/>
          <w:szCs w:val="24"/>
          <w:lang w:eastAsia="ru-RU"/>
        </w:rPr>
      </w:pPr>
    </w:p>
    <w:p w14:paraId="165C5633" w14:textId="77777777" w:rsidR="00DD566D" w:rsidRDefault="00DD566D" w:rsidP="00DD566D">
      <w:pPr>
        <w:spacing w:line="276" w:lineRule="auto"/>
        <w:ind w:firstLine="567"/>
        <w:jc w:val="both"/>
        <w:rPr>
          <w:rFonts w:eastAsia="Times New Roman" w:cs="Times New Roman"/>
          <w:sz w:val="24"/>
          <w:szCs w:val="24"/>
          <w:lang w:eastAsia="ru-RU"/>
        </w:rPr>
      </w:pPr>
    </w:p>
    <w:p w14:paraId="6F63A549" w14:textId="77777777" w:rsidR="00DD566D" w:rsidRDefault="00DD566D" w:rsidP="00DD566D">
      <w:pPr>
        <w:spacing w:line="276" w:lineRule="auto"/>
        <w:ind w:firstLine="567"/>
        <w:jc w:val="both"/>
        <w:rPr>
          <w:rFonts w:eastAsia="Times New Roman" w:cs="Times New Roman"/>
          <w:sz w:val="24"/>
          <w:szCs w:val="24"/>
          <w:lang w:eastAsia="ru-RU"/>
        </w:rPr>
      </w:pPr>
    </w:p>
    <w:p w14:paraId="5CC8DBA7" w14:textId="77777777" w:rsidR="00DD566D" w:rsidRDefault="00DD566D" w:rsidP="00DD566D">
      <w:pPr>
        <w:spacing w:line="276" w:lineRule="auto"/>
        <w:ind w:firstLine="567"/>
        <w:jc w:val="both"/>
        <w:rPr>
          <w:rFonts w:eastAsia="Times New Roman" w:cs="Times New Roman"/>
          <w:sz w:val="24"/>
          <w:szCs w:val="24"/>
          <w:lang w:eastAsia="ru-RU"/>
        </w:rPr>
      </w:pPr>
    </w:p>
    <w:p w14:paraId="209F7282" w14:textId="77777777" w:rsidR="00DD566D" w:rsidRDefault="00DD566D" w:rsidP="00DD566D">
      <w:pPr>
        <w:spacing w:line="276" w:lineRule="auto"/>
        <w:ind w:firstLine="567"/>
        <w:jc w:val="both"/>
        <w:rPr>
          <w:rFonts w:eastAsia="Times New Roman" w:cs="Times New Roman"/>
          <w:sz w:val="24"/>
          <w:szCs w:val="24"/>
          <w:lang w:eastAsia="ru-RU"/>
        </w:rPr>
      </w:pPr>
    </w:p>
    <w:p w14:paraId="1FF89ABA" w14:textId="77777777" w:rsidR="00DD566D" w:rsidRDefault="00DD566D" w:rsidP="00DD566D">
      <w:pPr>
        <w:spacing w:line="276" w:lineRule="auto"/>
        <w:ind w:firstLine="567"/>
        <w:jc w:val="both"/>
        <w:rPr>
          <w:rFonts w:eastAsia="Times New Roman" w:cs="Times New Roman"/>
          <w:sz w:val="24"/>
          <w:szCs w:val="24"/>
          <w:lang w:eastAsia="ru-RU"/>
        </w:rPr>
      </w:pPr>
    </w:p>
    <w:p w14:paraId="1F549F93" w14:textId="77777777" w:rsidR="00DD566D" w:rsidRDefault="00DD566D" w:rsidP="00DD566D">
      <w:pPr>
        <w:spacing w:line="276" w:lineRule="auto"/>
        <w:ind w:firstLine="567"/>
        <w:jc w:val="both"/>
        <w:rPr>
          <w:rFonts w:eastAsia="Times New Roman" w:cs="Times New Roman"/>
          <w:sz w:val="24"/>
          <w:szCs w:val="24"/>
          <w:lang w:eastAsia="ru-RU"/>
        </w:rPr>
      </w:pPr>
    </w:p>
    <w:p w14:paraId="0C7A8141" w14:textId="77777777" w:rsidR="00DD566D" w:rsidRDefault="00DD566D" w:rsidP="00DD566D">
      <w:pPr>
        <w:spacing w:line="276" w:lineRule="auto"/>
        <w:ind w:firstLine="567"/>
        <w:jc w:val="both"/>
        <w:rPr>
          <w:rFonts w:eastAsia="Times New Roman" w:cs="Times New Roman"/>
          <w:sz w:val="24"/>
          <w:szCs w:val="24"/>
          <w:lang w:eastAsia="ru-RU"/>
        </w:rPr>
      </w:pPr>
    </w:p>
    <w:p w14:paraId="52BD4C97" w14:textId="77777777" w:rsidR="00DD566D" w:rsidRDefault="00DD566D" w:rsidP="00DD566D">
      <w:pPr>
        <w:spacing w:line="276" w:lineRule="auto"/>
        <w:ind w:firstLine="567"/>
        <w:jc w:val="both"/>
        <w:rPr>
          <w:rFonts w:eastAsia="Times New Roman" w:cs="Times New Roman"/>
          <w:sz w:val="24"/>
          <w:szCs w:val="24"/>
          <w:lang w:eastAsia="ru-RU"/>
        </w:rPr>
      </w:pPr>
    </w:p>
    <w:p w14:paraId="43301C9D" w14:textId="77777777" w:rsidR="00DD566D" w:rsidRDefault="00DD566D" w:rsidP="00DD566D">
      <w:pPr>
        <w:spacing w:line="276" w:lineRule="auto"/>
        <w:ind w:firstLine="567"/>
        <w:jc w:val="both"/>
        <w:rPr>
          <w:rFonts w:eastAsia="Times New Roman" w:cs="Times New Roman"/>
          <w:sz w:val="24"/>
          <w:szCs w:val="24"/>
          <w:lang w:eastAsia="ru-RU"/>
        </w:rPr>
      </w:pPr>
    </w:p>
    <w:p w14:paraId="27C6921F" w14:textId="77777777" w:rsidR="00DD566D" w:rsidRDefault="00DD566D" w:rsidP="00DD566D">
      <w:pPr>
        <w:spacing w:line="276" w:lineRule="auto"/>
        <w:ind w:firstLine="567"/>
        <w:jc w:val="both"/>
        <w:rPr>
          <w:rFonts w:eastAsia="Times New Roman" w:cs="Times New Roman"/>
          <w:sz w:val="24"/>
          <w:szCs w:val="24"/>
          <w:lang w:eastAsia="ru-RU"/>
        </w:rPr>
      </w:pPr>
    </w:p>
    <w:p w14:paraId="07E075FF" w14:textId="77777777" w:rsidR="00DD566D" w:rsidRDefault="00DD566D" w:rsidP="00DD566D">
      <w:pPr>
        <w:spacing w:line="276" w:lineRule="auto"/>
        <w:ind w:firstLine="567"/>
        <w:jc w:val="both"/>
        <w:rPr>
          <w:rFonts w:eastAsia="Times New Roman" w:cs="Times New Roman"/>
          <w:sz w:val="24"/>
          <w:szCs w:val="24"/>
          <w:lang w:eastAsia="ru-RU"/>
        </w:rPr>
      </w:pPr>
    </w:p>
    <w:p w14:paraId="491B7D18" w14:textId="77777777" w:rsidR="00DD566D" w:rsidRDefault="00DD566D" w:rsidP="00DD566D">
      <w:pPr>
        <w:spacing w:line="276" w:lineRule="auto"/>
        <w:ind w:firstLine="567"/>
        <w:jc w:val="both"/>
        <w:rPr>
          <w:rFonts w:eastAsia="Times New Roman" w:cs="Times New Roman"/>
          <w:sz w:val="24"/>
          <w:szCs w:val="24"/>
          <w:lang w:eastAsia="ru-RU"/>
        </w:rPr>
      </w:pPr>
    </w:p>
    <w:p w14:paraId="3E9AEA2B"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sectPr w:rsidR="00DD566D" w:rsidSect="00BC6CB6">
          <w:type w:val="continuous"/>
          <w:pgSz w:w="11907" w:h="16840" w:code="9"/>
          <w:pgMar w:top="1418" w:right="1134" w:bottom="1134" w:left="1134" w:header="907" w:footer="794" w:gutter="0"/>
          <w:cols w:num="2" w:space="708"/>
          <w:docGrid w:linePitch="381"/>
        </w:sectPr>
      </w:pPr>
    </w:p>
    <w:p w14:paraId="58165567" w14:textId="77777777" w:rsidR="00DD566D" w:rsidRPr="00695033"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6BD72BD4" w14:textId="77777777" w:rsidR="00DD566D" w:rsidRPr="00695033"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38B954EF"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38FC2479"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3C101305" w14:textId="77777777" w:rsidR="00DD566D"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4FB67138" w14:textId="77777777" w:rsidR="00DD566D" w:rsidRPr="00695033" w:rsidRDefault="00DD566D" w:rsidP="00DD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val="uz-Latn-UZ" w:eastAsia="ru-RU"/>
        </w:rPr>
      </w:pPr>
    </w:p>
    <w:p w14:paraId="25225959" w14:textId="77777777" w:rsidR="00DD566D" w:rsidRPr="002B368D" w:rsidRDefault="00DD566D" w:rsidP="00DD566D">
      <w:pPr>
        <w:pStyle w:val="1"/>
        <w:rPr>
          <w:rFonts w:eastAsia="Calibri"/>
        </w:rPr>
      </w:pPr>
      <w:bookmarkStart w:id="4" w:name="_Toc104745750"/>
      <w:r w:rsidRPr="002B368D">
        <w:rPr>
          <w:rFonts w:eastAsia="Calibri"/>
        </w:rPr>
        <w:t>STUDY OF PHYSICAL ACTIVITY WITH EXERCISE PULSE IN PATIENTS WITH ISCHEMIC HEART DISEASE</w:t>
      </w:r>
      <w:bookmarkEnd w:id="4"/>
    </w:p>
    <w:p w14:paraId="31CA634E" w14:textId="77777777" w:rsidR="00DD566D" w:rsidRDefault="00DD566D" w:rsidP="00DD566D">
      <w:pPr>
        <w:spacing w:line="288" w:lineRule="auto"/>
        <w:ind w:firstLine="567"/>
        <w:jc w:val="both"/>
        <w:rPr>
          <w:rFonts w:eastAsia="Calibri" w:cs="Times New Roman"/>
          <w:sz w:val="24"/>
          <w:szCs w:val="24"/>
        </w:rPr>
      </w:pPr>
    </w:p>
    <w:p w14:paraId="3C50751D" w14:textId="77777777" w:rsidR="00DD566D" w:rsidRDefault="00DD566D" w:rsidP="00DD566D">
      <w:pPr>
        <w:spacing w:line="288" w:lineRule="auto"/>
        <w:jc w:val="center"/>
        <w:rPr>
          <w:rFonts w:eastAsia="Calibri" w:cs="Times New Roman"/>
          <w:b/>
          <w:sz w:val="24"/>
          <w:szCs w:val="24"/>
        </w:rPr>
      </w:pPr>
      <w:r w:rsidRPr="00971B09">
        <w:rPr>
          <w:rFonts w:eastAsia="Calibri" w:cs="Times New Roman"/>
          <w:b/>
          <w:sz w:val="24"/>
          <w:szCs w:val="24"/>
        </w:rPr>
        <w:t>Saidahamdov Saidazizxon Saidamin o’g’li</w:t>
      </w:r>
      <w:r w:rsidRPr="002B368D">
        <w:rPr>
          <w:rFonts w:eastAsia="Calibri" w:cs="Times New Roman"/>
          <w:b/>
          <w:sz w:val="24"/>
          <w:szCs w:val="24"/>
        </w:rPr>
        <w:t xml:space="preserve">, </w:t>
      </w:r>
      <w:r w:rsidRPr="001B5364">
        <w:rPr>
          <w:rFonts w:eastAsia="Calibri" w:cs="Times New Roman"/>
          <w:b/>
          <w:sz w:val="24"/>
          <w:szCs w:val="24"/>
        </w:rPr>
        <w:t xml:space="preserve">3rd year </w:t>
      </w:r>
      <w:r w:rsidRPr="002B368D">
        <w:rPr>
          <w:rFonts w:eastAsia="Calibri" w:cs="Times New Roman"/>
          <w:b/>
          <w:sz w:val="24"/>
          <w:szCs w:val="24"/>
        </w:rPr>
        <w:t xml:space="preserve">student of the master's </w:t>
      </w:r>
    </w:p>
    <w:p w14:paraId="75A9A1D7" w14:textId="77777777" w:rsidR="00DD566D" w:rsidRPr="002B368D" w:rsidRDefault="00DD566D" w:rsidP="00DD566D">
      <w:pPr>
        <w:spacing w:line="288" w:lineRule="auto"/>
        <w:jc w:val="center"/>
        <w:rPr>
          <w:rFonts w:eastAsia="Calibri" w:cs="Times New Roman"/>
          <w:b/>
          <w:sz w:val="24"/>
          <w:szCs w:val="24"/>
        </w:rPr>
      </w:pPr>
      <w:r w:rsidRPr="002B368D">
        <w:rPr>
          <w:rFonts w:eastAsia="Calibri" w:cs="Times New Roman"/>
          <w:b/>
          <w:sz w:val="24"/>
          <w:szCs w:val="24"/>
        </w:rPr>
        <w:t>degree in cardiology</w:t>
      </w:r>
    </w:p>
    <w:p w14:paraId="07B299D0" w14:textId="77777777" w:rsidR="00DD566D" w:rsidRPr="00632F29" w:rsidRDefault="00DD566D" w:rsidP="00DD566D">
      <w:pPr>
        <w:spacing w:line="288" w:lineRule="auto"/>
        <w:jc w:val="center"/>
        <w:rPr>
          <w:rFonts w:eastAsia="Calibri" w:cs="Times New Roman"/>
          <w:b/>
          <w:sz w:val="24"/>
          <w:szCs w:val="24"/>
        </w:rPr>
      </w:pPr>
      <w:r w:rsidRPr="00632F29">
        <w:rPr>
          <w:rFonts w:eastAsia="Calibri" w:cs="Times New Roman"/>
          <w:b/>
          <w:sz w:val="24"/>
          <w:szCs w:val="24"/>
        </w:rPr>
        <w:t xml:space="preserve">Shukurjanova Surayyo </w:t>
      </w:r>
      <w:r w:rsidRPr="00971B09">
        <w:rPr>
          <w:rFonts w:eastAsia="Calibri" w:cs="Times New Roman"/>
          <w:b/>
          <w:sz w:val="24"/>
          <w:szCs w:val="24"/>
          <w:lang w:val="it-IT"/>
        </w:rPr>
        <w:t>М</w:t>
      </w:r>
      <w:r w:rsidRPr="00632F29">
        <w:rPr>
          <w:rFonts w:eastAsia="Calibri" w:cs="Times New Roman"/>
          <w:b/>
          <w:sz w:val="24"/>
          <w:szCs w:val="24"/>
        </w:rPr>
        <w:t>ahmudovna</w:t>
      </w:r>
      <w:r w:rsidRPr="002B368D">
        <w:rPr>
          <w:rFonts w:eastAsia="Calibri" w:cs="Times New Roman"/>
          <w:b/>
          <w:sz w:val="24"/>
          <w:szCs w:val="24"/>
          <w:lang w:val="uz-Cyrl-UZ"/>
        </w:rPr>
        <w:t xml:space="preserve">, </w:t>
      </w:r>
      <w:r w:rsidRPr="00632F29">
        <w:rPr>
          <w:rFonts w:eastAsia="Calibri" w:cs="Times New Roman"/>
          <w:b/>
          <w:sz w:val="24"/>
          <w:szCs w:val="24"/>
        </w:rPr>
        <w:t xml:space="preserve">PhD, associate professor </w:t>
      </w:r>
    </w:p>
    <w:p w14:paraId="69C378D5" w14:textId="77777777" w:rsidR="00DD566D" w:rsidRPr="002B368D" w:rsidRDefault="00DD566D" w:rsidP="00DD566D">
      <w:pPr>
        <w:spacing w:line="288" w:lineRule="auto"/>
        <w:jc w:val="center"/>
        <w:rPr>
          <w:rFonts w:eastAsia="Calibri" w:cs="Times New Roman"/>
          <w:b/>
          <w:sz w:val="24"/>
          <w:szCs w:val="24"/>
        </w:rPr>
      </w:pPr>
      <w:r w:rsidRPr="00971B09">
        <w:rPr>
          <w:rFonts w:eastAsia="Calibri" w:cs="Times New Roman"/>
          <w:b/>
          <w:sz w:val="24"/>
          <w:szCs w:val="24"/>
        </w:rPr>
        <w:t>Rajabova Rano Shavkatovna</w:t>
      </w:r>
      <w:r w:rsidRPr="002B368D">
        <w:rPr>
          <w:rFonts w:eastAsia="Calibri" w:cs="Times New Roman"/>
          <w:b/>
          <w:sz w:val="24"/>
          <w:szCs w:val="24"/>
        </w:rPr>
        <w:t xml:space="preserve">, assistent </w:t>
      </w:r>
    </w:p>
    <w:p w14:paraId="0AFF6D08" w14:textId="77777777" w:rsidR="00DD566D" w:rsidRDefault="00DD566D" w:rsidP="00DD566D">
      <w:pPr>
        <w:spacing w:line="288" w:lineRule="auto"/>
        <w:jc w:val="center"/>
        <w:rPr>
          <w:rFonts w:eastAsia="Calibri" w:cs="Times New Roman"/>
          <w:sz w:val="24"/>
          <w:szCs w:val="24"/>
        </w:rPr>
      </w:pPr>
      <w:r w:rsidRPr="002B368D">
        <w:rPr>
          <w:rFonts w:eastAsia="Calibri" w:cs="Times New Roman"/>
          <w:sz w:val="24"/>
          <w:szCs w:val="24"/>
        </w:rPr>
        <w:t>Department of Internal Diseases No.1</w:t>
      </w:r>
    </w:p>
    <w:p w14:paraId="040683BB" w14:textId="77777777" w:rsidR="00DD566D" w:rsidRPr="002B368D" w:rsidRDefault="00DD566D" w:rsidP="00DD566D">
      <w:pPr>
        <w:spacing w:line="288" w:lineRule="auto"/>
        <w:jc w:val="center"/>
        <w:rPr>
          <w:rFonts w:eastAsia="Calibri" w:cs="Times New Roman"/>
          <w:sz w:val="24"/>
          <w:szCs w:val="24"/>
        </w:rPr>
      </w:pPr>
      <w:r w:rsidRPr="002B368D">
        <w:rPr>
          <w:rFonts w:eastAsia="Calibri" w:cs="Times New Roman"/>
          <w:sz w:val="24"/>
          <w:szCs w:val="24"/>
        </w:rPr>
        <w:t>Tashkent Medical Academy, Tashkent, Uzbekistan</w:t>
      </w:r>
    </w:p>
    <w:p w14:paraId="08F85CC7" w14:textId="77777777" w:rsidR="00DD566D" w:rsidRPr="002B368D" w:rsidRDefault="00DD566D" w:rsidP="00DD566D">
      <w:pPr>
        <w:tabs>
          <w:tab w:val="left" w:pos="9355"/>
        </w:tabs>
        <w:autoSpaceDE w:val="0"/>
        <w:autoSpaceDN w:val="0"/>
        <w:adjustRightInd w:val="0"/>
        <w:spacing w:line="288" w:lineRule="auto"/>
        <w:ind w:firstLine="567"/>
        <w:jc w:val="both"/>
        <w:rPr>
          <w:rFonts w:eastAsia="Times New Roman" w:cs="Times New Roman"/>
          <w:b/>
          <w:sz w:val="24"/>
          <w:szCs w:val="24"/>
          <w:lang w:val="uz-Cyrl-UZ" w:eastAsia="ru-RU"/>
        </w:rPr>
      </w:pPr>
    </w:p>
    <w:p w14:paraId="3B0BE87A" w14:textId="77777777" w:rsidR="00DD566D" w:rsidRPr="002B368D" w:rsidRDefault="00DD566D" w:rsidP="00DD566D">
      <w:pPr>
        <w:spacing w:line="288" w:lineRule="auto"/>
        <w:ind w:firstLine="567"/>
        <w:jc w:val="both"/>
        <w:rPr>
          <w:rFonts w:eastAsia="Calibri" w:cs="Times New Roman"/>
          <w:i/>
          <w:iCs/>
          <w:sz w:val="24"/>
          <w:szCs w:val="24"/>
          <w:lang w:val="uz-Cyrl-UZ"/>
        </w:rPr>
      </w:pPr>
      <w:r w:rsidRPr="002B368D">
        <w:rPr>
          <w:rFonts w:eastAsia="Times New Roman" w:cs="Times New Roman"/>
          <w:b/>
          <w:i/>
          <w:iCs/>
          <w:sz w:val="24"/>
          <w:szCs w:val="24"/>
          <w:lang w:val="uz-Cyrl-UZ" w:eastAsia="ru-RU"/>
        </w:rPr>
        <w:t xml:space="preserve">Annotation. </w:t>
      </w:r>
      <w:r w:rsidRPr="002B368D">
        <w:rPr>
          <w:rFonts w:eastAsia="Calibri" w:cs="Times New Roman"/>
          <w:i/>
          <w:iCs/>
          <w:sz w:val="24"/>
          <w:szCs w:val="24"/>
          <w:lang w:val="uz-Cyrl-UZ"/>
        </w:rPr>
        <w:t>I</w:t>
      </w:r>
      <w:r w:rsidRPr="002B368D">
        <w:rPr>
          <w:rFonts w:eastAsia="Calibri" w:cs="Times New Roman"/>
          <w:i/>
          <w:iCs/>
          <w:sz w:val="24"/>
          <w:szCs w:val="24"/>
        </w:rPr>
        <w:t>s</w:t>
      </w:r>
      <w:r w:rsidRPr="002B368D">
        <w:rPr>
          <w:rFonts w:eastAsia="Calibri" w:cs="Times New Roman"/>
          <w:i/>
          <w:iCs/>
          <w:sz w:val="24"/>
          <w:szCs w:val="24"/>
          <w:lang w:val="uz-Cyrl-UZ"/>
        </w:rPr>
        <w:t>chemic heart disease (</w:t>
      </w:r>
      <w:r w:rsidRPr="002B368D">
        <w:rPr>
          <w:rFonts w:eastAsia="Calibri" w:cs="Times New Roman"/>
          <w:i/>
          <w:iCs/>
          <w:sz w:val="24"/>
          <w:szCs w:val="24"/>
        </w:rPr>
        <w:t>I</w:t>
      </w:r>
      <w:r w:rsidRPr="002B368D">
        <w:rPr>
          <w:rFonts w:eastAsia="Calibri" w:cs="Times New Roman"/>
          <w:i/>
          <w:iCs/>
          <w:sz w:val="24"/>
          <w:szCs w:val="24"/>
          <w:lang w:val="uz-Cyrl-UZ"/>
        </w:rPr>
        <w:t xml:space="preserve">HD) is one of the leading cardiovascular diseases worldwide, and hypodynamics is one of the main etiological factors of this disease. </w:t>
      </w:r>
      <w:r w:rsidRPr="002B368D">
        <w:rPr>
          <w:rFonts w:eastAsia="Calibri" w:cs="Times New Roman"/>
          <w:bCs/>
          <w:i/>
          <w:iCs/>
          <w:sz w:val="24"/>
          <w:szCs w:val="24"/>
          <w:shd w:val="clear" w:color="auto" w:fill="FFFFFF"/>
          <w:lang w:val="uz-Cyrl-UZ"/>
        </w:rPr>
        <w:t xml:space="preserve">The study examined and compared patients' "exercise pulse" at the beginning of the study and after 6 months. </w:t>
      </w:r>
      <w:r w:rsidRPr="002B368D">
        <w:rPr>
          <w:rFonts w:eastAsia="Calibri" w:cs="Times New Roman"/>
          <w:i/>
          <w:iCs/>
          <w:sz w:val="24"/>
          <w:szCs w:val="24"/>
          <w:lang w:val="uz-Cyrl-UZ"/>
        </w:rPr>
        <w:t xml:space="preserve">An increase in tolerance to physical activity was noted in patients during individual optimal-dose walking exercises, which was manifested by a 2.6-fold increase in the time to reach the allowable pulse rate during walking exercises. </w:t>
      </w:r>
    </w:p>
    <w:p w14:paraId="52E27446" w14:textId="77777777" w:rsidR="00DD566D" w:rsidRPr="002B368D" w:rsidRDefault="00DD566D" w:rsidP="00DD566D">
      <w:pPr>
        <w:tabs>
          <w:tab w:val="left" w:pos="9355"/>
        </w:tabs>
        <w:autoSpaceDE w:val="0"/>
        <w:autoSpaceDN w:val="0"/>
        <w:adjustRightInd w:val="0"/>
        <w:spacing w:line="288" w:lineRule="auto"/>
        <w:ind w:firstLine="567"/>
        <w:jc w:val="both"/>
        <w:rPr>
          <w:rFonts w:eastAsia="Calibri" w:cs="Times New Roman"/>
          <w:bCs/>
          <w:i/>
          <w:iCs/>
          <w:sz w:val="24"/>
          <w:szCs w:val="24"/>
          <w:shd w:val="clear" w:color="auto" w:fill="FFFFFF"/>
        </w:rPr>
      </w:pPr>
      <w:r w:rsidRPr="002B368D">
        <w:rPr>
          <w:rFonts w:eastAsia="Times New Roman" w:cs="Times New Roman"/>
          <w:b/>
          <w:bCs/>
          <w:i/>
          <w:iCs/>
          <w:sz w:val="24"/>
          <w:szCs w:val="24"/>
          <w:lang w:eastAsia="ru-RU"/>
        </w:rPr>
        <w:t>Key words:</w:t>
      </w:r>
      <w:r w:rsidRPr="002B368D">
        <w:rPr>
          <w:rFonts w:eastAsia="Times New Roman" w:cs="Times New Roman"/>
          <w:i/>
          <w:iCs/>
          <w:sz w:val="24"/>
          <w:szCs w:val="24"/>
          <w:lang w:eastAsia="ru-RU"/>
        </w:rPr>
        <w:t xml:space="preserve"> ischemic heart disease, </w:t>
      </w:r>
      <w:r w:rsidRPr="002B368D">
        <w:rPr>
          <w:rFonts w:eastAsia="Calibri" w:cs="Times New Roman"/>
          <w:bCs/>
          <w:i/>
          <w:iCs/>
          <w:sz w:val="24"/>
          <w:szCs w:val="24"/>
          <w:shd w:val="clear" w:color="auto" w:fill="FFFFFF"/>
          <w:lang w:val="uz-Cyrl-UZ"/>
        </w:rPr>
        <w:t>exercise pulse</w:t>
      </w:r>
      <w:r w:rsidRPr="002B368D">
        <w:rPr>
          <w:rFonts w:eastAsia="Calibri" w:cs="Times New Roman"/>
          <w:bCs/>
          <w:i/>
          <w:iCs/>
          <w:sz w:val="24"/>
          <w:szCs w:val="24"/>
          <w:shd w:val="clear" w:color="auto" w:fill="FFFFFF"/>
        </w:rPr>
        <w:t>, hypodinamy,</w:t>
      </w:r>
      <w:r w:rsidRPr="002B368D">
        <w:rPr>
          <w:rFonts w:eastAsia="Calibri" w:cs="Times New Roman"/>
          <w:b/>
          <w:bCs/>
          <w:i/>
          <w:iCs/>
          <w:sz w:val="24"/>
          <w:szCs w:val="24"/>
          <w:shd w:val="clear" w:color="auto" w:fill="FFFFFF"/>
        </w:rPr>
        <w:t xml:space="preserve"> </w:t>
      </w:r>
      <w:r w:rsidRPr="002B368D">
        <w:rPr>
          <w:rFonts w:eastAsia="Calibri" w:cs="Times New Roman"/>
          <w:i/>
          <w:iCs/>
          <w:sz w:val="24"/>
          <w:szCs w:val="24"/>
          <w:lang w:val="uz-Cyrl-UZ"/>
        </w:rPr>
        <w:t>physical activity</w:t>
      </w:r>
      <w:r w:rsidRPr="002B368D">
        <w:rPr>
          <w:rFonts w:eastAsia="Calibri" w:cs="Times New Roman"/>
          <w:i/>
          <w:iCs/>
          <w:sz w:val="24"/>
          <w:szCs w:val="24"/>
        </w:rPr>
        <w:t xml:space="preserve">, veloergometry, </w:t>
      </w:r>
      <w:r w:rsidRPr="002B368D">
        <w:rPr>
          <w:rFonts w:eastAsia="Calibri" w:cs="Times New Roman"/>
          <w:i/>
          <w:iCs/>
          <w:sz w:val="24"/>
          <w:szCs w:val="24"/>
          <w:shd w:val="clear" w:color="auto" w:fill="FFFFFF"/>
        </w:rPr>
        <w:t>angina</w:t>
      </w:r>
      <w:r w:rsidRPr="002B368D">
        <w:rPr>
          <w:rFonts w:eastAsia="Calibri" w:cs="Times New Roman"/>
          <w:bCs/>
          <w:i/>
          <w:iCs/>
          <w:sz w:val="24"/>
          <w:szCs w:val="24"/>
          <w:shd w:val="clear" w:color="auto" w:fill="FFFFFF"/>
        </w:rPr>
        <w:t xml:space="preserve"> pectoris</w:t>
      </w:r>
    </w:p>
    <w:p w14:paraId="5493871B" w14:textId="77777777" w:rsidR="00DD566D" w:rsidRPr="002B368D" w:rsidRDefault="00DD566D" w:rsidP="00DD566D">
      <w:pPr>
        <w:spacing w:line="288" w:lineRule="auto"/>
        <w:ind w:firstLine="567"/>
        <w:jc w:val="both"/>
        <w:rPr>
          <w:rFonts w:eastAsia="Calibri" w:cs="Times New Roman"/>
          <w:sz w:val="24"/>
          <w:szCs w:val="24"/>
          <w:lang w:val="uz-Cyrl-UZ"/>
        </w:rPr>
      </w:pPr>
    </w:p>
    <w:p w14:paraId="3AB3034E" w14:textId="77777777" w:rsidR="00DD566D" w:rsidRDefault="00DD566D" w:rsidP="00DD566D">
      <w:pPr>
        <w:spacing w:line="288" w:lineRule="auto"/>
        <w:jc w:val="both"/>
        <w:rPr>
          <w:rFonts w:eastAsia="Calibri" w:cs="Times New Roman"/>
          <w:sz w:val="24"/>
          <w:szCs w:val="24"/>
          <w:lang w:val="uz-Cyrl-UZ"/>
        </w:rPr>
      </w:pPr>
    </w:p>
    <w:p w14:paraId="0092A1C7" w14:textId="77777777" w:rsidR="00DD566D" w:rsidRDefault="00DD566D" w:rsidP="00DD566D">
      <w:pPr>
        <w:spacing w:line="288" w:lineRule="auto"/>
        <w:jc w:val="center"/>
        <w:rPr>
          <w:rFonts w:eastAsia="Calibri" w:cs="Times New Roman"/>
          <w:b/>
          <w:bCs/>
          <w:sz w:val="24"/>
          <w:szCs w:val="24"/>
          <w:lang w:val="uz-Cyrl-UZ"/>
        </w:rPr>
      </w:pPr>
      <w:r w:rsidRPr="002B368D">
        <w:rPr>
          <w:rFonts w:eastAsia="Calibri" w:cs="Times New Roman"/>
          <w:b/>
          <w:bCs/>
          <w:sz w:val="24"/>
          <w:szCs w:val="24"/>
          <w:lang w:val="uz-Cyrl-UZ"/>
        </w:rPr>
        <w:t>ЮРАК ИШЕМИК КАСАЛЛИГИ БИЛАН ОҒРИГАН БЕМОРЛАРДА МАШҚ ПУЛЬСИ ЁРДАМИДА ЖИСМОНИЙ ФАОЛЛИКНИ ЎРГАНИШ</w:t>
      </w:r>
    </w:p>
    <w:p w14:paraId="14550BFD" w14:textId="77777777" w:rsidR="00DD566D" w:rsidRPr="002B368D" w:rsidRDefault="00DD566D" w:rsidP="00DD566D">
      <w:pPr>
        <w:spacing w:line="288" w:lineRule="auto"/>
        <w:jc w:val="center"/>
        <w:rPr>
          <w:rFonts w:eastAsia="Calibri" w:cs="Times New Roman"/>
          <w:b/>
          <w:bCs/>
          <w:sz w:val="24"/>
          <w:szCs w:val="24"/>
          <w:lang w:val="uz-Cyrl-UZ"/>
        </w:rPr>
      </w:pPr>
    </w:p>
    <w:p w14:paraId="1DB9A156" w14:textId="77777777" w:rsidR="00DD566D" w:rsidRPr="00C41E73" w:rsidRDefault="00DD566D" w:rsidP="00DD566D">
      <w:pPr>
        <w:spacing w:line="288" w:lineRule="auto"/>
        <w:jc w:val="center"/>
        <w:rPr>
          <w:rFonts w:eastAsia="Calibri" w:cs="Times New Roman"/>
          <w:b/>
          <w:sz w:val="24"/>
          <w:szCs w:val="24"/>
          <w:lang w:val="uz-Cyrl-UZ"/>
        </w:rPr>
      </w:pPr>
      <w:r w:rsidRPr="00971B09">
        <w:rPr>
          <w:rFonts w:eastAsia="Calibri" w:cs="Times New Roman"/>
          <w:b/>
          <w:sz w:val="24"/>
          <w:szCs w:val="24"/>
          <w:lang w:val="uz-Cyrl-UZ"/>
        </w:rPr>
        <w:t>Сайдазизхон Сайдамин ог’ли Сайдахамдов</w:t>
      </w:r>
      <w:r w:rsidRPr="00C41E73">
        <w:rPr>
          <w:rFonts w:eastAsia="Calibri" w:cs="Times New Roman"/>
          <w:b/>
          <w:sz w:val="24"/>
          <w:szCs w:val="24"/>
          <w:lang w:val="uz-Cyrl-UZ"/>
        </w:rPr>
        <w:t xml:space="preserve"> </w:t>
      </w:r>
      <w:r w:rsidRPr="002B368D">
        <w:rPr>
          <w:rFonts w:eastAsia="Calibri" w:cs="Times New Roman"/>
          <w:b/>
          <w:sz w:val="24"/>
          <w:szCs w:val="24"/>
          <w:lang w:val="uz-Cyrl-UZ"/>
        </w:rPr>
        <w:t>кардиология магистратура кардиология йўналиши 3 курс талабаси,</w:t>
      </w:r>
    </w:p>
    <w:p w14:paraId="756F169A" w14:textId="77777777" w:rsidR="00DD566D" w:rsidRPr="00C41E73" w:rsidRDefault="00DD566D" w:rsidP="00DD566D">
      <w:pPr>
        <w:spacing w:line="288" w:lineRule="auto"/>
        <w:jc w:val="center"/>
        <w:rPr>
          <w:rFonts w:eastAsia="Calibri" w:cs="Times New Roman"/>
          <w:b/>
          <w:sz w:val="24"/>
          <w:szCs w:val="24"/>
          <w:lang w:val="uz-Cyrl-UZ"/>
        </w:rPr>
      </w:pPr>
      <w:r w:rsidRPr="001B5364">
        <w:rPr>
          <w:rFonts w:eastAsia="Calibri" w:cs="Times New Roman"/>
          <w:b/>
          <w:sz w:val="24"/>
          <w:szCs w:val="24"/>
          <w:lang w:val="uz-Cyrl-UZ"/>
        </w:rPr>
        <w:t>Шукурджанова Сурайе Махмудовна</w:t>
      </w:r>
      <w:r w:rsidRPr="00C41E73">
        <w:rPr>
          <w:rFonts w:eastAsia="Calibri" w:cs="Times New Roman"/>
          <w:b/>
          <w:sz w:val="24"/>
          <w:szCs w:val="24"/>
          <w:lang w:val="uz-Cyrl-UZ"/>
        </w:rPr>
        <w:t>,</w:t>
      </w:r>
      <w:r w:rsidRPr="002B368D">
        <w:rPr>
          <w:rFonts w:eastAsia="Calibri" w:cs="Times New Roman"/>
          <w:b/>
          <w:sz w:val="24"/>
          <w:szCs w:val="24"/>
          <w:lang w:val="uz-Cyrl-UZ"/>
        </w:rPr>
        <w:t xml:space="preserve"> т.ф.н., доценти</w:t>
      </w:r>
    </w:p>
    <w:p w14:paraId="41C2F689" w14:textId="77777777" w:rsidR="00DD566D" w:rsidRPr="00C41E73" w:rsidRDefault="00DD566D" w:rsidP="00DD566D">
      <w:pPr>
        <w:spacing w:line="288" w:lineRule="auto"/>
        <w:jc w:val="center"/>
        <w:rPr>
          <w:rFonts w:eastAsia="Calibri" w:cs="Times New Roman"/>
          <w:b/>
          <w:sz w:val="24"/>
          <w:szCs w:val="24"/>
          <w:lang w:val="uz-Cyrl-UZ"/>
        </w:rPr>
      </w:pPr>
      <w:r w:rsidRPr="001B5364">
        <w:rPr>
          <w:rFonts w:eastAsia="Calibri" w:cs="Times New Roman"/>
          <w:b/>
          <w:sz w:val="24"/>
          <w:szCs w:val="24"/>
          <w:lang w:val="uz-Cyrl-UZ"/>
        </w:rPr>
        <w:t>Раджабова Рано Шавкатовна</w:t>
      </w:r>
      <w:r w:rsidRPr="00C41E73">
        <w:rPr>
          <w:rFonts w:eastAsia="Calibri" w:cs="Times New Roman"/>
          <w:b/>
          <w:sz w:val="24"/>
          <w:szCs w:val="24"/>
          <w:lang w:val="uz-Cyrl-UZ"/>
        </w:rPr>
        <w:t>,</w:t>
      </w:r>
      <w:r w:rsidRPr="002B368D">
        <w:rPr>
          <w:rFonts w:eastAsia="Calibri" w:cs="Times New Roman"/>
          <w:b/>
          <w:sz w:val="24"/>
          <w:szCs w:val="24"/>
          <w:lang w:val="uz-Cyrl-UZ"/>
        </w:rPr>
        <w:t xml:space="preserve"> ассистент</w:t>
      </w:r>
    </w:p>
    <w:p w14:paraId="6F78CD3E" w14:textId="77777777" w:rsidR="00DD566D" w:rsidRDefault="00DD566D" w:rsidP="00DD566D">
      <w:pPr>
        <w:spacing w:line="288" w:lineRule="auto"/>
        <w:jc w:val="center"/>
        <w:rPr>
          <w:rFonts w:eastAsia="Calibri" w:cs="Times New Roman"/>
          <w:sz w:val="24"/>
          <w:szCs w:val="24"/>
          <w:lang w:val="uz-Cyrl-UZ"/>
        </w:rPr>
      </w:pPr>
      <w:r w:rsidRPr="002B368D">
        <w:rPr>
          <w:rFonts w:eastAsia="Calibri" w:cs="Times New Roman"/>
          <w:sz w:val="24"/>
          <w:szCs w:val="24"/>
          <w:lang w:val="uz-Cyrl-UZ"/>
        </w:rPr>
        <w:t>1 сон ички касалликлар кафедраси</w:t>
      </w:r>
    </w:p>
    <w:p w14:paraId="0866BDCF" w14:textId="77777777" w:rsidR="00DD566D" w:rsidRPr="002B368D" w:rsidRDefault="00DD566D" w:rsidP="00DD566D">
      <w:pPr>
        <w:spacing w:line="288" w:lineRule="auto"/>
        <w:jc w:val="center"/>
        <w:rPr>
          <w:rFonts w:eastAsia="Calibri" w:cs="Times New Roman"/>
          <w:sz w:val="24"/>
          <w:szCs w:val="24"/>
          <w:lang w:val="uz-Cyrl-UZ"/>
        </w:rPr>
      </w:pPr>
      <w:r w:rsidRPr="002B368D">
        <w:rPr>
          <w:rFonts w:eastAsia="Calibri" w:cs="Times New Roman"/>
          <w:sz w:val="24"/>
          <w:szCs w:val="24"/>
          <w:lang w:val="uz-Cyrl-UZ"/>
        </w:rPr>
        <w:t>Тошкент тиббиёт академияси</w:t>
      </w:r>
      <w:r>
        <w:rPr>
          <w:rFonts w:eastAsia="Calibri" w:cs="Times New Roman"/>
          <w:sz w:val="24"/>
          <w:szCs w:val="24"/>
          <w:lang w:val="uz-Cyrl-UZ"/>
        </w:rPr>
        <w:t xml:space="preserve">, </w:t>
      </w:r>
      <w:r w:rsidRPr="00C41E73">
        <w:rPr>
          <w:rFonts w:eastAsia="Calibri" w:cs="Times New Roman"/>
          <w:sz w:val="24"/>
          <w:szCs w:val="24"/>
          <w:lang w:val="uz-Cyrl-UZ"/>
        </w:rPr>
        <w:t>ошкент, Ўзбекист</w:t>
      </w:r>
      <w:r>
        <w:rPr>
          <w:rFonts w:eastAsia="Calibri" w:cs="Times New Roman"/>
          <w:sz w:val="24"/>
          <w:szCs w:val="24"/>
          <w:lang w:val="uz-Cyrl-UZ"/>
        </w:rPr>
        <w:t>о</w:t>
      </w:r>
      <w:r w:rsidRPr="00C41E73">
        <w:rPr>
          <w:rFonts w:eastAsia="Calibri" w:cs="Times New Roman"/>
          <w:sz w:val="24"/>
          <w:szCs w:val="24"/>
          <w:lang w:val="uz-Cyrl-UZ"/>
        </w:rPr>
        <w:t>н</w:t>
      </w:r>
    </w:p>
    <w:p w14:paraId="688C7275" w14:textId="77777777" w:rsidR="00DD566D" w:rsidRPr="002B368D" w:rsidRDefault="00DD566D" w:rsidP="00DD566D">
      <w:pPr>
        <w:spacing w:line="288" w:lineRule="auto"/>
        <w:ind w:firstLine="567"/>
        <w:jc w:val="both"/>
        <w:rPr>
          <w:rFonts w:eastAsia="Times New Roman" w:cs="Times New Roman"/>
          <w:b/>
          <w:sz w:val="24"/>
          <w:szCs w:val="24"/>
          <w:lang w:val="uz-Cyrl-UZ" w:eastAsia="ru-RU"/>
        </w:rPr>
      </w:pPr>
    </w:p>
    <w:p w14:paraId="6F0FDE8C" w14:textId="77777777" w:rsidR="00DD566D" w:rsidRPr="002B368D" w:rsidRDefault="00DD566D" w:rsidP="00DD566D">
      <w:pPr>
        <w:spacing w:line="288" w:lineRule="auto"/>
        <w:ind w:firstLine="567"/>
        <w:jc w:val="both"/>
        <w:rPr>
          <w:rFonts w:eastAsia="Calibri" w:cs="Times New Roman"/>
          <w:i/>
          <w:iCs/>
          <w:sz w:val="24"/>
          <w:szCs w:val="24"/>
          <w:lang w:val="uz-Cyrl-UZ"/>
        </w:rPr>
      </w:pPr>
      <w:r w:rsidRPr="002B368D">
        <w:rPr>
          <w:rFonts w:eastAsia="Times New Roman" w:cs="Times New Roman"/>
          <w:b/>
          <w:i/>
          <w:iCs/>
          <w:sz w:val="24"/>
          <w:szCs w:val="24"/>
          <w:lang w:val="uz-Cyrl-UZ" w:eastAsia="ru-RU"/>
        </w:rPr>
        <w:t xml:space="preserve">Аннотация. </w:t>
      </w:r>
      <w:r w:rsidRPr="002B368D">
        <w:rPr>
          <w:rFonts w:eastAsia="Calibri" w:cs="Times New Roman"/>
          <w:i/>
          <w:iCs/>
          <w:sz w:val="24"/>
          <w:szCs w:val="24"/>
          <w:lang w:val="uz-Cyrl-UZ"/>
        </w:rPr>
        <w:t>Юрак ишемик касаллиги (ЮИК)</w:t>
      </w:r>
      <w:r w:rsidRPr="002B368D">
        <w:rPr>
          <w:rFonts w:eastAsia="Calibri" w:cs="Times New Roman"/>
          <w:i/>
          <w:iCs/>
          <w:color w:val="FF0000"/>
          <w:sz w:val="24"/>
          <w:szCs w:val="24"/>
          <w:lang w:val="uz-Cyrl-UZ"/>
        </w:rPr>
        <w:t xml:space="preserve"> </w:t>
      </w:r>
      <w:r w:rsidRPr="002B368D">
        <w:rPr>
          <w:rFonts w:eastAsia="Calibri" w:cs="Times New Roman"/>
          <w:i/>
          <w:iCs/>
          <w:sz w:val="24"/>
          <w:szCs w:val="24"/>
          <w:lang w:val="uz-Cyrl-UZ"/>
        </w:rPr>
        <w:t xml:space="preserve">– бутун дунё бўйича асосий юрак қон-томир касалликларидан бири хисобланиб, гиподинамия ушбу касалликнинг асосий этиологик факторларидан бири саналади. </w:t>
      </w:r>
      <w:r w:rsidRPr="002B368D">
        <w:rPr>
          <w:rFonts w:eastAsia="Calibri" w:cs="Times New Roman"/>
          <w:bCs/>
          <w:i/>
          <w:iCs/>
          <w:sz w:val="24"/>
          <w:szCs w:val="24"/>
          <w:shd w:val="clear" w:color="auto" w:fill="FFFFFF"/>
          <w:lang w:val="uz-Cyrl-UZ"/>
        </w:rPr>
        <w:t>Тадқиқотда б</w:t>
      </w:r>
      <w:r w:rsidRPr="002B368D">
        <w:rPr>
          <w:rFonts w:eastAsia="Calibri" w:cs="Times New Roman"/>
          <w:i/>
          <w:iCs/>
          <w:sz w:val="24"/>
          <w:szCs w:val="24"/>
          <w:lang w:val="uz-Cyrl-UZ"/>
        </w:rPr>
        <w:t xml:space="preserve">еморларнинг “Машқ пульси” белгилаб олиниб жисмоний юклама пайтида ушбу кўрсаткичига қанча вақтда етиб келиниши тадқиқот аввалида ва 6 ойдан сўнг текшириб, солиштириб кўрилди. Индивидуал оптимал дозаланган юриш машқлари ўтказилганда  беморларда жисмоний юкламага толерантлик ортиши қайд </w:t>
      </w:r>
      <w:r w:rsidRPr="002B368D">
        <w:rPr>
          <w:rFonts w:eastAsia="Calibri" w:cs="Times New Roman"/>
          <w:i/>
          <w:iCs/>
          <w:sz w:val="24"/>
          <w:szCs w:val="24"/>
          <w:lang w:val="uz-Cyrl-UZ"/>
        </w:rPr>
        <w:lastRenderedPageBreak/>
        <w:t xml:space="preserve">этилиб, бу юриш машқлари давомида рухсат эилган пульс кўрсаткичига етиш вақти 2,6 бароварга ортишида намоён бўлди. </w:t>
      </w:r>
    </w:p>
    <w:p w14:paraId="4ED99E37" w14:textId="77777777" w:rsidR="00DD566D" w:rsidRPr="002B368D" w:rsidRDefault="00DD566D" w:rsidP="00DD566D">
      <w:pPr>
        <w:spacing w:line="288" w:lineRule="auto"/>
        <w:ind w:firstLine="567"/>
        <w:jc w:val="both"/>
        <w:rPr>
          <w:rFonts w:eastAsia="Calibri" w:cs="Times New Roman"/>
          <w:i/>
          <w:iCs/>
          <w:sz w:val="24"/>
          <w:szCs w:val="24"/>
          <w:lang w:val="uz-Cyrl-UZ"/>
        </w:rPr>
      </w:pPr>
      <w:r w:rsidRPr="002B368D">
        <w:rPr>
          <w:rFonts w:eastAsia="Calibri" w:cs="Times New Roman"/>
          <w:b/>
          <w:bCs/>
          <w:i/>
          <w:iCs/>
          <w:sz w:val="24"/>
          <w:szCs w:val="24"/>
          <w:lang w:val="uz-Cyrl-UZ"/>
        </w:rPr>
        <w:t>Калит сўзлар:</w:t>
      </w:r>
      <w:r w:rsidRPr="002B368D">
        <w:rPr>
          <w:rFonts w:eastAsia="Calibri" w:cs="Times New Roman"/>
          <w:i/>
          <w:iCs/>
          <w:sz w:val="24"/>
          <w:szCs w:val="24"/>
          <w:lang w:val="uz-Cyrl-UZ"/>
        </w:rPr>
        <w:t xml:space="preserve"> </w:t>
      </w:r>
      <w:r w:rsidRPr="002B368D">
        <w:rPr>
          <w:rFonts w:eastAsia="Times New Roman" w:cs="Times New Roman"/>
          <w:i/>
          <w:iCs/>
          <w:sz w:val="24"/>
          <w:szCs w:val="24"/>
          <w:lang w:val="uz-Cyrl-UZ" w:eastAsia="ru-RU"/>
        </w:rPr>
        <w:t xml:space="preserve">юрак ишемик касаллиги, </w:t>
      </w:r>
      <w:r w:rsidRPr="002B368D">
        <w:rPr>
          <w:rFonts w:eastAsia="Calibri" w:cs="Times New Roman"/>
          <w:bCs/>
          <w:i/>
          <w:iCs/>
          <w:sz w:val="24"/>
          <w:szCs w:val="24"/>
          <w:shd w:val="clear" w:color="auto" w:fill="FFFFFF"/>
          <w:lang w:val="uz-Cyrl-UZ"/>
        </w:rPr>
        <w:t xml:space="preserve">машқ пульси, гиподинамия, </w:t>
      </w:r>
      <w:r w:rsidRPr="002B368D">
        <w:rPr>
          <w:rFonts w:eastAsia="Calibri" w:cs="Times New Roman"/>
          <w:i/>
          <w:iCs/>
          <w:sz w:val="24"/>
          <w:szCs w:val="24"/>
          <w:lang w:val="uz-Cyrl-UZ"/>
        </w:rPr>
        <w:t xml:space="preserve">жисмоний фаоллик, велоэргометрия, </w:t>
      </w:r>
      <w:r w:rsidRPr="002B368D">
        <w:rPr>
          <w:rFonts w:eastAsia="Calibri" w:cs="Times New Roman"/>
          <w:bCs/>
          <w:i/>
          <w:iCs/>
          <w:sz w:val="24"/>
          <w:szCs w:val="24"/>
          <w:shd w:val="clear" w:color="auto" w:fill="FFFFFF"/>
          <w:lang w:val="uz-Cyrl-UZ"/>
        </w:rPr>
        <w:t>зўриқиш стенокардияси</w:t>
      </w:r>
    </w:p>
    <w:p w14:paraId="0D97797A" w14:textId="77777777" w:rsidR="00DD566D" w:rsidRDefault="00DD566D" w:rsidP="00DD566D">
      <w:pPr>
        <w:spacing w:line="276" w:lineRule="auto"/>
        <w:ind w:firstLine="567"/>
        <w:jc w:val="both"/>
        <w:rPr>
          <w:rFonts w:eastAsia="Calibri" w:cs="Times New Roman"/>
          <w:sz w:val="24"/>
          <w:szCs w:val="24"/>
          <w:lang w:val="uz-Cyrl-UZ"/>
        </w:rPr>
      </w:pPr>
    </w:p>
    <w:p w14:paraId="071BFA77" w14:textId="77777777" w:rsidR="00DD566D" w:rsidRDefault="00DD566D" w:rsidP="00DD566D">
      <w:pPr>
        <w:spacing w:line="276" w:lineRule="auto"/>
        <w:ind w:firstLine="567"/>
        <w:jc w:val="both"/>
        <w:rPr>
          <w:rFonts w:eastAsia="Calibri" w:cs="Times New Roman"/>
          <w:sz w:val="24"/>
          <w:szCs w:val="24"/>
          <w:lang w:val="uz-Cyrl-UZ"/>
        </w:rPr>
      </w:pPr>
    </w:p>
    <w:p w14:paraId="57646319" w14:textId="77777777" w:rsidR="00DD566D" w:rsidRDefault="00DD566D" w:rsidP="00DD566D">
      <w:pPr>
        <w:spacing w:line="276" w:lineRule="auto"/>
        <w:ind w:firstLine="567"/>
        <w:jc w:val="both"/>
        <w:rPr>
          <w:rFonts w:eastAsia="Calibri" w:cs="Times New Roman"/>
          <w:sz w:val="24"/>
          <w:szCs w:val="24"/>
          <w:lang w:val="uz-Cyrl-UZ"/>
        </w:rPr>
      </w:pPr>
    </w:p>
    <w:p w14:paraId="413A94F1" w14:textId="77777777" w:rsidR="00DD566D" w:rsidRPr="002B368D" w:rsidRDefault="00DD566D" w:rsidP="00DD566D">
      <w:pPr>
        <w:spacing w:line="276" w:lineRule="auto"/>
        <w:jc w:val="center"/>
        <w:rPr>
          <w:rFonts w:eastAsia="Calibri" w:cs="Times New Roman"/>
          <w:b/>
          <w:bCs/>
          <w:sz w:val="24"/>
          <w:szCs w:val="24"/>
          <w:lang w:val="ru-RU"/>
        </w:rPr>
      </w:pPr>
      <w:r w:rsidRPr="002B368D">
        <w:rPr>
          <w:rFonts w:eastAsia="Calibri" w:cs="Times New Roman"/>
          <w:b/>
          <w:bCs/>
          <w:sz w:val="24"/>
          <w:szCs w:val="24"/>
          <w:lang w:val="uz-Cyrl-UZ"/>
        </w:rPr>
        <w:t>ИЗУЧЕНИЕ ФИЗИЧЕСКОЙ АКТИВНОСТИ С ТРЕНИРОВИЧНЫМ ПУЛЬСОМ У БОЛЬНЫХ ИШЕМИЧЕСКОЙ БОЛЕЗНЬЮ</w:t>
      </w:r>
      <w:r w:rsidRPr="002B368D">
        <w:rPr>
          <w:rFonts w:eastAsia="Calibri" w:cs="Times New Roman"/>
          <w:b/>
          <w:bCs/>
          <w:sz w:val="24"/>
          <w:szCs w:val="24"/>
          <w:lang w:val="ru-RU"/>
        </w:rPr>
        <w:t xml:space="preserve"> СЕРДЦА</w:t>
      </w:r>
    </w:p>
    <w:p w14:paraId="7F70B9BD" w14:textId="77777777" w:rsidR="00DD566D" w:rsidRDefault="00DD566D" w:rsidP="00DD566D">
      <w:pPr>
        <w:spacing w:line="276" w:lineRule="auto"/>
        <w:ind w:firstLine="567"/>
        <w:jc w:val="both"/>
        <w:rPr>
          <w:rFonts w:eastAsia="Calibri" w:cs="Times New Roman"/>
          <w:b/>
          <w:sz w:val="24"/>
          <w:szCs w:val="24"/>
          <w:lang w:val="ru-RU"/>
        </w:rPr>
      </w:pPr>
    </w:p>
    <w:p w14:paraId="22927FD9" w14:textId="77777777" w:rsidR="00DD566D" w:rsidRPr="00C41E73" w:rsidRDefault="00DD566D" w:rsidP="00DD566D">
      <w:pPr>
        <w:spacing w:line="276" w:lineRule="auto"/>
        <w:jc w:val="center"/>
        <w:rPr>
          <w:rFonts w:eastAsia="Calibri" w:cs="Times New Roman"/>
          <w:b/>
          <w:sz w:val="24"/>
          <w:szCs w:val="24"/>
          <w:lang w:val="uz-Cyrl-UZ"/>
        </w:rPr>
      </w:pPr>
      <w:r w:rsidRPr="001B5364">
        <w:rPr>
          <w:rFonts w:eastAsia="Calibri" w:cs="Times New Roman"/>
          <w:b/>
          <w:sz w:val="24"/>
          <w:szCs w:val="24"/>
          <w:lang w:val="ru-RU"/>
        </w:rPr>
        <w:t>Сайдазизхон Сайдамин огли</w:t>
      </w:r>
      <w:r w:rsidRPr="00C41E73">
        <w:rPr>
          <w:rFonts w:eastAsia="Calibri" w:cs="Times New Roman"/>
          <w:b/>
          <w:sz w:val="24"/>
          <w:szCs w:val="24"/>
          <w:lang w:val="uz-Cyrl-UZ"/>
        </w:rPr>
        <w:t>,</w:t>
      </w:r>
      <w:r w:rsidRPr="002B368D">
        <w:rPr>
          <w:rFonts w:eastAsia="Calibri" w:cs="Times New Roman"/>
          <w:b/>
          <w:sz w:val="24"/>
          <w:szCs w:val="24"/>
          <w:lang w:val="uz-Cyrl-UZ"/>
        </w:rPr>
        <w:t xml:space="preserve"> магистр 3 курса, по кардиологии</w:t>
      </w:r>
    </w:p>
    <w:p w14:paraId="693F68CB" w14:textId="77777777" w:rsidR="00DD566D" w:rsidRPr="00C41E73" w:rsidRDefault="00DD566D" w:rsidP="00DD566D">
      <w:pPr>
        <w:spacing w:line="276" w:lineRule="auto"/>
        <w:jc w:val="center"/>
        <w:rPr>
          <w:rFonts w:eastAsia="Calibri" w:cs="Times New Roman"/>
          <w:b/>
          <w:sz w:val="24"/>
          <w:szCs w:val="24"/>
          <w:lang w:val="ru-RU"/>
        </w:rPr>
      </w:pPr>
      <w:r w:rsidRPr="001B5364">
        <w:rPr>
          <w:rFonts w:eastAsia="Calibri" w:cs="Times New Roman"/>
          <w:b/>
          <w:sz w:val="24"/>
          <w:szCs w:val="24"/>
          <w:lang w:val="ru-RU"/>
        </w:rPr>
        <w:t>Шукурджанова Сурайе Махмудовна</w:t>
      </w:r>
      <w:r w:rsidRPr="00C41E73">
        <w:rPr>
          <w:rFonts w:eastAsia="Calibri" w:cs="Times New Roman"/>
          <w:b/>
          <w:sz w:val="24"/>
          <w:szCs w:val="24"/>
          <w:lang w:val="ru-RU"/>
        </w:rPr>
        <w:t>,</w:t>
      </w:r>
      <w:r w:rsidRPr="002B368D">
        <w:rPr>
          <w:rFonts w:eastAsia="Calibri" w:cs="Times New Roman"/>
          <w:b/>
          <w:sz w:val="24"/>
          <w:szCs w:val="24"/>
          <w:lang w:val="ru-RU"/>
        </w:rPr>
        <w:t xml:space="preserve"> к.м.н., доцент</w:t>
      </w:r>
    </w:p>
    <w:p w14:paraId="40A42018" w14:textId="77777777" w:rsidR="00DD566D" w:rsidRPr="00C41E73" w:rsidRDefault="00DD566D" w:rsidP="00DD566D">
      <w:pPr>
        <w:spacing w:line="276" w:lineRule="auto"/>
        <w:jc w:val="center"/>
        <w:rPr>
          <w:rFonts w:eastAsia="Calibri" w:cs="Times New Roman"/>
          <w:b/>
          <w:sz w:val="24"/>
          <w:szCs w:val="24"/>
          <w:lang w:val="ru-RU"/>
        </w:rPr>
      </w:pPr>
      <w:r w:rsidRPr="001B5364">
        <w:rPr>
          <w:rFonts w:eastAsia="Calibri" w:cs="Times New Roman"/>
          <w:b/>
          <w:sz w:val="24"/>
          <w:szCs w:val="24"/>
          <w:lang w:val="ru-RU"/>
        </w:rPr>
        <w:t>Раджабова Рано Шавкатовна</w:t>
      </w:r>
      <w:r>
        <w:rPr>
          <w:rFonts w:eastAsia="Calibri" w:cs="Times New Roman"/>
          <w:b/>
          <w:sz w:val="24"/>
          <w:szCs w:val="24"/>
          <w:lang w:val="ru-RU"/>
        </w:rPr>
        <w:t>,</w:t>
      </w:r>
      <w:r w:rsidRPr="002B368D">
        <w:rPr>
          <w:rFonts w:eastAsia="Calibri" w:cs="Times New Roman"/>
          <w:b/>
          <w:sz w:val="24"/>
          <w:szCs w:val="24"/>
          <w:lang w:val="ru-RU"/>
        </w:rPr>
        <w:t xml:space="preserve"> ассистент</w:t>
      </w:r>
    </w:p>
    <w:p w14:paraId="73700538" w14:textId="77777777" w:rsidR="00DD566D" w:rsidRDefault="00DD566D" w:rsidP="00DD566D">
      <w:pPr>
        <w:spacing w:line="276" w:lineRule="auto"/>
        <w:jc w:val="center"/>
        <w:rPr>
          <w:rFonts w:eastAsia="Calibri" w:cs="Times New Roman"/>
          <w:sz w:val="24"/>
          <w:szCs w:val="24"/>
          <w:lang w:val="ru-RU"/>
        </w:rPr>
      </w:pPr>
      <w:r w:rsidRPr="002B368D">
        <w:rPr>
          <w:rFonts w:eastAsia="Calibri" w:cs="Times New Roman"/>
          <w:sz w:val="24"/>
          <w:szCs w:val="24"/>
          <w:lang w:val="ru-RU"/>
        </w:rPr>
        <w:t>Кафедр</w:t>
      </w:r>
      <w:r>
        <w:rPr>
          <w:rFonts w:eastAsia="Calibri" w:cs="Times New Roman"/>
          <w:sz w:val="24"/>
          <w:szCs w:val="24"/>
          <w:lang w:val="ru-RU"/>
        </w:rPr>
        <w:t>а</w:t>
      </w:r>
      <w:r w:rsidRPr="002B368D">
        <w:rPr>
          <w:rFonts w:eastAsia="Calibri" w:cs="Times New Roman"/>
          <w:sz w:val="24"/>
          <w:szCs w:val="24"/>
          <w:lang w:val="ru-RU"/>
        </w:rPr>
        <w:t xml:space="preserve"> внутренних болезней №1</w:t>
      </w:r>
    </w:p>
    <w:p w14:paraId="2B8520A5" w14:textId="77777777" w:rsidR="00DD566D" w:rsidRPr="002B368D" w:rsidRDefault="00DD566D" w:rsidP="00DD566D">
      <w:pPr>
        <w:spacing w:line="276" w:lineRule="auto"/>
        <w:jc w:val="center"/>
        <w:rPr>
          <w:rFonts w:eastAsia="Calibri" w:cs="Times New Roman"/>
          <w:sz w:val="24"/>
          <w:szCs w:val="24"/>
          <w:lang w:val="ru-RU"/>
        </w:rPr>
      </w:pPr>
      <w:r w:rsidRPr="002B368D">
        <w:rPr>
          <w:rFonts w:eastAsia="Calibri" w:cs="Times New Roman"/>
          <w:sz w:val="24"/>
          <w:szCs w:val="24"/>
          <w:lang w:val="ru-RU"/>
        </w:rPr>
        <w:t>Ташкентск</w:t>
      </w:r>
      <w:r>
        <w:rPr>
          <w:rFonts w:eastAsia="Calibri" w:cs="Times New Roman"/>
          <w:sz w:val="24"/>
          <w:szCs w:val="24"/>
          <w:lang w:val="ru-RU"/>
        </w:rPr>
        <w:t>ая</w:t>
      </w:r>
      <w:r w:rsidRPr="002B368D">
        <w:rPr>
          <w:rFonts w:eastAsia="Calibri" w:cs="Times New Roman"/>
          <w:sz w:val="24"/>
          <w:szCs w:val="24"/>
          <w:lang w:val="ru-RU"/>
        </w:rPr>
        <w:t xml:space="preserve"> медицинск</w:t>
      </w:r>
      <w:r>
        <w:rPr>
          <w:rFonts w:eastAsia="Calibri" w:cs="Times New Roman"/>
          <w:sz w:val="24"/>
          <w:szCs w:val="24"/>
          <w:lang w:val="ru-RU"/>
        </w:rPr>
        <w:t>ая</w:t>
      </w:r>
      <w:r w:rsidRPr="002B368D">
        <w:rPr>
          <w:rFonts w:eastAsia="Calibri" w:cs="Times New Roman"/>
          <w:sz w:val="24"/>
          <w:szCs w:val="24"/>
          <w:lang w:val="ru-RU"/>
        </w:rPr>
        <w:t xml:space="preserve"> академи</w:t>
      </w:r>
      <w:r>
        <w:rPr>
          <w:rFonts w:eastAsia="Calibri" w:cs="Times New Roman"/>
          <w:sz w:val="24"/>
          <w:szCs w:val="24"/>
          <w:lang w:val="ru-RU"/>
        </w:rPr>
        <w:t xml:space="preserve">я, </w:t>
      </w:r>
      <w:r w:rsidRPr="00C41E73">
        <w:rPr>
          <w:rFonts w:eastAsia="Calibri" w:cs="Times New Roman"/>
          <w:sz w:val="24"/>
          <w:szCs w:val="24"/>
          <w:lang w:val="ru-RU"/>
        </w:rPr>
        <w:t>Ташкент, Узбекистан</w:t>
      </w:r>
    </w:p>
    <w:p w14:paraId="2D42119D" w14:textId="77777777" w:rsidR="00DD566D" w:rsidRPr="002B368D" w:rsidRDefault="00DD566D" w:rsidP="00DD566D">
      <w:pPr>
        <w:spacing w:line="276" w:lineRule="auto"/>
        <w:jc w:val="center"/>
        <w:rPr>
          <w:rFonts w:eastAsia="Calibri" w:cs="Times New Roman"/>
          <w:sz w:val="24"/>
          <w:szCs w:val="24"/>
          <w:lang w:val="ru-RU"/>
        </w:rPr>
      </w:pPr>
    </w:p>
    <w:p w14:paraId="5AAA8C4D" w14:textId="77777777" w:rsidR="00DD566D" w:rsidRPr="002B368D" w:rsidRDefault="00DD566D" w:rsidP="00DD566D">
      <w:pPr>
        <w:spacing w:line="276" w:lineRule="auto"/>
        <w:ind w:firstLine="567"/>
        <w:jc w:val="both"/>
        <w:rPr>
          <w:rFonts w:eastAsia="Calibri" w:cs="Times New Roman"/>
          <w:i/>
          <w:iCs/>
          <w:sz w:val="24"/>
          <w:szCs w:val="24"/>
          <w:lang w:val="ru-RU"/>
        </w:rPr>
      </w:pPr>
      <w:r w:rsidRPr="002B368D">
        <w:rPr>
          <w:rFonts w:eastAsia="Calibri" w:cs="Times New Roman"/>
          <w:b/>
          <w:i/>
          <w:iCs/>
          <w:sz w:val="24"/>
          <w:szCs w:val="24"/>
          <w:lang w:val="uz-Cyrl-UZ"/>
        </w:rPr>
        <w:t>Аннотация.</w:t>
      </w:r>
      <w:r w:rsidRPr="002B368D">
        <w:rPr>
          <w:rFonts w:eastAsia="Calibri" w:cs="Times New Roman"/>
          <w:i/>
          <w:iCs/>
          <w:sz w:val="24"/>
          <w:szCs w:val="24"/>
          <w:lang w:val="uz-Cyrl-UZ"/>
        </w:rPr>
        <w:t xml:space="preserve"> </w:t>
      </w:r>
      <w:r w:rsidRPr="002B368D">
        <w:rPr>
          <w:rFonts w:eastAsia="Calibri" w:cs="Times New Roman"/>
          <w:i/>
          <w:iCs/>
          <w:sz w:val="24"/>
          <w:szCs w:val="24"/>
          <w:lang w:val="ru-RU"/>
        </w:rPr>
        <w:t>Ишемическая болезнь сердца (ИБС) является одним из ведущих сердечно-сосудистых заболеваний во всем мире, а гиподинамика является одним из основных этиологических факторов этого заболевания. В ходе исследования изучался и сравнивался «тренировочний пульс» пациентов в начале исследования и через 6 месяцев. У пациентов отмечалось повышение толерантности к физической нагрузке при индивидуальной оптимально</w:t>
      </w:r>
      <w:r w:rsidRPr="002B368D">
        <w:rPr>
          <w:rFonts w:eastAsia="Calibri" w:cs="Times New Roman"/>
          <w:i/>
          <w:iCs/>
          <w:sz w:val="24"/>
          <w:szCs w:val="24"/>
          <w:lang w:val="uz-Cyrl-UZ"/>
        </w:rPr>
        <w:t xml:space="preserve"> </w:t>
      </w:r>
      <w:r w:rsidRPr="002B368D">
        <w:rPr>
          <w:rFonts w:eastAsia="Calibri" w:cs="Times New Roman"/>
          <w:i/>
          <w:iCs/>
          <w:sz w:val="24"/>
          <w:szCs w:val="24"/>
          <w:lang w:val="ru-RU"/>
        </w:rPr>
        <w:t>дозированной ходьбе, что проявлялось увеличением в 2,6 раза времени достижения допустимой частоты пульса при ходьбе.</w:t>
      </w:r>
    </w:p>
    <w:p w14:paraId="5BD53EC3" w14:textId="77777777" w:rsidR="00DD566D" w:rsidRPr="002B368D" w:rsidRDefault="00DD566D" w:rsidP="00DD566D">
      <w:pPr>
        <w:spacing w:line="276" w:lineRule="auto"/>
        <w:ind w:firstLine="567"/>
        <w:jc w:val="both"/>
        <w:rPr>
          <w:rFonts w:eastAsia="Calibri" w:cs="Times New Roman"/>
          <w:i/>
          <w:iCs/>
          <w:sz w:val="24"/>
          <w:szCs w:val="24"/>
          <w:lang w:val="ru-RU"/>
        </w:rPr>
      </w:pPr>
      <w:r w:rsidRPr="002B368D">
        <w:rPr>
          <w:rFonts w:eastAsia="Calibri" w:cs="Times New Roman"/>
          <w:b/>
          <w:bCs/>
          <w:i/>
          <w:iCs/>
          <w:sz w:val="24"/>
          <w:szCs w:val="24"/>
          <w:lang w:val="ru-RU"/>
        </w:rPr>
        <w:t>Ключевые слова:</w:t>
      </w:r>
      <w:r w:rsidRPr="002B368D">
        <w:rPr>
          <w:rFonts w:eastAsia="Calibri" w:cs="Times New Roman"/>
          <w:i/>
          <w:iCs/>
          <w:sz w:val="24"/>
          <w:szCs w:val="24"/>
          <w:lang w:val="ru-RU"/>
        </w:rPr>
        <w:t xml:space="preserve"> ишемическая болезнь сердца, тренировочний пульс, гиподинамика, физическая нагрузка, велоэргометрия, стенокардия.</w:t>
      </w:r>
    </w:p>
    <w:p w14:paraId="1ED5A20C" w14:textId="77777777" w:rsidR="00DD566D" w:rsidRPr="002B368D" w:rsidRDefault="00DD566D" w:rsidP="00DD566D">
      <w:pPr>
        <w:tabs>
          <w:tab w:val="left" w:pos="9355"/>
        </w:tabs>
        <w:autoSpaceDE w:val="0"/>
        <w:autoSpaceDN w:val="0"/>
        <w:adjustRightInd w:val="0"/>
        <w:spacing w:line="276" w:lineRule="auto"/>
        <w:ind w:firstLine="567"/>
        <w:jc w:val="both"/>
        <w:rPr>
          <w:rFonts w:eastAsia="Calibri" w:cs="Times New Roman"/>
          <w:sz w:val="24"/>
          <w:szCs w:val="24"/>
          <w:lang w:val="uz-Cyrl-UZ"/>
        </w:rPr>
      </w:pPr>
      <w:r w:rsidRPr="002B368D">
        <w:rPr>
          <w:rFonts w:eastAsia="Calibri" w:cs="Times New Roman"/>
          <w:sz w:val="24"/>
          <w:szCs w:val="24"/>
          <w:lang w:val="uz-Cyrl-UZ"/>
        </w:rPr>
        <w:t xml:space="preserve">       </w:t>
      </w:r>
    </w:p>
    <w:p w14:paraId="04B66CB9" w14:textId="77777777" w:rsidR="00DD566D" w:rsidRPr="00B62084" w:rsidRDefault="00DD566D" w:rsidP="00DD566D">
      <w:pPr>
        <w:tabs>
          <w:tab w:val="left" w:pos="9355"/>
        </w:tabs>
        <w:autoSpaceDE w:val="0"/>
        <w:autoSpaceDN w:val="0"/>
        <w:adjustRightInd w:val="0"/>
        <w:spacing w:line="276" w:lineRule="auto"/>
        <w:ind w:firstLine="567"/>
        <w:jc w:val="both"/>
        <w:rPr>
          <w:rFonts w:eastAsia="Calibri" w:cs="Times New Roman"/>
          <w:b/>
          <w:sz w:val="24"/>
          <w:szCs w:val="24"/>
          <w:lang w:val="ru-RU"/>
        </w:rPr>
        <w:sectPr w:rsidR="00DD566D" w:rsidRPr="00B62084" w:rsidSect="00995DC2">
          <w:type w:val="continuous"/>
          <w:pgSz w:w="11907" w:h="16840" w:code="9"/>
          <w:pgMar w:top="1418" w:right="1134" w:bottom="1134" w:left="1134" w:header="907" w:footer="794" w:gutter="0"/>
          <w:cols w:space="708"/>
          <w:docGrid w:linePitch="381"/>
        </w:sectPr>
      </w:pPr>
    </w:p>
    <w:p w14:paraId="657597D2" w14:textId="77777777" w:rsidR="00DD566D" w:rsidRPr="002B368D" w:rsidRDefault="00DD566D" w:rsidP="00DD566D">
      <w:pPr>
        <w:tabs>
          <w:tab w:val="left" w:pos="9355"/>
        </w:tabs>
        <w:autoSpaceDE w:val="0"/>
        <w:autoSpaceDN w:val="0"/>
        <w:adjustRightInd w:val="0"/>
        <w:spacing w:line="276" w:lineRule="auto"/>
        <w:ind w:firstLine="567"/>
        <w:jc w:val="both"/>
        <w:rPr>
          <w:rFonts w:eastAsia="Calibri" w:cs="Times New Roman"/>
          <w:sz w:val="24"/>
          <w:szCs w:val="24"/>
        </w:rPr>
      </w:pPr>
      <w:r w:rsidRPr="002B368D">
        <w:rPr>
          <w:rFonts w:eastAsia="Calibri" w:cs="Times New Roman"/>
          <w:b/>
          <w:sz w:val="24"/>
          <w:szCs w:val="24"/>
        </w:rPr>
        <w:t>Actually of the study.</w:t>
      </w:r>
      <w:r w:rsidRPr="002B368D">
        <w:rPr>
          <w:rFonts w:eastAsia="Calibri" w:cs="Times New Roman"/>
          <w:sz w:val="24"/>
          <w:szCs w:val="24"/>
        </w:rPr>
        <w:t xml:space="preserve"> According to the definition of the World Health Organization, physical activity is any type of movement that occurs with the help of muscle power, accom</w:t>
      </w:r>
      <w:r>
        <w:rPr>
          <w:rFonts w:eastAsia="Calibri" w:cs="Times New Roman"/>
          <w:sz w:val="24"/>
          <w:szCs w:val="24"/>
        </w:rPr>
        <w:softHyphen/>
      </w:r>
      <w:r w:rsidRPr="002B368D">
        <w:rPr>
          <w:rFonts w:eastAsia="Calibri" w:cs="Times New Roman"/>
          <w:sz w:val="24"/>
          <w:szCs w:val="24"/>
        </w:rPr>
        <w:t>panied by energy expenditure, and this move</w:t>
      </w:r>
      <w:r>
        <w:rPr>
          <w:rFonts w:eastAsia="Calibri" w:cs="Times New Roman"/>
          <w:sz w:val="24"/>
          <w:szCs w:val="24"/>
        </w:rPr>
        <w:softHyphen/>
      </w:r>
      <w:r w:rsidRPr="002B368D">
        <w:rPr>
          <w:rFonts w:eastAsia="Calibri" w:cs="Times New Roman"/>
          <w:sz w:val="24"/>
          <w:szCs w:val="24"/>
        </w:rPr>
        <w:t>ment is manifested in the form of work and lei</w:t>
      </w:r>
      <w:r>
        <w:rPr>
          <w:rFonts w:eastAsia="Calibri" w:cs="Times New Roman"/>
          <w:sz w:val="24"/>
          <w:szCs w:val="24"/>
        </w:rPr>
        <w:softHyphen/>
      </w:r>
      <w:r w:rsidRPr="002B368D">
        <w:rPr>
          <w:rFonts w:eastAsia="Calibri" w:cs="Times New Roman"/>
          <w:sz w:val="24"/>
          <w:szCs w:val="24"/>
        </w:rPr>
        <w:t>sure, as well as daily physical activity. [5]</w:t>
      </w:r>
    </w:p>
    <w:p w14:paraId="6B4E5058" w14:textId="77777777" w:rsidR="00DD566D" w:rsidRPr="002B368D" w:rsidRDefault="00DD566D" w:rsidP="00DD566D">
      <w:pPr>
        <w:tabs>
          <w:tab w:val="left" w:pos="9355"/>
        </w:tabs>
        <w:autoSpaceDE w:val="0"/>
        <w:autoSpaceDN w:val="0"/>
        <w:adjustRightInd w:val="0"/>
        <w:spacing w:line="276" w:lineRule="auto"/>
        <w:ind w:firstLine="567"/>
        <w:jc w:val="both"/>
        <w:rPr>
          <w:rFonts w:eastAsia="Calibri" w:cs="Times New Roman"/>
          <w:bCs/>
          <w:iCs/>
          <w:sz w:val="24"/>
          <w:szCs w:val="24"/>
        </w:rPr>
      </w:pPr>
      <w:r w:rsidRPr="002B368D">
        <w:rPr>
          <w:rFonts w:eastAsia="Calibri" w:cs="Times New Roman"/>
          <w:bCs/>
          <w:iCs/>
          <w:sz w:val="24"/>
          <w:szCs w:val="24"/>
        </w:rPr>
        <w:t>Aerobic exercise increases myocardial perfusion in people with risk factors for cardi</w:t>
      </w:r>
      <w:r>
        <w:rPr>
          <w:rFonts w:eastAsia="Calibri" w:cs="Times New Roman"/>
          <w:bCs/>
          <w:iCs/>
          <w:sz w:val="24"/>
          <w:szCs w:val="24"/>
        </w:rPr>
        <w:softHyphen/>
      </w:r>
      <w:r w:rsidRPr="002B368D">
        <w:rPr>
          <w:rFonts w:eastAsia="Calibri" w:cs="Times New Roman"/>
          <w:bCs/>
          <w:iCs/>
          <w:sz w:val="24"/>
          <w:szCs w:val="24"/>
        </w:rPr>
        <w:t>ovascular disease, an increase in the inner di</w:t>
      </w:r>
      <w:r>
        <w:rPr>
          <w:rFonts w:eastAsia="Calibri" w:cs="Times New Roman"/>
          <w:bCs/>
          <w:iCs/>
          <w:sz w:val="24"/>
          <w:szCs w:val="24"/>
        </w:rPr>
        <w:softHyphen/>
      </w:r>
      <w:r w:rsidRPr="002B368D">
        <w:rPr>
          <w:rFonts w:eastAsia="Calibri" w:cs="Times New Roman"/>
          <w:bCs/>
          <w:iCs/>
          <w:sz w:val="24"/>
          <w:szCs w:val="24"/>
        </w:rPr>
        <w:t>ameter of the large coronary arteries, improve</w:t>
      </w:r>
      <w:r>
        <w:rPr>
          <w:rFonts w:eastAsia="Calibri" w:cs="Times New Roman"/>
          <w:bCs/>
          <w:iCs/>
          <w:sz w:val="24"/>
          <w:szCs w:val="24"/>
        </w:rPr>
        <w:softHyphen/>
      </w:r>
      <w:r w:rsidRPr="002B368D">
        <w:rPr>
          <w:rFonts w:eastAsia="Calibri" w:cs="Times New Roman"/>
          <w:bCs/>
          <w:iCs/>
          <w:sz w:val="24"/>
          <w:szCs w:val="24"/>
        </w:rPr>
        <w:t>ment of microcirculation and endothelial func</w:t>
      </w:r>
      <w:r>
        <w:rPr>
          <w:rFonts w:eastAsia="Calibri" w:cs="Times New Roman"/>
          <w:bCs/>
          <w:iCs/>
          <w:sz w:val="24"/>
          <w:szCs w:val="24"/>
        </w:rPr>
        <w:softHyphen/>
      </w:r>
      <w:r w:rsidRPr="002B368D">
        <w:rPr>
          <w:rFonts w:eastAsia="Calibri" w:cs="Times New Roman"/>
          <w:bCs/>
          <w:iCs/>
          <w:sz w:val="24"/>
          <w:szCs w:val="24"/>
        </w:rPr>
        <w:t>tion, modulation of autonomic autonomic bal</w:t>
      </w:r>
      <w:r>
        <w:rPr>
          <w:rFonts w:eastAsia="Calibri" w:cs="Times New Roman"/>
          <w:bCs/>
          <w:iCs/>
          <w:sz w:val="24"/>
          <w:szCs w:val="24"/>
        </w:rPr>
        <w:softHyphen/>
      </w:r>
      <w:r w:rsidRPr="002B368D">
        <w:rPr>
          <w:rFonts w:eastAsia="Calibri" w:cs="Times New Roman"/>
          <w:bCs/>
          <w:iCs/>
          <w:sz w:val="24"/>
          <w:szCs w:val="24"/>
        </w:rPr>
        <w:t>ance, changes in the myocardial ischemic zone (short-term transient ischemia of the myocar</w:t>
      </w:r>
      <w:r>
        <w:rPr>
          <w:rFonts w:eastAsia="Calibri" w:cs="Times New Roman"/>
          <w:bCs/>
          <w:iCs/>
          <w:sz w:val="24"/>
          <w:szCs w:val="24"/>
        </w:rPr>
        <w:softHyphen/>
      </w:r>
      <w:r w:rsidRPr="002B368D">
        <w:rPr>
          <w:rFonts w:eastAsia="Calibri" w:cs="Times New Roman"/>
          <w:bCs/>
          <w:iCs/>
          <w:sz w:val="24"/>
          <w:szCs w:val="24"/>
        </w:rPr>
        <w:t xml:space="preserve">dium is observed during exercise, the regular continuation of this process in turn affects the increase in myocardial tolerance in long-term </w:t>
      </w:r>
      <w:r w:rsidRPr="002B368D">
        <w:rPr>
          <w:rFonts w:eastAsia="Calibri" w:cs="Times New Roman"/>
          <w:bCs/>
          <w:iCs/>
          <w:sz w:val="24"/>
          <w:szCs w:val="24"/>
        </w:rPr>
        <w:t>ischemic cases that may occur later), resulting in a reduced risk of developing myocardial in</w:t>
      </w:r>
      <w:r>
        <w:rPr>
          <w:rFonts w:eastAsia="Calibri" w:cs="Times New Roman"/>
          <w:bCs/>
          <w:iCs/>
          <w:sz w:val="24"/>
          <w:szCs w:val="24"/>
        </w:rPr>
        <w:softHyphen/>
      </w:r>
      <w:r w:rsidRPr="002B368D">
        <w:rPr>
          <w:rFonts w:eastAsia="Calibri" w:cs="Times New Roman"/>
          <w:bCs/>
          <w:iCs/>
          <w:sz w:val="24"/>
          <w:szCs w:val="24"/>
        </w:rPr>
        <w:t xml:space="preserve">jury and fatal ventricular tachyarrhythmias. </w:t>
      </w:r>
      <w:r w:rsidRPr="002B368D">
        <w:rPr>
          <w:rFonts w:eastAsia="Calibri" w:cs="Times New Roman"/>
          <w:sz w:val="24"/>
          <w:szCs w:val="24"/>
        </w:rPr>
        <w:t>[1]</w:t>
      </w:r>
      <w:r w:rsidRPr="002B368D">
        <w:rPr>
          <w:rFonts w:eastAsia="Calibri" w:cs="Times New Roman"/>
          <w:bCs/>
          <w:iCs/>
          <w:sz w:val="24"/>
          <w:szCs w:val="24"/>
        </w:rPr>
        <w:t xml:space="preserve">  </w:t>
      </w:r>
    </w:p>
    <w:p w14:paraId="366D1FE1" w14:textId="77777777" w:rsidR="00DD566D" w:rsidRPr="002B368D" w:rsidRDefault="00DD566D" w:rsidP="00DD566D">
      <w:pPr>
        <w:tabs>
          <w:tab w:val="left" w:pos="9355"/>
        </w:tabs>
        <w:autoSpaceDE w:val="0"/>
        <w:autoSpaceDN w:val="0"/>
        <w:adjustRightInd w:val="0"/>
        <w:spacing w:line="276" w:lineRule="auto"/>
        <w:ind w:firstLine="567"/>
        <w:jc w:val="both"/>
        <w:rPr>
          <w:rFonts w:eastAsia="Calibri" w:cs="Times New Roman"/>
          <w:sz w:val="24"/>
          <w:szCs w:val="24"/>
        </w:rPr>
      </w:pPr>
      <w:r w:rsidRPr="002B368D">
        <w:rPr>
          <w:rFonts w:eastAsia="Calibri" w:cs="Times New Roman"/>
          <w:sz w:val="24"/>
          <w:szCs w:val="24"/>
        </w:rPr>
        <w:t>Regular physical activity 150 minutes per week decreases the risk of pain with cardi</w:t>
      </w:r>
      <w:r>
        <w:rPr>
          <w:rFonts w:eastAsia="Calibri" w:cs="Times New Roman"/>
          <w:sz w:val="24"/>
          <w:szCs w:val="24"/>
        </w:rPr>
        <w:softHyphen/>
      </w:r>
      <w:r w:rsidRPr="002B368D">
        <w:rPr>
          <w:rFonts w:eastAsia="Calibri" w:cs="Times New Roman"/>
          <w:sz w:val="24"/>
          <w:szCs w:val="24"/>
        </w:rPr>
        <w:t>ovascular disease 40%, stroke 27%, type 2 di</w:t>
      </w:r>
      <w:r>
        <w:rPr>
          <w:rFonts w:eastAsia="Calibri" w:cs="Times New Roman"/>
          <w:sz w:val="24"/>
          <w:szCs w:val="24"/>
        </w:rPr>
        <w:softHyphen/>
      </w:r>
      <w:r w:rsidRPr="002B368D">
        <w:rPr>
          <w:rFonts w:eastAsia="Calibri" w:cs="Times New Roman"/>
          <w:sz w:val="24"/>
          <w:szCs w:val="24"/>
        </w:rPr>
        <w:t>abetes 58%, Alzheimer's 40%, colorectal can</w:t>
      </w:r>
      <w:r>
        <w:rPr>
          <w:rFonts w:eastAsia="Calibri" w:cs="Times New Roman"/>
          <w:sz w:val="24"/>
          <w:szCs w:val="24"/>
        </w:rPr>
        <w:softHyphen/>
      </w:r>
      <w:r w:rsidRPr="002B368D">
        <w:rPr>
          <w:rFonts w:eastAsia="Calibri" w:cs="Times New Roman"/>
          <w:sz w:val="24"/>
          <w:szCs w:val="24"/>
        </w:rPr>
        <w:t>cer 60%, lung cancer 20-24%, breast cancer Reduce by 50%, Concentration prevents de</w:t>
      </w:r>
      <w:r>
        <w:rPr>
          <w:rFonts w:eastAsia="Calibri" w:cs="Times New Roman"/>
          <w:sz w:val="24"/>
          <w:szCs w:val="24"/>
        </w:rPr>
        <w:softHyphen/>
      </w:r>
      <w:r w:rsidRPr="002B368D">
        <w:rPr>
          <w:rFonts w:eastAsia="Calibri" w:cs="Times New Roman"/>
          <w:sz w:val="24"/>
          <w:szCs w:val="24"/>
        </w:rPr>
        <w:t>pression and obesity, promotes a healthy life</w:t>
      </w:r>
      <w:r>
        <w:rPr>
          <w:rFonts w:eastAsia="Calibri" w:cs="Times New Roman"/>
          <w:sz w:val="24"/>
          <w:szCs w:val="24"/>
        </w:rPr>
        <w:softHyphen/>
      </w:r>
      <w:r w:rsidRPr="002B368D">
        <w:rPr>
          <w:rFonts w:eastAsia="Calibri" w:cs="Times New Roman"/>
          <w:sz w:val="24"/>
          <w:szCs w:val="24"/>
        </w:rPr>
        <w:t>style, has been proven to maintain an optimal level of professional work ability. [4]</w:t>
      </w:r>
      <w:r w:rsidRPr="002B368D">
        <w:rPr>
          <w:rFonts w:eastAsia="Calibri" w:cs="Times New Roman"/>
          <w:bCs/>
          <w:iCs/>
          <w:sz w:val="24"/>
          <w:szCs w:val="24"/>
        </w:rPr>
        <w:t xml:space="preserve">  </w:t>
      </w:r>
    </w:p>
    <w:p w14:paraId="136CC166" w14:textId="77777777" w:rsidR="00DD566D" w:rsidRPr="002B368D" w:rsidRDefault="00DD566D" w:rsidP="00DD566D">
      <w:pPr>
        <w:tabs>
          <w:tab w:val="left" w:pos="9355"/>
        </w:tabs>
        <w:autoSpaceDE w:val="0"/>
        <w:autoSpaceDN w:val="0"/>
        <w:adjustRightInd w:val="0"/>
        <w:spacing w:line="276" w:lineRule="auto"/>
        <w:ind w:firstLine="567"/>
        <w:jc w:val="both"/>
        <w:rPr>
          <w:rFonts w:eastAsia="Times New Roman" w:cs="Times New Roman"/>
          <w:sz w:val="24"/>
          <w:szCs w:val="24"/>
          <w:lang w:eastAsia="ru-RU"/>
        </w:rPr>
      </w:pPr>
      <w:r w:rsidRPr="002B368D">
        <w:rPr>
          <w:rFonts w:eastAsia="Calibri" w:cs="Times New Roman"/>
          <w:sz w:val="24"/>
          <w:szCs w:val="24"/>
        </w:rPr>
        <w:t>Regular aerobic exercise has been proven to reduce the risk of death from the car</w:t>
      </w:r>
      <w:r>
        <w:rPr>
          <w:rFonts w:eastAsia="Calibri" w:cs="Times New Roman"/>
          <w:sz w:val="24"/>
          <w:szCs w:val="24"/>
        </w:rPr>
        <w:softHyphen/>
      </w:r>
      <w:r w:rsidRPr="002B368D">
        <w:rPr>
          <w:rFonts w:eastAsia="Calibri" w:cs="Times New Roman"/>
          <w:sz w:val="24"/>
          <w:szCs w:val="24"/>
        </w:rPr>
        <w:t>diovascular system by 30% per year, the over</w:t>
      </w:r>
      <w:r>
        <w:rPr>
          <w:rFonts w:eastAsia="Calibri" w:cs="Times New Roman"/>
          <w:sz w:val="24"/>
          <w:szCs w:val="24"/>
        </w:rPr>
        <w:softHyphen/>
      </w:r>
      <w:r w:rsidRPr="002B368D">
        <w:rPr>
          <w:rFonts w:eastAsia="Calibri" w:cs="Times New Roman"/>
          <w:sz w:val="24"/>
          <w:szCs w:val="24"/>
        </w:rPr>
        <w:t>all risk of death by 20%, the demand for hos</w:t>
      </w:r>
      <w:r>
        <w:rPr>
          <w:rFonts w:eastAsia="Calibri" w:cs="Times New Roman"/>
          <w:sz w:val="24"/>
          <w:szCs w:val="24"/>
        </w:rPr>
        <w:softHyphen/>
      </w:r>
      <w:r w:rsidRPr="002B368D">
        <w:rPr>
          <w:rFonts w:eastAsia="Calibri" w:cs="Times New Roman"/>
          <w:sz w:val="24"/>
          <w:szCs w:val="24"/>
        </w:rPr>
        <w:t>pitalization by 60%, and the risk of recurrent myocardial infarction by 17% in cardiology re</w:t>
      </w:r>
      <w:r>
        <w:rPr>
          <w:rFonts w:eastAsia="Calibri" w:cs="Times New Roman"/>
          <w:sz w:val="24"/>
          <w:szCs w:val="24"/>
        </w:rPr>
        <w:softHyphen/>
      </w:r>
      <w:r w:rsidRPr="002B368D">
        <w:rPr>
          <w:rFonts w:eastAsia="Calibri" w:cs="Times New Roman"/>
          <w:sz w:val="24"/>
          <w:szCs w:val="24"/>
        </w:rPr>
        <w:lastRenderedPageBreak/>
        <w:t xml:space="preserve">habilitation. </w:t>
      </w:r>
      <w:r w:rsidRPr="002B368D">
        <w:rPr>
          <w:rFonts w:eastAsia="Calibri" w:cs="Times New Roman"/>
          <w:bCs/>
          <w:iCs/>
          <w:sz w:val="24"/>
          <w:szCs w:val="24"/>
        </w:rPr>
        <w:t>At the same time, a 10% increase in physical performance reduces mortality by 8-20%. Age level and individual indicators of the organism are considered in the increase of physical activity.</w:t>
      </w:r>
      <w:r w:rsidRPr="002B368D">
        <w:rPr>
          <w:rFonts w:eastAsia="Calibri" w:cs="Times New Roman"/>
          <w:sz w:val="24"/>
          <w:szCs w:val="24"/>
        </w:rPr>
        <w:t xml:space="preserve"> </w:t>
      </w:r>
      <w:r w:rsidRPr="002B368D">
        <w:rPr>
          <w:rFonts w:eastAsia="Times New Roman" w:cs="Times New Roman"/>
          <w:sz w:val="24"/>
          <w:szCs w:val="24"/>
          <w:lang w:eastAsia="ru-RU"/>
        </w:rPr>
        <w:t>It is recommended to limit the time allotted for sitting or lying down dur</w:t>
      </w:r>
      <w:r>
        <w:rPr>
          <w:rFonts w:eastAsia="Times New Roman" w:cs="Times New Roman"/>
          <w:sz w:val="24"/>
          <w:szCs w:val="24"/>
          <w:lang w:eastAsia="ru-RU"/>
        </w:rPr>
        <w:softHyphen/>
      </w:r>
      <w:r w:rsidRPr="002B368D">
        <w:rPr>
          <w:rFonts w:eastAsia="Times New Roman" w:cs="Times New Roman"/>
          <w:sz w:val="24"/>
          <w:szCs w:val="24"/>
          <w:lang w:eastAsia="ru-RU"/>
        </w:rPr>
        <w:t xml:space="preserve">ing the day. </w:t>
      </w:r>
      <w:r w:rsidRPr="002B368D">
        <w:rPr>
          <w:rFonts w:eastAsia="Calibri" w:cs="Times New Roman"/>
          <w:sz w:val="24"/>
          <w:szCs w:val="24"/>
        </w:rPr>
        <w:t>[3]</w:t>
      </w:r>
      <w:r w:rsidRPr="002B368D">
        <w:rPr>
          <w:rFonts w:eastAsia="Calibri" w:cs="Times New Roman"/>
          <w:bCs/>
          <w:iCs/>
          <w:sz w:val="24"/>
          <w:szCs w:val="24"/>
        </w:rPr>
        <w:t xml:space="preserve">  </w:t>
      </w:r>
    </w:p>
    <w:p w14:paraId="4E44248B" w14:textId="77777777" w:rsidR="00DD566D" w:rsidRPr="002B368D" w:rsidRDefault="00DD566D" w:rsidP="00DD566D">
      <w:pPr>
        <w:tabs>
          <w:tab w:val="left" w:pos="9355"/>
        </w:tabs>
        <w:autoSpaceDE w:val="0"/>
        <w:autoSpaceDN w:val="0"/>
        <w:adjustRightInd w:val="0"/>
        <w:spacing w:line="276" w:lineRule="auto"/>
        <w:ind w:firstLine="567"/>
        <w:jc w:val="both"/>
        <w:rPr>
          <w:rFonts w:eastAsia="Calibri" w:cs="Times New Roman"/>
          <w:bCs/>
          <w:sz w:val="24"/>
          <w:szCs w:val="24"/>
          <w:shd w:val="clear" w:color="auto" w:fill="FFFFFF"/>
        </w:rPr>
      </w:pPr>
      <w:r w:rsidRPr="002B368D">
        <w:rPr>
          <w:rFonts w:eastAsia="Times New Roman" w:cs="Times New Roman"/>
          <w:sz w:val="24"/>
          <w:szCs w:val="24"/>
          <w:lang w:eastAsia="ru-RU"/>
        </w:rPr>
        <w:t>Hypodynamics or lack of physical activ</w:t>
      </w:r>
      <w:r>
        <w:rPr>
          <w:rFonts w:eastAsia="Times New Roman" w:cs="Times New Roman"/>
          <w:sz w:val="24"/>
          <w:szCs w:val="24"/>
          <w:lang w:eastAsia="ru-RU"/>
        </w:rPr>
        <w:softHyphen/>
      </w:r>
      <w:r w:rsidRPr="002B368D">
        <w:rPr>
          <w:rFonts w:eastAsia="Times New Roman" w:cs="Times New Roman"/>
          <w:sz w:val="24"/>
          <w:szCs w:val="24"/>
          <w:lang w:eastAsia="ru-RU"/>
        </w:rPr>
        <w:t>ity is one of the manageable risk factors for cardiovascular disease.</w:t>
      </w:r>
      <w:r w:rsidRPr="002B368D">
        <w:rPr>
          <w:rFonts w:eastAsia="Calibri" w:cs="Times New Roman"/>
          <w:bCs/>
          <w:sz w:val="24"/>
          <w:szCs w:val="24"/>
          <w:shd w:val="clear" w:color="auto" w:fill="FFFFFF"/>
        </w:rPr>
        <w:t xml:space="preserve"> Hypodynamics leads to the hardening of the heart and blood vessels and the accumulation of excess body weight. Insignificant physical activity in such people also speeds up the heartbeat and raises blood pressure. It is known that IHD is 4-5 times more common in men aged 40-50 working in the office compared to heavy physical work. </w:t>
      </w:r>
      <w:r w:rsidRPr="002B368D">
        <w:rPr>
          <w:rFonts w:eastAsia="Calibri" w:cs="Times New Roman"/>
          <w:sz w:val="24"/>
          <w:szCs w:val="24"/>
        </w:rPr>
        <w:t>[7]</w:t>
      </w:r>
      <w:r w:rsidRPr="002B368D">
        <w:rPr>
          <w:rFonts w:eastAsia="Calibri" w:cs="Times New Roman"/>
          <w:bCs/>
          <w:iCs/>
          <w:sz w:val="24"/>
          <w:szCs w:val="24"/>
        </w:rPr>
        <w:t xml:space="preserve">  </w:t>
      </w:r>
    </w:p>
    <w:p w14:paraId="273AD512" w14:textId="77777777" w:rsidR="00DD566D" w:rsidRPr="002B368D" w:rsidRDefault="00DD566D" w:rsidP="00DD566D">
      <w:pPr>
        <w:spacing w:line="276" w:lineRule="auto"/>
        <w:ind w:firstLine="567"/>
        <w:jc w:val="both"/>
        <w:rPr>
          <w:rFonts w:eastAsia="Calibri" w:cs="Times New Roman"/>
          <w:bCs/>
          <w:color w:val="FF0000"/>
          <w:sz w:val="24"/>
          <w:szCs w:val="24"/>
          <w:shd w:val="clear" w:color="auto" w:fill="FFFFFF"/>
        </w:rPr>
      </w:pPr>
      <w:r w:rsidRPr="002B368D">
        <w:rPr>
          <w:rFonts w:eastAsia="Calibri" w:cs="Times New Roman"/>
          <w:b/>
          <w:bCs/>
          <w:sz w:val="24"/>
          <w:szCs w:val="24"/>
          <w:shd w:val="clear" w:color="auto" w:fill="FFFFFF"/>
        </w:rPr>
        <w:t xml:space="preserve">The purpose of the study. </w:t>
      </w:r>
      <w:r w:rsidRPr="002B368D">
        <w:rPr>
          <w:rFonts w:eastAsia="Calibri" w:cs="Times New Roman"/>
          <w:bCs/>
          <w:sz w:val="24"/>
          <w:szCs w:val="24"/>
          <w:shd w:val="clear" w:color="auto" w:fill="FFFFFF"/>
        </w:rPr>
        <w:t xml:space="preserve">To study the level of physical activity using an exercise pulse in patients with ischemic heart disease and to determine the optimal dosed walking duration for each patient. </w:t>
      </w:r>
    </w:p>
    <w:p w14:paraId="170CCE96"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b/>
          <w:sz w:val="24"/>
          <w:szCs w:val="24"/>
        </w:rPr>
        <w:t>Research materials and research methods.</w:t>
      </w:r>
      <w:r w:rsidRPr="002B368D">
        <w:rPr>
          <w:rFonts w:eastAsia="Calibri" w:cs="Times New Roman"/>
          <w:sz w:val="24"/>
          <w:szCs w:val="24"/>
        </w:rPr>
        <w:t xml:space="preserve"> The study was conducted from 2019 to 2021 in the 1st cardiology department of the multidisciplinary clinic of the Tashkent Medi</w:t>
      </w:r>
      <w:r>
        <w:rPr>
          <w:rFonts w:eastAsia="Calibri" w:cs="Times New Roman"/>
          <w:sz w:val="24"/>
          <w:szCs w:val="24"/>
        </w:rPr>
        <w:softHyphen/>
      </w:r>
      <w:r w:rsidRPr="002B368D">
        <w:rPr>
          <w:rFonts w:eastAsia="Calibri" w:cs="Times New Roman"/>
          <w:sz w:val="24"/>
          <w:szCs w:val="24"/>
        </w:rPr>
        <w:t>cal Academy. Patients diagnosed with IHD, stable tension angina FC II-III, being treated in the cardiology department, were selected for the study. Clinical signs of patients diagnosed with IHD, EKG (electrocardiography) infor</w:t>
      </w:r>
      <w:r>
        <w:rPr>
          <w:rFonts w:eastAsia="Calibri" w:cs="Times New Roman"/>
          <w:sz w:val="24"/>
          <w:szCs w:val="24"/>
        </w:rPr>
        <w:softHyphen/>
      </w:r>
      <w:r w:rsidRPr="002B368D">
        <w:rPr>
          <w:rFonts w:eastAsia="Calibri" w:cs="Times New Roman"/>
          <w:sz w:val="24"/>
          <w:szCs w:val="24"/>
        </w:rPr>
        <w:t>mation, based on the results of VEM (veloer</w:t>
      </w:r>
      <w:r>
        <w:rPr>
          <w:rFonts w:eastAsia="Calibri" w:cs="Times New Roman"/>
          <w:sz w:val="24"/>
          <w:szCs w:val="24"/>
        </w:rPr>
        <w:softHyphen/>
      </w:r>
      <w:r w:rsidRPr="002B368D">
        <w:rPr>
          <w:rFonts w:eastAsia="Calibri" w:cs="Times New Roman"/>
          <w:sz w:val="24"/>
          <w:szCs w:val="24"/>
        </w:rPr>
        <w:t>gometry) tests. Examination of compartmental fibrillation, AV block II-III degree, sympto</w:t>
      </w:r>
      <w:r>
        <w:rPr>
          <w:rFonts w:eastAsia="Calibri" w:cs="Times New Roman"/>
          <w:sz w:val="24"/>
          <w:szCs w:val="24"/>
        </w:rPr>
        <w:softHyphen/>
      </w:r>
      <w:r w:rsidRPr="002B368D">
        <w:rPr>
          <w:rFonts w:eastAsia="Calibri" w:cs="Times New Roman"/>
          <w:sz w:val="24"/>
          <w:szCs w:val="24"/>
        </w:rPr>
        <w:t>matic arterial hypertension, fever and patients with a history of acute infectious diseases, post-infarction cardiosclerosis, acute cerebro</w:t>
      </w:r>
      <w:r>
        <w:rPr>
          <w:rFonts w:eastAsia="Calibri" w:cs="Times New Roman"/>
          <w:sz w:val="24"/>
          <w:szCs w:val="24"/>
        </w:rPr>
        <w:softHyphen/>
      </w:r>
      <w:r w:rsidRPr="002B368D">
        <w:rPr>
          <w:rFonts w:eastAsia="Calibri" w:cs="Times New Roman"/>
          <w:sz w:val="24"/>
          <w:szCs w:val="24"/>
        </w:rPr>
        <w:t xml:space="preserve">vascular accident, diabetes mellitus, cardiac decompensation, and complex arrhythmias were not included. </w:t>
      </w:r>
    </w:p>
    <w:p w14:paraId="615E0910"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The patients in the study were divided into 2 groups. Group 1 patients (main group) performed individually dosed walking exer</w:t>
      </w:r>
      <w:r>
        <w:rPr>
          <w:rFonts w:eastAsia="Calibri" w:cs="Times New Roman"/>
          <w:sz w:val="24"/>
          <w:szCs w:val="24"/>
        </w:rPr>
        <w:softHyphen/>
      </w:r>
      <w:r w:rsidRPr="002B368D">
        <w:rPr>
          <w:rFonts w:eastAsia="Calibri" w:cs="Times New Roman"/>
          <w:sz w:val="24"/>
          <w:szCs w:val="24"/>
        </w:rPr>
        <w:t>cises in combination with IHC standard ther</w:t>
      </w:r>
      <w:r>
        <w:rPr>
          <w:rFonts w:eastAsia="Calibri" w:cs="Times New Roman"/>
          <w:sz w:val="24"/>
          <w:szCs w:val="24"/>
        </w:rPr>
        <w:softHyphen/>
      </w:r>
      <w:r w:rsidRPr="002B368D">
        <w:rPr>
          <w:rFonts w:eastAsia="Calibri" w:cs="Times New Roman"/>
          <w:sz w:val="24"/>
          <w:szCs w:val="24"/>
        </w:rPr>
        <w:t xml:space="preserve">apy. Group 2 patients received only standard pharmacotherapy. When analyzing the clinical characteristics of the patients in the study, the average age of patients in group 1 was 56.3 ± 6.5, In group 2, it was 55.8 ± 5.3. In the first group, 20.9% of patients with stable tension angina belonged to functional class II, and 79.1% of patients to FC III. In turn, 19.9% of patients in group 2 had stable tension angina FC II and 80.1% had functional class III.   </w:t>
      </w:r>
    </w:p>
    <w:p w14:paraId="6F8E89F8"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 xml:space="preserve">    88.7% of the patients examined had hypertension with IHD.  Of these, 25 (58.1%) of patients with AG (arterial hypertension) grade 1 belong to group 1, 20 (62.5%) to group 2;  9 (37.1%) of patients with AG grade 2 be</w:t>
      </w:r>
      <w:r>
        <w:rPr>
          <w:rFonts w:eastAsia="Calibri" w:cs="Times New Roman"/>
          <w:sz w:val="24"/>
          <w:szCs w:val="24"/>
        </w:rPr>
        <w:softHyphen/>
      </w:r>
      <w:r w:rsidRPr="002B368D">
        <w:rPr>
          <w:rFonts w:eastAsia="Calibri" w:cs="Times New Roman"/>
          <w:sz w:val="24"/>
          <w:szCs w:val="24"/>
        </w:rPr>
        <w:t>long to group 1, 8 (25.0%) to group 2; Of the 3rd degree AG patients, 5 (4.8%) belonged to group 1 and 4 (12.5%) to group 2.</w:t>
      </w:r>
    </w:p>
    <w:p w14:paraId="4A4FE328"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When analyzed for risk factors for IHD, overweight was 18 (40%) in group 1 patients and 11 (33.4%) in group 2 patients. Obesity is 18 (40%) in group 1 and 12 (36.3%) in group 2. Of the patients examined, 37 (82.2%) were from group 1 and 29 (87.8%) were diagnosed with arterial hypertension.</w:t>
      </w:r>
    </w:p>
    <w:p w14:paraId="75CA5D4E"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Anthropometric measurements, clinical and laboratory examinations, ECG, VEM test, SCORE, SF 36 surveys were conducted in all patients. The threshold pulse rate was deter</w:t>
      </w:r>
      <w:r>
        <w:rPr>
          <w:rFonts w:eastAsia="Calibri" w:cs="Times New Roman"/>
          <w:sz w:val="24"/>
          <w:szCs w:val="24"/>
        </w:rPr>
        <w:softHyphen/>
      </w:r>
      <w:r w:rsidRPr="002B368D">
        <w:rPr>
          <w:rFonts w:eastAsia="Calibri" w:cs="Times New Roman"/>
          <w:sz w:val="24"/>
          <w:szCs w:val="24"/>
        </w:rPr>
        <w:t>mined using the "exercise pulse" formula. Based on the results of the first bicycle ergom</w:t>
      </w:r>
      <w:r>
        <w:rPr>
          <w:rFonts w:eastAsia="Calibri" w:cs="Times New Roman"/>
          <w:sz w:val="24"/>
          <w:szCs w:val="24"/>
        </w:rPr>
        <w:softHyphen/>
      </w:r>
      <w:r w:rsidRPr="002B368D">
        <w:rPr>
          <w:rFonts w:eastAsia="Calibri" w:cs="Times New Roman"/>
          <w:sz w:val="24"/>
          <w:szCs w:val="24"/>
        </w:rPr>
        <w:t>etric test, Nikolaev L.F., and Aronov D.M. The required walking rhythm for each patient is calculated using the formula:</w:t>
      </w:r>
    </w:p>
    <w:p w14:paraId="6F6A6920"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Х = 0.042 х М + 0.15 х HR + 65.5</w:t>
      </w:r>
    </w:p>
    <w:p w14:paraId="604FF120"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Х – walking pace (number of steps / min),</w:t>
      </w:r>
    </w:p>
    <w:p w14:paraId="75E2463E"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М – limiting power of loading (kgm / min),</w:t>
      </w:r>
    </w:p>
    <w:p w14:paraId="04ADAEC4"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HR – The number of high-load heart rate in the VEM test.</w:t>
      </w:r>
    </w:p>
    <w:p w14:paraId="16163A98" w14:textId="77777777" w:rsidR="00DD566D" w:rsidRPr="002B368D" w:rsidRDefault="00DD566D" w:rsidP="00DD566D">
      <w:pPr>
        <w:spacing w:line="276" w:lineRule="auto"/>
        <w:ind w:firstLine="567"/>
        <w:jc w:val="both"/>
        <w:rPr>
          <w:rFonts w:eastAsia="Calibri" w:cs="Times New Roman"/>
          <w:b/>
          <w:sz w:val="24"/>
          <w:szCs w:val="24"/>
        </w:rPr>
      </w:pPr>
      <w:r w:rsidRPr="002B368D">
        <w:rPr>
          <w:rFonts w:eastAsia="Calibri" w:cs="Times New Roman"/>
          <w:sz w:val="24"/>
          <w:szCs w:val="24"/>
        </w:rPr>
        <w:t xml:space="preserve">Patients were given physical activity on a flat road, walking at medium speed for 6 months, 3 times a week for 20-60 minutes. The </w:t>
      </w:r>
      <w:r w:rsidRPr="002B368D">
        <w:rPr>
          <w:rFonts w:eastAsia="Calibri" w:cs="Times New Roman"/>
          <w:sz w:val="24"/>
          <w:szCs w:val="24"/>
        </w:rPr>
        <w:lastRenderedPageBreak/>
        <w:t>"exercise load" is 50-60% of the patient's indi</w:t>
      </w:r>
      <w:r>
        <w:rPr>
          <w:rFonts w:eastAsia="Calibri" w:cs="Times New Roman"/>
          <w:sz w:val="24"/>
          <w:szCs w:val="24"/>
        </w:rPr>
        <w:softHyphen/>
      </w:r>
      <w:r w:rsidRPr="002B368D">
        <w:rPr>
          <w:rFonts w:eastAsia="Calibri" w:cs="Times New Roman"/>
          <w:sz w:val="24"/>
          <w:szCs w:val="24"/>
        </w:rPr>
        <w:t>vidual threshold load.</w:t>
      </w:r>
    </w:p>
    <w:p w14:paraId="6DD2A532"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During physical activity and physical ac</w:t>
      </w:r>
      <w:r>
        <w:rPr>
          <w:rFonts w:eastAsia="Calibri" w:cs="Times New Roman"/>
          <w:sz w:val="24"/>
          <w:szCs w:val="24"/>
        </w:rPr>
        <w:softHyphen/>
      </w:r>
      <w:r w:rsidRPr="002B368D">
        <w:rPr>
          <w:rFonts w:eastAsia="Calibri" w:cs="Times New Roman"/>
          <w:sz w:val="24"/>
          <w:szCs w:val="24"/>
        </w:rPr>
        <w:t>tivity, O2 consumption in the body increases in proportion to their intensity. But after reaching a certain limit, the increase in physical load does not correspond to the consumption of O2.  This</w:t>
      </w:r>
      <w:r w:rsidRPr="000A0B27">
        <w:rPr>
          <w:rFonts w:eastAsia="Calibri" w:cs="Times New Roman"/>
          <w:sz w:val="24"/>
          <w:szCs w:val="24"/>
        </w:rPr>
        <w:t xml:space="preserve"> </w:t>
      </w:r>
      <w:r w:rsidRPr="002B368D">
        <w:rPr>
          <w:rFonts w:eastAsia="Calibri" w:cs="Times New Roman"/>
          <w:sz w:val="24"/>
          <w:szCs w:val="24"/>
        </w:rPr>
        <w:t>the limit is called the maximum oxygen consumption. Maximum oxygen consumption (V O2max, l / min) is one of the most important physiological parameters for O2 of the cardio</w:t>
      </w:r>
      <w:r>
        <w:rPr>
          <w:rFonts w:eastAsia="Calibri" w:cs="Times New Roman"/>
          <w:sz w:val="24"/>
          <w:szCs w:val="24"/>
        </w:rPr>
        <w:softHyphen/>
      </w:r>
      <w:r w:rsidRPr="002B368D">
        <w:rPr>
          <w:rFonts w:eastAsia="Calibri" w:cs="Times New Roman"/>
          <w:sz w:val="24"/>
          <w:szCs w:val="24"/>
        </w:rPr>
        <w:t xml:space="preserve">vascular and respiratory systems, indicates the limiting capacity of the organism to meet the growing demand. This figure is reduced in the </w:t>
      </w:r>
      <w:r w:rsidRPr="002B368D">
        <w:rPr>
          <w:rFonts w:eastAsia="Calibri" w:cs="Times New Roman"/>
          <w:sz w:val="24"/>
          <w:szCs w:val="24"/>
        </w:rPr>
        <w:t>elderly, people leading a sedentary lifestyle, and patients with cardiovascular disease.</w:t>
      </w:r>
    </w:p>
    <w:p w14:paraId="4518500C"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During the loading period, which con</w:t>
      </w:r>
      <w:r>
        <w:rPr>
          <w:rFonts w:eastAsia="Calibri" w:cs="Times New Roman"/>
          <w:sz w:val="24"/>
          <w:szCs w:val="24"/>
        </w:rPr>
        <w:softHyphen/>
      </w:r>
      <w:r w:rsidRPr="002B368D">
        <w:rPr>
          <w:rFonts w:eastAsia="Calibri" w:cs="Times New Roman"/>
          <w:sz w:val="24"/>
          <w:szCs w:val="24"/>
        </w:rPr>
        <w:t>sumes 40-75% of the maximum oxygen con</w:t>
      </w:r>
      <w:r>
        <w:rPr>
          <w:rFonts w:eastAsia="Calibri" w:cs="Times New Roman"/>
          <w:sz w:val="24"/>
          <w:szCs w:val="24"/>
        </w:rPr>
        <w:softHyphen/>
      </w:r>
      <w:r w:rsidRPr="002B368D">
        <w:rPr>
          <w:rFonts w:eastAsia="Calibri" w:cs="Times New Roman"/>
          <w:sz w:val="24"/>
          <w:szCs w:val="24"/>
        </w:rPr>
        <w:t>sumption, metabolic processes in the body im</w:t>
      </w:r>
      <w:r>
        <w:rPr>
          <w:rFonts w:eastAsia="Calibri" w:cs="Times New Roman"/>
          <w:sz w:val="24"/>
          <w:szCs w:val="24"/>
        </w:rPr>
        <w:softHyphen/>
      </w:r>
      <w:r w:rsidRPr="002B368D">
        <w:rPr>
          <w:rFonts w:eastAsia="Calibri" w:cs="Times New Roman"/>
          <w:sz w:val="24"/>
          <w:szCs w:val="24"/>
        </w:rPr>
        <w:t>prove. There is a direct correlation between the maximum oxygen consumption and the num</w:t>
      </w:r>
      <w:r>
        <w:rPr>
          <w:rFonts w:eastAsia="Calibri" w:cs="Times New Roman"/>
          <w:sz w:val="24"/>
          <w:szCs w:val="24"/>
        </w:rPr>
        <w:softHyphen/>
      </w:r>
      <w:r w:rsidRPr="002B368D">
        <w:rPr>
          <w:rFonts w:eastAsia="Calibri" w:cs="Times New Roman"/>
          <w:sz w:val="24"/>
          <w:szCs w:val="24"/>
        </w:rPr>
        <w:t>ber of heartbeats, which allows to determine the maximum number of heartbeats during ex</w:t>
      </w:r>
      <w:r>
        <w:rPr>
          <w:rFonts w:eastAsia="Calibri" w:cs="Times New Roman"/>
          <w:sz w:val="24"/>
          <w:szCs w:val="24"/>
        </w:rPr>
        <w:softHyphen/>
      </w:r>
      <w:r w:rsidRPr="002B368D">
        <w:rPr>
          <w:rFonts w:eastAsia="Calibri" w:cs="Times New Roman"/>
          <w:sz w:val="24"/>
          <w:szCs w:val="24"/>
        </w:rPr>
        <w:t>ercise on a standard basis.</w:t>
      </w:r>
    </w:p>
    <w:p w14:paraId="50C3B0F4" w14:textId="77777777" w:rsidR="00DD566D" w:rsidRPr="000A0B27" w:rsidRDefault="00DD566D" w:rsidP="00DD566D">
      <w:pPr>
        <w:spacing w:line="264" w:lineRule="auto"/>
        <w:ind w:firstLine="567"/>
        <w:jc w:val="both"/>
        <w:rPr>
          <w:rFonts w:eastAsia="Calibri" w:cs="Times New Roman"/>
          <w:sz w:val="24"/>
          <w:szCs w:val="24"/>
        </w:rPr>
        <w:sectPr w:rsidR="00DD566D" w:rsidRPr="000A0B27" w:rsidSect="000A0B27">
          <w:type w:val="continuous"/>
          <w:pgSz w:w="11907" w:h="16840" w:code="9"/>
          <w:pgMar w:top="1418" w:right="1134" w:bottom="1134" w:left="1134" w:header="907" w:footer="794" w:gutter="0"/>
          <w:cols w:num="2" w:space="708"/>
          <w:docGrid w:linePitch="381"/>
        </w:sectPr>
      </w:pPr>
      <w:r w:rsidRPr="002B368D">
        <w:rPr>
          <w:rFonts w:eastAsia="Calibri" w:cs="Times New Roman"/>
          <w:sz w:val="24"/>
          <w:szCs w:val="24"/>
        </w:rPr>
        <w:t>Standards of HRC indicators of demand for O2 depending on age and sex during exer</w:t>
      </w:r>
      <w:r>
        <w:rPr>
          <w:rFonts w:eastAsia="Calibri" w:cs="Times New Roman"/>
          <w:sz w:val="24"/>
          <w:szCs w:val="24"/>
        </w:rPr>
        <w:softHyphen/>
      </w:r>
      <w:r w:rsidRPr="002B368D">
        <w:rPr>
          <w:rFonts w:eastAsia="Calibri" w:cs="Times New Roman"/>
          <w:sz w:val="24"/>
          <w:szCs w:val="24"/>
        </w:rPr>
        <w:t>cise. (According to R. Shepard, 2002)</w:t>
      </w:r>
    </w:p>
    <w:p w14:paraId="7E685D40" w14:textId="77777777" w:rsidR="00DD566D" w:rsidRDefault="00DD566D" w:rsidP="00DD566D">
      <w:pPr>
        <w:spacing w:line="264" w:lineRule="auto"/>
        <w:ind w:firstLine="567"/>
        <w:jc w:val="both"/>
        <w:rPr>
          <w:rFonts w:eastAsia="Calibri" w:cs="Times New Roman"/>
          <w:sz w:val="24"/>
          <w:szCs w:val="24"/>
          <w:lang w:val="uz-Cyrl-UZ"/>
        </w:rPr>
      </w:pPr>
    </w:p>
    <w:tbl>
      <w:tblPr>
        <w:tblStyle w:val="19"/>
        <w:tblW w:w="0" w:type="auto"/>
        <w:jc w:val="center"/>
        <w:tblLook w:val="04A0" w:firstRow="1" w:lastRow="0" w:firstColumn="1" w:lastColumn="0" w:noHBand="0" w:noVBand="1"/>
      </w:tblPr>
      <w:tblGrid>
        <w:gridCol w:w="1914"/>
        <w:gridCol w:w="1914"/>
        <w:gridCol w:w="1914"/>
        <w:gridCol w:w="1914"/>
        <w:gridCol w:w="1915"/>
      </w:tblGrid>
      <w:tr w:rsidR="00DD566D" w:rsidRPr="002B368D" w14:paraId="485334CF" w14:textId="77777777" w:rsidTr="00C90B56">
        <w:trPr>
          <w:jc w:val="center"/>
        </w:trPr>
        <w:tc>
          <w:tcPr>
            <w:tcW w:w="1914" w:type="dxa"/>
            <w:vMerge w:val="restart"/>
          </w:tcPr>
          <w:p w14:paraId="04CE4D93"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p>
          <w:p w14:paraId="7982B479"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O2 consumption</w:t>
            </w:r>
            <w:r w:rsidRPr="002B368D">
              <w:rPr>
                <w:rFonts w:ascii="Times New Roman" w:eastAsia="Calibri" w:hAnsi="Times New Roman" w:cs="Times New Roman"/>
                <w:sz w:val="24"/>
                <w:szCs w:val="24"/>
              </w:rPr>
              <w:t xml:space="preserve"> </w:t>
            </w:r>
            <w:r w:rsidRPr="002B368D">
              <w:rPr>
                <w:rFonts w:ascii="Times New Roman" w:eastAsia="Calibri" w:hAnsi="Times New Roman" w:cs="Times New Roman"/>
                <w:sz w:val="24"/>
                <w:szCs w:val="24"/>
                <w:lang w:val="uz-Cyrl-UZ"/>
              </w:rPr>
              <w:t>%</w:t>
            </w:r>
          </w:p>
        </w:tc>
        <w:tc>
          <w:tcPr>
            <w:tcW w:w="7657" w:type="dxa"/>
            <w:gridSpan w:val="4"/>
          </w:tcPr>
          <w:p w14:paraId="26528F61" w14:textId="77777777" w:rsidR="00DD566D" w:rsidRPr="002B368D" w:rsidRDefault="00DD566D" w:rsidP="00C90B56">
            <w:pPr>
              <w:spacing w:line="264"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rPr>
              <w:t>Age</w:t>
            </w:r>
          </w:p>
        </w:tc>
      </w:tr>
      <w:tr w:rsidR="00DD566D" w:rsidRPr="002B368D" w14:paraId="618A1931" w14:textId="77777777" w:rsidTr="00C90B56">
        <w:trPr>
          <w:jc w:val="center"/>
        </w:trPr>
        <w:tc>
          <w:tcPr>
            <w:tcW w:w="1914" w:type="dxa"/>
            <w:vMerge/>
          </w:tcPr>
          <w:p w14:paraId="3B1DC85C"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p>
        </w:tc>
        <w:tc>
          <w:tcPr>
            <w:tcW w:w="3828" w:type="dxa"/>
            <w:gridSpan w:val="2"/>
          </w:tcPr>
          <w:p w14:paraId="009C3F20"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40-49</w:t>
            </w:r>
          </w:p>
        </w:tc>
        <w:tc>
          <w:tcPr>
            <w:tcW w:w="3829" w:type="dxa"/>
            <w:gridSpan w:val="2"/>
          </w:tcPr>
          <w:p w14:paraId="052E6FF7"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50-59</w:t>
            </w:r>
          </w:p>
        </w:tc>
      </w:tr>
      <w:tr w:rsidR="00DD566D" w:rsidRPr="002B368D" w14:paraId="13353393" w14:textId="77777777" w:rsidTr="00C90B56">
        <w:trPr>
          <w:jc w:val="center"/>
        </w:trPr>
        <w:tc>
          <w:tcPr>
            <w:tcW w:w="1914" w:type="dxa"/>
            <w:vMerge/>
          </w:tcPr>
          <w:p w14:paraId="09F55690"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p>
        </w:tc>
        <w:tc>
          <w:tcPr>
            <w:tcW w:w="1914" w:type="dxa"/>
          </w:tcPr>
          <w:p w14:paraId="240679CD" w14:textId="77777777" w:rsidR="00DD566D" w:rsidRPr="002B368D" w:rsidRDefault="00DD566D" w:rsidP="00C90B56">
            <w:pPr>
              <w:spacing w:line="264"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rPr>
              <w:t>male</w:t>
            </w:r>
          </w:p>
        </w:tc>
        <w:tc>
          <w:tcPr>
            <w:tcW w:w="1914" w:type="dxa"/>
          </w:tcPr>
          <w:p w14:paraId="277B7CC0" w14:textId="77777777" w:rsidR="00DD566D" w:rsidRPr="002B368D" w:rsidRDefault="00DD566D" w:rsidP="00C90B56">
            <w:pPr>
              <w:spacing w:line="264"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rPr>
              <w:t>female</w:t>
            </w:r>
          </w:p>
        </w:tc>
        <w:tc>
          <w:tcPr>
            <w:tcW w:w="1914" w:type="dxa"/>
          </w:tcPr>
          <w:p w14:paraId="476D8BF8"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rPr>
              <w:t>male</w:t>
            </w:r>
          </w:p>
        </w:tc>
        <w:tc>
          <w:tcPr>
            <w:tcW w:w="1915" w:type="dxa"/>
          </w:tcPr>
          <w:p w14:paraId="509F881A"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rPr>
              <w:t>female</w:t>
            </w:r>
          </w:p>
        </w:tc>
      </w:tr>
      <w:tr w:rsidR="00DD566D" w:rsidRPr="002B368D" w14:paraId="26F6695B" w14:textId="77777777" w:rsidTr="00C90B56">
        <w:trPr>
          <w:jc w:val="center"/>
        </w:trPr>
        <w:tc>
          <w:tcPr>
            <w:tcW w:w="1914" w:type="dxa"/>
            <w:vMerge/>
          </w:tcPr>
          <w:p w14:paraId="7B0857FB"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p>
        </w:tc>
        <w:tc>
          <w:tcPr>
            <w:tcW w:w="7657" w:type="dxa"/>
            <w:gridSpan w:val="4"/>
          </w:tcPr>
          <w:p w14:paraId="0A242043"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 xml:space="preserve">Number of </w:t>
            </w:r>
            <w:r w:rsidRPr="002B368D">
              <w:rPr>
                <w:rFonts w:ascii="Times New Roman" w:eastAsia="Calibri" w:hAnsi="Times New Roman" w:cs="Times New Roman"/>
                <w:sz w:val="24"/>
                <w:szCs w:val="24"/>
                <w:lang w:val="en-US"/>
              </w:rPr>
              <w:t>HR</w:t>
            </w:r>
            <w:r w:rsidRPr="002B368D">
              <w:rPr>
                <w:rFonts w:ascii="Times New Roman" w:eastAsia="Calibri" w:hAnsi="Times New Roman" w:cs="Times New Roman"/>
                <w:sz w:val="24"/>
                <w:szCs w:val="24"/>
                <w:lang w:val="uz-Cyrl-UZ"/>
              </w:rPr>
              <w:t xml:space="preserve"> per minute</w:t>
            </w:r>
          </w:p>
        </w:tc>
      </w:tr>
      <w:tr w:rsidR="00DD566D" w:rsidRPr="002B368D" w14:paraId="7A2C9970" w14:textId="77777777" w:rsidTr="00C90B56">
        <w:trPr>
          <w:jc w:val="center"/>
        </w:trPr>
        <w:tc>
          <w:tcPr>
            <w:tcW w:w="1914" w:type="dxa"/>
          </w:tcPr>
          <w:p w14:paraId="563498AE"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40</w:t>
            </w:r>
          </w:p>
        </w:tc>
        <w:tc>
          <w:tcPr>
            <w:tcW w:w="1914" w:type="dxa"/>
          </w:tcPr>
          <w:p w14:paraId="3AD23622"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115</w:t>
            </w:r>
          </w:p>
        </w:tc>
        <w:tc>
          <w:tcPr>
            <w:tcW w:w="1914" w:type="dxa"/>
          </w:tcPr>
          <w:p w14:paraId="2D7397E9"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117</w:t>
            </w:r>
          </w:p>
        </w:tc>
        <w:tc>
          <w:tcPr>
            <w:tcW w:w="1914" w:type="dxa"/>
          </w:tcPr>
          <w:p w14:paraId="46978C27"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111</w:t>
            </w:r>
          </w:p>
        </w:tc>
        <w:tc>
          <w:tcPr>
            <w:tcW w:w="1915" w:type="dxa"/>
          </w:tcPr>
          <w:p w14:paraId="3EE88B16"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113</w:t>
            </w:r>
          </w:p>
        </w:tc>
      </w:tr>
      <w:tr w:rsidR="00DD566D" w:rsidRPr="002B368D" w14:paraId="37B7A82E" w14:textId="77777777" w:rsidTr="00C90B56">
        <w:trPr>
          <w:jc w:val="center"/>
        </w:trPr>
        <w:tc>
          <w:tcPr>
            <w:tcW w:w="1914" w:type="dxa"/>
          </w:tcPr>
          <w:p w14:paraId="1C0764B6"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60</w:t>
            </w:r>
          </w:p>
        </w:tc>
        <w:tc>
          <w:tcPr>
            <w:tcW w:w="1914" w:type="dxa"/>
          </w:tcPr>
          <w:p w14:paraId="62AF59E1"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136</w:t>
            </w:r>
          </w:p>
        </w:tc>
        <w:tc>
          <w:tcPr>
            <w:tcW w:w="1914" w:type="dxa"/>
          </w:tcPr>
          <w:p w14:paraId="7C17FCAE"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138</w:t>
            </w:r>
          </w:p>
        </w:tc>
        <w:tc>
          <w:tcPr>
            <w:tcW w:w="1914" w:type="dxa"/>
          </w:tcPr>
          <w:p w14:paraId="3F458749"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131</w:t>
            </w:r>
          </w:p>
        </w:tc>
        <w:tc>
          <w:tcPr>
            <w:tcW w:w="1915" w:type="dxa"/>
          </w:tcPr>
          <w:p w14:paraId="6963E0E5"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134</w:t>
            </w:r>
          </w:p>
        </w:tc>
      </w:tr>
      <w:tr w:rsidR="00DD566D" w:rsidRPr="002B368D" w14:paraId="5F66181C" w14:textId="77777777" w:rsidTr="00C90B56">
        <w:trPr>
          <w:jc w:val="center"/>
        </w:trPr>
        <w:tc>
          <w:tcPr>
            <w:tcW w:w="1914" w:type="dxa"/>
          </w:tcPr>
          <w:p w14:paraId="1BBBB146"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75</w:t>
            </w:r>
          </w:p>
        </w:tc>
        <w:tc>
          <w:tcPr>
            <w:tcW w:w="1914" w:type="dxa"/>
          </w:tcPr>
          <w:p w14:paraId="0A8C85A0"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152</w:t>
            </w:r>
          </w:p>
        </w:tc>
        <w:tc>
          <w:tcPr>
            <w:tcW w:w="1914" w:type="dxa"/>
          </w:tcPr>
          <w:p w14:paraId="4BEF11A2"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154</w:t>
            </w:r>
          </w:p>
        </w:tc>
        <w:tc>
          <w:tcPr>
            <w:tcW w:w="1914" w:type="dxa"/>
          </w:tcPr>
          <w:p w14:paraId="2D844AC5"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145</w:t>
            </w:r>
          </w:p>
        </w:tc>
        <w:tc>
          <w:tcPr>
            <w:tcW w:w="1915" w:type="dxa"/>
          </w:tcPr>
          <w:p w14:paraId="47353604"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145</w:t>
            </w:r>
          </w:p>
        </w:tc>
      </w:tr>
      <w:tr w:rsidR="00DD566D" w:rsidRPr="002B368D" w14:paraId="6B2EF6A0" w14:textId="77777777" w:rsidTr="00C90B56">
        <w:trPr>
          <w:jc w:val="center"/>
        </w:trPr>
        <w:tc>
          <w:tcPr>
            <w:tcW w:w="1914" w:type="dxa"/>
          </w:tcPr>
          <w:p w14:paraId="6AB7D026"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100</w:t>
            </w:r>
          </w:p>
        </w:tc>
        <w:tc>
          <w:tcPr>
            <w:tcW w:w="1914" w:type="dxa"/>
          </w:tcPr>
          <w:p w14:paraId="28B923D0"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178</w:t>
            </w:r>
          </w:p>
        </w:tc>
        <w:tc>
          <w:tcPr>
            <w:tcW w:w="1914" w:type="dxa"/>
          </w:tcPr>
          <w:p w14:paraId="619FAC84"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179</w:t>
            </w:r>
          </w:p>
        </w:tc>
        <w:tc>
          <w:tcPr>
            <w:tcW w:w="1914" w:type="dxa"/>
          </w:tcPr>
          <w:p w14:paraId="45AA2882"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170</w:t>
            </w:r>
          </w:p>
        </w:tc>
        <w:tc>
          <w:tcPr>
            <w:tcW w:w="1915" w:type="dxa"/>
          </w:tcPr>
          <w:p w14:paraId="2BE0D3ED" w14:textId="77777777" w:rsidR="00DD566D" w:rsidRPr="002B368D" w:rsidRDefault="00DD566D" w:rsidP="00C90B56">
            <w:pPr>
              <w:spacing w:line="264"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171</w:t>
            </w:r>
          </w:p>
        </w:tc>
      </w:tr>
    </w:tbl>
    <w:p w14:paraId="03B83591" w14:textId="77777777" w:rsidR="00DD566D" w:rsidRPr="002B368D" w:rsidRDefault="00DD566D" w:rsidP="00DD566D">
      <w:pPr>
        <w:spacing w:line="264" w:lineRule="auto"/>
        <w:ind w:firstLine="567"/>
        <w:jc w:val="both"/>
        <w:rPr>
          <w:rFonts w:eastAsia="Calibri" w:cs="Times New Roman"/>
          <w:sz w:val="24"/>
          <w:szCs w:val="24"/>
          <w:lang w:val="uz-Cyrl-UZ"/>
        </w:rPr>
      </w:pPr>
    </w:p>
    <w:p w14:paraId="4CEB9C45" w14:textId="77777777" w:rsidR="00DD566D" w:rsidRDefault="00DD566D" w:rsidP="00DD566D">
      <w:pPr>
        <w:spacing w:line="264" w:lineRule="auto"/>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05D6DD6F"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The formula "exercise pulse" was devel</w:t>
      </w:r>
      <w:r>
        <w:rPr>
          <w:rFonts w:eastAsia="Calibri" w:cs="Times New Roman"/>
          <w:sz w:val="24"/>
          <w:szCs w:val="24"/>
        </w:rPr>
        <w:softHyphen/>
      </w:r>
      <w:r w:rsidRPr="002B368D">
        <w:rPr>
          <w:rFonts w:eastAsia="Calibri" w:cs="Times New Roman"/>
          <w:sz w:val="24"/>
          <w:szCs w:val="24"/>
        </w:rPr>
        <w:t>oped on the basis of the above law, using which the above figure was determined.</w:t>
      </w:r>
    </w:p>
    <w:p w14:paraId="1EF9A10D"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Exercise pulse = (220 - patient's age - pa</w:t>
      </w:r>
      <w:r>
        <w:rPr>
          <w:rFonts w:eastAsia="Calibri" w:cs="Times New Roman"/>
          <w:sz w:val="24"/>
          <w:szCs w:val="24"/>
        </w:rPr>
        <w:softHyphen/>
      </w:r>
      <w:r w:rsidRPr="002B368D">
        <w:rPr>
          <w:rFonts w:eastAsia="Calibri" w:cs="Times New Roman"/>
          <w:sz w:val="24"/>
          <w:szCs w:val="24"/>
        </w:rPr>
        <w:t>tient's 1 minute of rest at rest) x 0.6 + patient's 1 minute of rest at rest.</w:t>
      </w:r>
    </w:p>
    <w:p w14:paraId="69A42C43"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 xml:space="preserve">For example: the patient is 50 years old. The patient's 1-minute heart rate at rest was 70. In this case, the exercise pulse of this patient is 130. </w:t>
      </w:r>
    </w:p>
    <w:p w14:paraId="5A42FD8D"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(220-50-70) х 0,6 + 70 = 130</w:t>
      </w:r>
    </w:p>
    <w:p w14:paraId="5705E3B0"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At the beginning of the study and after 6 months, patients were examined and compared to determine the "exercise pulse" and how long it takes to reach this level during exercise.</w:t>
      </w:r>
    </w:p>
    <w:p w14:paraId="17FCAC22" w14:textId="77777777" w:rsidR="00DD566D" w:rsidRPr="002B368D" w:rsidRDefault="00DD566D" w:rsidP="00DD566D">
      <w:pPr>
        <w:spacing w:line="264" w:lineRule="auto"/>
        <w:ind w:firstLine="567"/>
        <w:jc w:val="both"/>
        <w:rPr>
          <w:rFonts w:eastAsia="Calibri" w:cs="Times New Roman"/>
          <w:b/>
          <w:sz w:val="24"/>
          <w:szCs w:val="24"/>
        </w:rPr>
      </w:pPr>
      <w:r w:rsidRPr="002B368D">
        <w:rPr>
          <w:rFonts w:eastAsia="Calibri" w:cs="Times New Roman"/>
          <w:sz w:val="24"/>
          <w:szCs w:val="24"/>
        </w:rPr>
        <w:t>SCORE (Systematic COronary Risk Evaluation) scale to determine the overall risk of cardiovascular disease, SF 36 (The Short Form-36) - Used as a nonspecific question</w:t>
      </w:r>
      <w:r>
        <w:rPr>
          <w:rFonts w:eastAsia="Calibri" w:cs="Times New Roman"/>
          <w:sz w:val="24"/>
          <w:szCs w:val="24"/>
        </w:rPr>
        <w:softHyphen/>
      </w:r>
      <w:r w:rsidRPr="002B368D">
        <w:rPr>
          <w:rFonts w:eastAsia="Calibri" w:cs="Times New Roman"/>
          <w:sz w:val="24"/>
          <w:szCs w:val="24"/>
        </w:rPr>
        <w:t xml:space="preserve">naire to assess the quality of life of patients with chronic diseases.  </w:t>
      </w:r>
    </w:p>
    <w:p w14:paraId="53645BFB"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b/>
          <w:sz w:val="24"/>
          <w:szCs w:val="24"/>
        </w:rPr>
        <w:t xml:space="preserve">Results of scientific research: </w:t>
      </w:r>
      <w:r w:rsidRPr="002B368D">
        <w:rPr>
          <w:rFonts w:eastAsia="Calibri" w:cs="Times New Roman"/>
          <w:sz w:val="24"/>
          <w:szCs w:val="24"/>
        </w:rPr>
        <w:t>The du</w:t>
      </w:r>
      <w:r>
        <w:rPr>
          <w:rFonts w:eastAsia="Calibri" w:cs="Times New Roman"/>
          <w:sz w:val="24"/>
          <w:szCs w:val="24"/>
        </w:rPr>
        <w:softHyphen/>
      </w:r>
      <w:r w:rsidRPr="002B368D">
        <w:rPr>
          <w:rFonts w:eastAsia="Calibri" w:cs="Times New Roman"/>
          <w:sz w:val="24"/>
          <w:szCs w:val="24"/>
        </w:rPr>
        <w:t>ration of the training was based on the results of veloergometry examination of patients at the time of the initial examination Nikolaev L.F. and Aronov D.M. The required walking rhythm was calculated for each patient using the formula. Using this formula, the patient's walking speed was determined by the number of steps per minute.</w:t>
      </w:r>
    </w:p>
    <w:p w14:paraId="4C299EE6"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Patients who were able to perform up to 50 W load (conditionally IHD, stable voltage angina FC III) during the initial VEM test dur</w:t>
      </w:r>
      <w:r>
        <w:rPr>
          <w:rFonts w:eastAsia="Calibri" w:cs="Times New Roman"/>
          <w:sz w:val="24"/>
          <w:szCs w:val="24"/>
        </w:rPr>
        <w:softHyphen/>
      </w:r>
      <w:r w:rsidRPr="002B368D">
        <w:rPr>
          <w:rFonts w:eastAsia="Calibri" w:cs="Times New Roman"/>
          <w:sz w:val="24"/>
          <w:szCs w:val="24"/>
        </w:rPr>
        <w:t>ing training for 20-40 minutes, and patients who were able to perform up to 75 W load (conditionally YuIK, stable voltage angina FC II) 40-60 conducted dynamic walking exer</w:t>
      </w:r>
      <w:r>
        <w:rPr>
          <w:rFonts w:eastAsia="Calibri" w:cs="Times New Roman"/>
          <w:sz w:val="24"/>
          <w:szCs w:val="24"/>
        </w:rPr>
        <w:softHyphen/>
      </w:r>
      <w:r w:rsidRPr="002B368D">
        <w:rPr>
          <w:rFonts w:eastAsia="Calibri" w:cs="Times New Roman"/>
          <w:sz w:val="24"/>
          <w:szCs w:val="24"/>
        </w:rPr>
        <w:t xml:space="preserve">cises for minutes.   </w:t>
      </w:r>
    </w:p>
    <w:p w14:paraId="73C1BAEA"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Preliminary indicators of patients' toler</w:t>
      </w:r>
      <w:r>
        <w:rPr>
          <w:rFonts w:eastAsia="Calibri" w:cs="Times New Roman"/>
          <w:sz w:val="24"/>
          <w:szCs w:val="24"/>
        </w:rPr>
        <w:softHyphen/>
      </w:r>
      <w:r w:rsidRPr="002B368D">
        <w:rPr>
          <w:rFonts w:eastAsia="Calibri" w:cs="Times New Roman"/>
          <w:sz w:val="24"/>
          <w:szCs w:val="24"/>
        </w:rPr>
        <w:t>ance to physical activity were assessed using veloergometry. In the main group, tolerance to physical activity was found to be low in 51.1% (22 people) and moderate in 48.9% (21 peo</w:t>
      </w:r>
      <w:r>
        <w:rPr>
          <w:rFonts w:eastAsia="Calibri" w:cs="Times New Roman"/>
          <w:sz w:val="24"/>
          <w:szCs w:val="24"/>
        </w:rPr>
        <w:softHyphen/>
      </w:r>
      <w:r w:rsidRPr="002B368D">
        <w:rPr>
          <w:rFonts w:eastAsia="Calibri" w:cs="Times New Roman"/>
          <w:sz w:val="24"/>
          <w:szCs w:val="24"/>
        </w:rPr>
        <w:lastRenderedPageBreak/>
        <w:t>ple). In the control group, tolerance to physical activity was found to be low in 51.4% (19 peo</w:t>
      </w:r>
      <w:r>
        <w:rPr>
          <w:rFonts w:eastAsia="Calibri" w:cs="Times New Roman"/>
          <w:sz w:val="24"/>
          <w:szCs w:val="24"/>
        </w:rPr>
        <w:softHyphen/>
      </w:r>
      <w:r w:rsidRPr="002B368D">
        <w:rPr>
          <w:rFonts w:eastAsia="Calibri" w:cs="Times New Roman"/>
          <w:sz w:val="24"/>
          <w:szCs w:val="24"/>
        </w:rPr>
        <w:t xml:space="preserve">ple) and moderate in 48.6% (18 people).  </w:t>
      </w:r>
    </w:p>
    <w:p w14:paraId="6A2C8948" w14:textId="77777777" w:rsidR="00DD566D" w:rsidRPr="002B368D" w:rsidRDefault="00DD566D" w:rsidP="00DD566D">
      <w:pPr>
        <w:spacing w:line="264" w:lineRule="auto"/>
        <w:ind w:firstLine="567"/>
        <w:jc w:val="both"/>
        <w:rPr>
          <w:rFonts w:eastAsia="Calibri" w:cs="Times New Roman"/>
          <w:sz w:val="24"/>
          <w:szCs w:val="24"/>
        </w:rPr>
      </w:pPr>
      <w:r w:rsidRPr="002B368D">
        <w:rPr>
          <w:rFonts w:eastAsia="Calibri" w:cs="Times New Roman"/>
          <w:sz w:val="24"/>
          <w:szCs w:val="24"/>
        </w:rPr>
        <w:t>When the results were analyzed on the basis of gender, in the first study in both groups it was found that the indicators of tolerance to physical activity are higher in men than in women. Among men, 56.5% and 52.9% of pa</w:t>
      </w:r>
      <w:r>
        <w:rPr>
          <w:rFonts w:eastAsia="Calibri" w:cs="Times New Roman"/>
          <w:sz w:val="24"/>
          <w:szCs w:val="24"/>
        </w:rPr>
        <w:softHyphen/>
      </w:r>
      <w:r w:rsidRPr="002B368D">
        <w:rPr>
          <w:rFonts w:eastAsia="Calibri" w:cs="Times New Roman"/>
          <w:sz w:val="24"/>
          <w:szCs w:val="24"/>
        </w:rPr>
        <w:t>tients in the main and control groups had mod</w:t>
      </w:r>
      <w:r>
        <w:rPr>
          <w:rFonts w:eastAsia="Calibri" w:cs="Times New Roman"/>
          <w:sz w:val="24"/>
          <w:szCs w:val="24"/>
        </w:rPr>
        <w:softHyphen/>
      </w:r>
      <w:r w:rsidRPr="002B368D">
        <w:rPr>
          <w:rFonts w:eastAsia="Calibri" w:cs="Times New Roman"/>
          <w:sz w:val="24"/>
          <w:szCs w:val="24"/>
        </w:rPr>
        <w:t>erate tolerance to physical activity, respec</w:t>
      </w:r>
      <w:r>
        <w:rPr>
          <w:rFonts w:eastAsia="Calibri" w:cs="Times New Roman"/>
          <w:sz w:val="24"/>
          <w:szCs w:val="24"/>
        </w:rPr>
        <w:softHyphen/>
      </w:r>
      <w:r w:rsidRPr="002B368D">
        <w:rPr>
          <w:rFonts w:eastAsia="Calibri" w:cs="Times New Roman"/>
          <w:sz w:val="24"/>
          <w:szCs w:val="24"/>
        </w:rPr>
        <w:t>tively, and in women, 60% and 55% of patients in the main and control groups had low toler</w:t>
      </w:r>
      <w:r>
        <w:rPr>
          <w:rFonts w:eastAsia="Calibri" w:cs="Times New Roman"/>
          <w:sz w:val="24"/>
          <w:szCs w:val="24"/>
        </w:rPr>
        <w:softHyphen/>
      </w:r>
      <w:r w:rsidRPr="002B368D">
        <w:rPr>
          <w:rFonts w:eastAsia="Calibri" w:cs="Times New Roman"/>
          <w:sz w:val="24"/>
          <w:szCs w:val="24"/>
        </w:rPr>
        <w:t>ance (50 W), respectively. .</w:t>
      </w:r>
    </w:p>
    <w:p w14:paraId="499B8D1C" w14:textId="77777777" w:rsidR="00DD566D" w:rsidRDefault="00DD566D" w:rsidP="00DD566D">
      <w:pPr>
        <w:spacing w:line="264" w:lineRule="auto"/>
        <w:ind w:firstLine="567"/>
        <w:jc w:val="both"/>
        <w:rPr>
          <w:rFonts w:eastAsia="Calibri" w:cs="Times New Roman"/>
          <w:sz w:val="24"/>
          <w:szCs w:val="24"/>
          <w:lang w:val="uz-Cyrl-UZ"/>
        </w:rPr>
        <w:sectPr w:rsidR="00DD566D" w:rsidSect="000A0B27">
          <w:type w:val="continuous"/>
          <w:pgSz w:w="11907" w:h="16840" w:code="9"/>
          <w:pgMar w:top="1418" w:right="1134" w:bottom="1134" w:left="1134" w:header="907" w:footer="794" w:gutter="0"/>
          <w:cols w:num="2" w:space="708"/>
          <w:docGrid w:linePitch="381"/>
        </w:sectPr>
      </w:pPr>
      <w:r w:rsidRPr="002B368D">
        <w:rPr>
          <w:rFonts w:eastAsia="Calibri" w:cs="Times New Roman"/>
          <w:sz w:val="24"/>
          <w:szCs w:val="24"/>
        </w:rPr>
        <w:t>The following results were obtained when examining the time of patients to reach the "exercise pulse":</w:t>
      </w:r>
    </w:p>
    <w:tbl>
      <w:tblPr>
        <w:tblStyle w:val="19"/>
        <w:tblW w:w="0" w:type="auto"/>
        <w:tblLook w:val="04A0" w:firstRow="1" w:lastRow="0" w:firstColumn="1" w:lastColumn="0" w:noHBand="0" w:noVBand="1"/>
      </w:tblPr>
      <w:tblGrid>
        <w:gridCol w:w="2802"/>
        <w:gridCol w:w="1842"/>
        <w:gridCol w:w="1560"/>
        <w:gridCol w:w="1842"/>
        <w:gridCol w:w="1525"/>
      </w:tblGrid>
      <w:tr w:rsidR="00DD566D" w:rsidRPr="002B368D" w14:paraId="222893CD" w14:textId="77777777" w:rsidTr="00C90B56">
        <w:tc>
          <w:tcPr>
            <w:tcW w:w="2802" w:type="dxa"/>
            <w:tcBorders>
              <w:top w:val="single" w:sz="4" w:space="0" w:color="auto"/>
              <w:left w:val="single" w:sz="4" w:space="0" w:color="auto"/>
              <w:bottom w:val="single" w:sz="4" w:space="0" w:color="auto"/>
              <w:right w:val="single" w:sz="4" w:space="0" w:color="auto"/>
            </w:tcBorders>
            <w:vAlign w:val="center"/>
          </w:tcPr>
          <w:p w14:paraId="6F8151F9"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F329F63"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The main group</w:t>
            </w:r>
          </w:p>
          <w:p w14:paraId="64198263"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w:t>
            </w:r>
            <w:r w:rsidRPr="002B368D">
              <w:rPr>
                <w:rFonts w:ascii="Times New Roman" w:eastAsia="Calibri" w:hAnsi="Times New Roman" w:cs="Times New Roman"/>
                <w:sz w:val="24"/>
                <w:szCs w:val="24"/>
              </w:rPr>
              <w:t>n=43)</w:t>
            </w:r>
          </w:p>
        </w:tc>
        <w:tc>
          <w:tcPr>
            <w:tcW w:w="3367" w:type="dxa"/>
            <w:gridSpan w:val="2"/>
            <w:tcBorders>
              <w:top w:val="single" w:sz="4" w:space="0" w:color="auto"/>
              <w:left w:val="single" w:sz="4" w:space="0" w:color="auto"/>
              <w:bottom w:val="single" w:sz="4" w:space="0" w:color="auto"/>
              <w:right w:val="single" w:sz="4" w:space="0" w:color="auto"/>
            </w:tcBorders>
            <w:vAlign w:val="center"/>
            <w:hideMark/>
          </w:tcPr>
          <w:p w14:paraId="41ABFF9C"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Control group</w:t>
            </w:r>
          </w:p>
          <w:p w14:paraId="7E79CFDF"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w:t>
            </w:r>
            <w:r w:rsidRPr="002B368D">
              <w:rPr>
                <w:rFonts w:ascii="Times New Roman" w:eastAsia="Calibri" w:hAnsi="Times New Roman" w:cs="Times New Roman"/>
                <w:sz w:val="24"/>
                <w:szCs w:val="24"/>
              </w:rPr>
              <w:t>n=37)</w:t>
            </w:r>
          </w:p>
        </w:tc>
      </w:tr>
      <w:tr w:rsidR="00DD566D" w:rsidRPr="002B368D" w14:paraId="1EC2FE1F" w14:textId="77777777" w:rsidTr="00C90B56">
        <w:tc>
          <w:tcPr>
            <w:tcW w:w="2802" w:type="dxa"/>
            <w:tcBorders>
              <w:top w:val="single" w:sz="4" w:space="0" w:color="auto"/>
              <w:left w:val="single" w:sz="4" w:space="0" w:color="auto"/>
              <w:bottom w:val="single" w:sz="4" w:space="0" w:color="auto"/>
              <w:right w:val="single" w:sz="4" w:space="0" w:color="auto"/>
            </w:tcBorders>
            <w:vAlign w:val="center"/>
          </w:tcPr>
          <w:p w14:paraId="09BAE7A2"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6254E241"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Даволашдан олдин</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78BE7D"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6 ойдан</w:t>
            </w:r>
          </w:p>
          <w:p w14:paraId="4C30AA4F"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сўнг</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027DEE" w14:textId="77777777" w:rsidR="00DD566D" w:rsidRPr="002B368D" w:rsidRDefault="00DD566D" w:rsidP="00C90B56">
            <w:pPr>
              <w:spacing w:line="276"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lang w:val="uz-Cyrl-UZ"/>
              </w:rPr>
              <w:t>Даволашдан олдин</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4A5D626"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6 ойдан</w:t>
            </w:r>
          </w:p>
          <w:p w14:paraId="59153C9B"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сўнг</w:t>
            </w:r>
          </w:p>
        </w:tc>
      </w:tr>
      <w:tr w:rsidR="00DD566D" w:rsidRPr="002B368D" w14:paraId="4C16DB74" w14:textId="77777777" w:rsidTr="00C90B56">
        <w:tc>
          <w:tcPr>
            <w:tcW w:w="2802" w:type="dxa"/>
            <w:tcBorders>
              <w:top w:val="single" w:sz="4" w:space="0" w:color="auto"/>
              <w:left w:val="single" w:sz="4" w:space="0" w:color="auto"/>
              <w:bottom w:val="single" w:sz="4" w:space="0" w:color="auto"/>
              <w:right w:val="single" w:sz="4" w:space="0" w:color="auto"/>
            </w:tcBorders>
            <w:vAlign w:val="center"/>
            <w:hideMark/>
          </w:tcPr>
          <w:p w14:paraId="399BAFBF" w14:textId="77777777" w:rsidR="00DD566D" w:rsidRPr="002B368D" w:rsidRDefault="00DD566D" w:rsidP="00C90B56">
            <w:pPr>
              <w:spacing w:line="276" w:lineRule="auto"/>
              <w:jc w:val="center"/>
              <w:rPr>
                <w:rFonts w:ascii="Times New Roman" w:eastAsia="Calibri" w:hAnsi="Times New Roman" w:cs="Times New Roman"/>
                <w:sz w:val="24"/>
                <w:szCs w:val="24"/>
                <w:lang w:val="en-US"/>
              </w:rPr>
            </w:pPr>
            <w:r w:rsidRPr="002B368D">
              <w:rPr>
                <w:rFonts w:ascii="Times New Roman" w:eastAsia="Calibri" w:hAnsi="Times New Roman" w:cs="Times New Roman"/>
                <w:sz w:val="24"/>
                <w:szCs w:val="24"/>
                <w:lang w:val="uz-Cyrl-UZ"/>
              </w:rPr>
              <w:t>Time to reach the exercise pulse (in minutes)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B20CFA" w14:textId="77777777" w:rsidR="00DD566D" w:rsidRPr="002B368D" w:rsidRDefault="00DD566D" w:rsidP="00C90B56">
            <w:pPr>
              <w:spacing w:line="276"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lang w:val="uz-Cyrl-UZ"/>
              </w:rPr>
              <w:t>7,05±3,41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A89D73"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18,35±4,28</w:t>
            </w:r>
          </w:p>
          <w:p w14:paraId="28AD1B52" w14:textId="77777777" w:rsidR="00DD566D" w:rsidRPr="002B368D" w:rsidRDefault="00DD566D" w:rsidP="00C90B56">
            <w:pPr>
              <w:spacing w:line="276"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lang w:val="uz-Cyrl-UZ"/>
              </w:rPr>
              <w:t>*(р&lt;0,05)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FDEAC3" w14:textId="77777777" w:rsidR="00DD566D" w:rsidRPr="002B368D" w:rsidRDefault="00DD566D" w:rsidP="00C90B56">
            <w:pPr>
              <w:spacing w:line="276"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lang w:val="uz-Cyrl-UZ"/>
              </w:rPr>
              <w:t>7,24±4,19</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F2409BE" w14:textId="77777777" w:rsidR="00DD566D" w:rsidRPr="002B368D" w:rsidRDefault="00DD566D" w:rsidP="00C90B56">
            <w:pPr>
              <w:spacing w:line="276" w:lineRule="auto"/>
              <w:jc w:val="center"/>
              <w:rPr>
                <w:rFonts w:ascii="Times New Roman" w:eastAsia="Calibri" w:hAnsi="Times New Roman" w:cs="Times New Roman"/>
                <w:sz w:val="24"/>
                <w:szCs w:val="24"/>
                <w:lang w:val="uz-Cyrl-UZ"/>
              </w:rPr>
            </w:pPr>
            <w:r w:rsidRPr="002B368D">
              <w:rPr>
                <w:rFonts w:ascii="Times New Roman" w:eastAsia="Calibri" w:hAnsi="Times New Roman" w:cs="Times New Roman"/>
                <w:sz w:val="24"/>
                <w:szCs w:val="24"/>
                <w:lang w:val="uz-Cyrl-UZ"/>
              </w:rPr>
              <w:t>9,35±5,51</w:t>
            </w:r>
          </w:p>
          <w:p w14:paraId="74967BC3" w14:textId="77777777" w:rsidR="00DD566D" w:rsidRPr="002B368D" w:rsidRDefault="00DD566D" w:rsidP="00C90B56">
            <w:pPr>
              <w:spacing w:line="276" w:lineRule="auto"/>
              <w:jc w:val="center"/>
              <w:rPr>
                <w:rFonts w:ascii="Times New Roman" w:eastAsia="Calibri" w:hAnsi="Times New Roman" w:cs="Times New Roman"/>
                <w:sz w:val="24"/>
                <w:szCs w:val="24"/>
              </w:rPr>
            </w:pPr>
            <w:r w:rsidRPr="002B368D">
              <w:rPr>
                <w:rFonts w:ascii="Times New Roman" w:eastAsia="Calibri" w:hAnsi="Times New Roman" w:cs="Times New Roman"/>
                <w:sz w:val="24"/>
                <w:szCs w:val="24"/>
                <w:lang w:val="uz-Cyrl-UZ"/>
              </w:rPr>
              <w:t>*(р</w:t>
            </w:r>
            <w:r w:rsidRPr="002B368D">
              <w:rPr>
                <w:rFonts w:ascii="Times New Roman" w:eastAsia="Calibri" w:hAnsi="Times New Roman" w:cs="Times New Roman"/>
                <w:sz w:val="24"/>
                <w:szCs w:val="24"/>
              </w:rPr>
              <w:t>&gt;</w:t>
            </w:r>
            <w:r w:rsidRPr="002B368D">
              <w:rPr>
                <w:rFonts w:ascii="Times New Roman" w:eastAsia="Calibri" w:hAnsi="Times New Roman" w:cs="Times New Roman"/>
                <w:sz w:val="24"/>
                <w:szCs w:val="24"/>
                <w:lang w:val="uz-Cyrl-UZ"/>
              </w:rPr>
              <w:t>0,05)</w:t>
            </w:r>
          </w:p>
        </w:tc>
      </w:tr>
    </w:tbl>
    <w:p w14:paraId="23EDD579" w14:textId="77777777" w:rsidR="00DD566D" w:rsidRPr="002B368D" w:rsidRDefault="00DD566D" w:rsidP="00DD566D">
      <w:pPr>
        <w:spacing w:line="276" w:lineRule="auto"/>
        <w:ind w:firstLine="567"/>
        <w:jc w:val="both"/>
        <w:rPr>
          <w:rFonts w:eastAsia="Calibri" w:cs="Times New Roman"/>
          <w:sz w:val="24"/>
          <w:szCs w:val="24"/>
          <w:lang w:val="uz-Cyrl-UZ"/>
        </w:rPr>
      </w:pPr>
    </w:p>
    <w:p w14:paraId="76233EBF" w14:textId="77777777" w:rsidR="00DD566D" w:rsidRDefault="00DD566D" w:rsidP="00DD566D">
      <w:pPr>
        <w:spacing w:line="276" w:lineRule="auto"/>
        <w:ind w:firstLine="567"/>
        <w:jc w:val="both"/>
        <w:rPr>
          <w:rFonts w:eastAsia="Calibri" w:cs="Times New Roman"/>
          <w:sz w:val="24"/>
          <w:szCs w:val="24"/>
        </w:rPr>
        <w:sectPr w:rsidR="00DD566D" w:rsidSect="00995DC2">
          <w:type w:val="continuous"/>
          <w:pgSz w:w="11907" w:h="16840" w:code="9"/>
          <w:pgMar w:top="1418" w:right="1134" w:bottom="1134" w:left="1134" w:header="907" w:footer="794" w:gutter="0"/>
          <w:cols w:space="708"/>
          <w:docGrid w:linePitch="381"/>
        </w:sectPr>
      </w:pPr>
    </w:p>
    <w:p w14:paraId="412B23A4"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The main group of patients initially reached the allowable pulse rate during walk</w:t>
      </w:r>
      <w:r>
        <w:rPr>
          <w:rFonts w:eastAsia="Calibri" w:cs="Times New Roman"/>
          <w:sz w:val="24"/>
          <w:szCs w:val="24"/>
        </w:rPr>
        <w:softHyphen/>
      </w:r>
      <w:r w:rsidRPr="002B368D">
        <w:rPr>
          <w:rFonts w:eastAsia="Calibri" w:cs="Times New Roman"/>
          <w:sz w:val="24"/>
          <w:szCs w:val="24"/>
        </w:rPr>
        <w:t>ing exercises at 7.05 ± 3.41 minutes, while af</w:t>
      </w:r>
      <w:r>
        <w:rPr>
          <w:rFonts w:eastAsia="Calibri" w:cs="Times New Roman"/>
          <w:sz w:val="24"/>
          <w:szCs w:val="24"/>
        </w:rPr>
        <w:softHyphen/>
      </w:r>
      <w:r w:rsidRPr="002B368D">
        <w:rPr>
          <w:rFonts w:eastAsia="Calibri" w:cs="Times New Roman"/>
          <w:sz w:val="24"/>
          <w:szCs w:val="24"/>
        </w:rPr>
        <w:t>ter 6 months of intensive walking exercises this time increased by 2.6 times and amounted to 18.35 ± 4.28 minutes. Patients in the control group initially reached the allowable pulse rate during walking at 7.24 ± 4.19 minutes, and af</w:t>
      </w:r>
      <w:r>
        <w:rPr>
          <w:rFonts w:eastAsia="Calibri" w:cs="Times New Roman"/>
          <w:sz w:val="24"/>
          <w:szCs w:val="24"/>
        </w:rPr>
        <w:softHyphen/>
      </w:r>
      <w:r w:rsidRPr="002B368D">
        <w:rPr>
          <w:rFonts w:eastAsia="Calibri" w:cs="Times New Roman"/>
          <w:sz w:val="24"/>
          <w:szCs w:val="24"/>
        </w:rPr>
        <w:t>ter 6 months this time increased by 1.2 times to 9.35 ± 5.51 minutes. Although a positive trend was observed in all patients, the results were reliable only in the main group of patients who performed walking exercises (р&lt;0,05).</w:t>
      </w:r>
    </w:p>
    <w:p w14:paraId="2F0326F7"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When analyzing the body mass index of the patients, initially overweight (BWI 25.0-29.9) was detected in 35 of the examiners (43.8%). This figure was 20 (46.5%) among patients in the main group and 15 (40.5%) among patients in the control group. 29 pa</w:t>
      </w:r>
      <w:r>
        <w:rPr>
          <w:rFonts w:eastAsia="Calibri" w:cs="Times New Roman"/>
          <w:sz w:val="24"/>
          <w:szCs w:val="24"/>
        </w:rPr>
        <w:softHyphen/>
      </w:r>
      <w:r w:rsidRPr="002B368D">
        <w:rPr>
          <w:rFonts w:eastAsia="Calibri" w:cs="Times New Roman"/>
          <w:sz w:val="24"/>
          <w:szCs w:val="24"/>
        </w:rPr>
        <w:t>tients (36.3%) in the study were obese (body mass index 30.0 and above), which is 15 (34.5%) in the main group and 14 (37.8%) in the control group. When patients were re-ana</w:t>
      </w:r>
      <w:r>
        <w:rPr>
          <w:rFonts w:eastAsia="Calibri" w:cs="Times New Roman"/>
          <w:sz w:val="24"/>
          <w:szCs w:val="24"/>
        </w:rPr>
        <w:softHyphen/>
      </w:r>
      <w:r w:rsidRPr="002B368D">
        <w:rPr>
          <w:rFonts w:eastAsia="Calibri" w:cs="Times New Roman"/>
          <w:sz w:val="24"/>
          <w:szCs w:val="24"/>
        </w:rPr>
        <w:t>lyzed for height and weight after 6 months, af</w:t>
      </w:r>
      <w:r>
        <w:rPr>
          <w:rFonts w:eastAsia="Calibri" w:cs="Times New Roman"/>
          <w:sz w:val="24"/>
          <w:szCs w:val="24"/>
        </w:rPr>
        <w:softHyphen/>
      </w:r>
      <w:r w:rsidRPr="002B368D">
        <w:rPr>
          <w:rFonts w:eastAsia="Calibri" w:cs="Times New Roman"/>
          <w:sz w:val="24"/>
          <w:szCs w:val="24"/>
        </w:rPr>
        <w:t xml:space="preserve">ter 6 months of dynamic exercise 3 times a week for 20-60 minutes, the following was found. </w:t>
      </w:r>
    </w:p>
    <w:p w14:paraId="26FAAA26"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After 6 months of physical activity, obe</w:t>
      </w:r>
      <w:r>
        <w:rPr>
          <w:rFonts w:eastAsia="Calibri" w:cs="Times New Roman"/>
          <w:sz w:val="24"/>
          <w:szCs w:val="24"/>
        </w:rPr>
        <w:softHyphen/>
      </w:r>
      <w:r w:rsidRPr="002B368D">
        <w:rPr>
          <w:rFonts w:eastAsia="Calibri" w:cs="Times New Roman"/>
          <w:sz w:val="24"/>
          <w:szCs w:val="24"/>
        </w:rPr>
        <w:t xml:space="preserve">sity in the main group of patients decreased by 27.9% to 12. With 3 patients overweight from </w:t>
      </w:r>
      <w:r w:rsidRPr="002B368D">
        <w:rPr>
          <w:rFonts w:eastAsia="Calibri" w:cs="Times New Roman"/>
          <w:sz w:val="24"/>
          <w:szCs w:val="24"/>
        </w:rPr>
        <w:t>the obesity group, 5 overweight patients re</w:t>
      </w:r>
      <w:r>
        <w:rPr>
          <w:rFonts w:eastAsia="Calibri" w:cs="Times New Roman"/>
          <w:sz w:val="24"/>
          <w:szCs w:val="24"/>
        </w:rPr>
        <w:softHyphen/>
      </w:r>
      <w:r w:rsidRPr="002B368D">
        <w:rPr>
          <w:rFonts w:eastAsia="Calibri" w:cs="Times New Roman"/>
          <w:sz w:val="24"/>
          <w:szCs w:val="24"/>
        </w:rPr>
        <w:t>turned to normal body weight at baseline. After 6 months, overweight was present in 18 (41.8%) of the examiners.  An increase in obe</w:t>
      </w:r>
      <w:r>
        <w:rPr>
          <w:rFonts w:eastAsia="Calibri" w:cs="Times New Roman"/>
          <w:sz w:val="24"/>
          <w:szCs w:val="24"/>
        </w:rPr>
        <w:softHyphen/>
      </w:r>
      <w:r w:rsidRPr="002B368D">
        <w:rPr>
          <w:rFonts w:eastAsia="Calibri" w:cs="Times New Roman"/>
          <w:sz w:val="24"/>
          <w:szCs w:val="24"/>
        </w:rPr>
        <w:t>sity was observed in patients receiving only standard pharmacotherapy for 6 months. After 6 months, obesity was detected in 40.5% (15 people) of patients in the control group. Over</w:t>
      </w:r>
      <w:r>
        <w:rPr>
          <w:rFonts w:eastAsia="Calibri" w:cs="Times New Roman"/>
          <w:sz w:val="24"/>
          <w:szCs w:val="24"/>
        </w:rPr>
        <w:softHyphen/>
      </w:r>
      <w:r w:rsidRPr="002B368D">
        <w:rPr>
          <w:rFonts w:eastAsia="Calibri" w:cs="Times New Roman"/>
          <w:sz w:val="24"/>
          <w:szCs w:val="24"/>
        </w:rPr>
        <w:t>weight was also observed in 15 patients (40.5%).</w:t>
      </w:r>
    </w:p>
    <w:p w14:paraId="795E342A" w14:textId="77777777" w:rsidR="00DD566D" w:rsidRPr="002B368D" w:rsidRDefault="00DD566D" w:rsidP="00DD566D">
      <w:pPr>
        <w:spacing w:line="276" w:lineRule="auto"/>
        <w:ind w:firstLine="567"/>
        <w:jc w:val="both"/>
        <w:rPr>
          <w:rFonts w:eastAsia="Calibri" w:cs="Times New Roman"/>
          <w:b/>
          <w:sz w:val="24"/>
          <w:szCs w:val="24"/>
        </w:rPr>
      </w:pPr>
      <w:r w:rsidRPr="002B368D">
        <w:rPr>
          <w:rFonts w:eastAsia="Calibri" w:cs="Times New Roman"/>
          <w:sz w:val="24"/>
          <w:szCs w:val="24"/>
        </w:rPr>
        <w:t>When evaluating on the SCORE scale, the risk of death from cardiovascular compli</w:t>
      </w:r>
      <w:r>
        <w:rPr>
          <w:rFonts w:eastAsia="Calibri" w:cs="Times New Roman"/>
          <w:sz w:val="24"/>
          <w:szCs w:val="24"/>
        </w:rPr>
        <w:softHyphen/>
      </w:r>
      <w:r w:rsidRPr="002B368D">
        <w:rPr>
          <w:rFonts w:eastAsia="Calibri" w:cs="Times New Roman"/>
          <w:sz w:val="24"/>
          <w:szCs w:val="24"/>
        </w:rPr>
        <w:t xml:space="preserve">cations in the next 10 years in the primary and control group patients was 4.3 ± 1.9% and 4.1 ± 2.1%, respectively. When the results were analyzed after 6 months, a positive trend was observed in both groups. 4.1 ± 2.05% in the main group and 4.0 ± 1.85% in the control group. Although a positive trend was observed, the results after 6 months were not reliable in both groups (p&gt; 0.05).   </w:t>
      </w:r>
    </w:p>
    <w:p w14:paraId="2E043096"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sz w:val="24"/>
          <w:szCs w:val="24"/>
        </w:rPr>
        <w:t>Significant differences were observed after treatment in the main group of patients who regularly exercised on the scale of physi</w:t>
      </w:r>
      <w:r>
        <w:rPr>
          <w:rFonts w:eastAsia="Calibri" w:cs="Times New Roman"/>
          <w:sz w:val="24"/>
          <w:szCs w:val="24"/>
        </w:rPr>
        <w:softHyphen/>
      </w:r>
      <w:r w:rsidRPr="002B368D">
        <w:rPr>
          <w:rFonts w:eastAsia="Calibri" w:cs="Times New Roman"/>
          <w:sz w:val="24"/>
          <w:szCs w:val="24"/>
        </w:rPr>
        <w:t>cal limitation (PL - physical limitation). In the main group, the PL index was 44.6 ± 3.9% be</w:t>
      </w:r>
      <w:r>
        <w:rPr>
          <w:rFonts w:eastAsia="Calibri" w:cs="Times New Roman"/>
          <w:sz w:val="24"/>
          <w:szCs w:val="24"/>
        </w:rPr>
        <w:softHyphen/>
      </w:r>
      <w:r w:rsidRPr="002B368D">
        <w:rPr>
          <w:rFonts w:eastAsia="Calibri" w:cs="Times New Roman"/>
          <w:sz w:val="24"/>
          <w:szCs w:val="24"/>
        </w:rPr>
        <w:t>fore treatment and 62.3 ± 6.0% after 6 months, respectively (r &lt;0.05). In the control group, be</w:t>
      </w:r>
      <w:r>
        <w:rPr>
          <w:rFonts w:eastAsia="Calibri" w:cs="Times New Roman"/>
          <w:sz w:val="24"/>
          <w:szCs w:val="24"/>
        </w:rPr>
        <w:softHyphen/>
      </w:r>
      <w:r w:rsidRPr="002B368D">
        <w:rPr>
          <w:rFonts w:eastAsia="Calibri" w:cs="Times New Roman"/>
          <w:sz w:val="24"/>
          <w:szCs w:val="24"/>
        </w:rPr>
        <w:t xml:space="preserve">fore treatment, the rate was 43.5 ± 4.1%, and at 6 months, the rate was 48.7 ± 4.9% (r &lt;0.05). </w:t>
      </w:r>
      <w:r w:rsidRPr="002B368D">
        <w:rPr>
          <w:rFonts w:eastAsia="Calibri" w:cs="Times New Roman"/>
          <w:sz w:val="24"/>
          <w:szCs w:val="24"/>
        </w:rPr>
        <w:lastRenderedPageBreak/>
        <w:t>A positive trend was observed in all patients on the attack stability scale AS (Angina stability), attack frequency scale AF (Angina frequency), treatment satisfaction scale TS (Treatment sat</w:t>
      </w:r>
      <w:r>
        <w:rPr>
          <w:rFonts w:eastAsia="Calibri" w:cs="Times New Roman"/>
          <w:sz w:val="24"/>
          <w:szCs w:val="24"/>
        </w:rPr>
        <w:softHyphen/>
      </w:r>
      <w:r w:rsidRPr="002B368D">
        <w:rPr>
          <w:rFonts w:eastAsia="Calibri" w:cs="Times New Roman"/>
          <w:sz w:val="24"/>
          <w:szCs w:val="24"/>
        </w:rPr>
        <w:t>isfaction), but the results were not reliable (p&gt; 0.05).</w:t>
      </w:r>
    </w:p>
    <w:p w14:paraId="71C8B1BF" w14:textId="77777777" w:rsidR="00DD566D" w:rsidRPr="002B368D" w:rsidRDefault="00DD566D" w:rsidP="00DD566D">
      <w:pPr>
        <w:spacing w:line="276" w:lineRule="auto"/>
        <w:ind w:firstLine="567"/>
        <w:jc w:val="both"/>
        <w:rPr>
          <w:rFonts w:eastAsia="Calibri" w:cs="Times New Roman"/>
          <w:sz w:val="24"/>
          <w:szCs w:val="24"/>
        </w:rPr>
      </w:pPr>
      <w:r w:rsidRPr="002B368D">
        <w:rPr>
          <w:rFonts w:eastAsia="Calibri" w:cs="Times New Roman"/>
          <w:b/>
          <w:sz w:val="24"/>
          <w:szCs w:val="24"/>
        </w:rPr>
        <w:t xml:space="preserve">Conclusion: </w:t>
      </w:r>
      <w:r w:rsidRPr="002B368D">
        <w:rPr>
          <w:rFonts w:eastAsia="Calibri" w:cs="Times New Roman"/>
          <w:sz w:val="24"/>
          <w:szCs w:val="24"/>
        </w:rPr>
        <w:t>Increased tolerance to physical activity was observed in patients with IHD, stable stenocardy II and III functional class, when combined with standard pharma</w:t>
      </w:r>
      <w:r>
        <w:rPr>
          <w:rFonts w:eastAsia="Calibri" w:cs="Times New Roman"/>
          <w:sz w:val="24"/>
          <w:szCs w:val="24"/>
        </w:rPr>
        <w:softHyphen/>
      </w:r>
      <w:r w:rsidRPr="002B368D">
        <w:rPr>
          <w:rFonts w:eastAsia="Calibri" w:cs="Times New Roman"/>
          <w:sz w:val="24"/>
          <w:szCs w:val="24"/>
        </w:rPr>
        <w:t>cotherapy for 6 months, 3 times a week for 20-60 minutes with individual optimal dose walk</w:t>
      </w:r>
      <w:r>
        <w:rPr>
          <w:rFonts w:eastAsia="Calibri" w:cs="Times New Roman"/>
          <w:sz w:val="24"/>
          <w:szCs w:val="24"/>
        </w:rPr>
        <w:softHyphen/>
      </w:r>
      <w:r w:rsidRPr="002B368D">
        <w:rPr>
          <w:rFonts w:eastAsia="Calibri" w:cs="Times New Roman"/>
          <w:sz w:val="24"/>
          <w:szCs w:val="24"/>
        </w:rPr>
        <w:t>ing exercises. time to reach the given pulse rate increased by 2.6 times. Stabilization of hemo</w:t>
      </w:r>
      <w:r>
        <w:rPr>
          <w:rFonts w:eastAsia="Calibri" w:cs="Times New Roman"/>
          <w:sz w:val="24"/>
          <w:szCs w:val="24"/>
        </w:rPr>
        <w:softHyphen/>
      </w:r>
      <w:r w:rsidRPr="002B368D">
        <w:rPr>
          <w:rFonts w:eastAsia="Calibri" w:cs="Times New Roman"/>
          <w:sz w:val="24"/>
          <w:szCs w:val="24"/>
        </w:rPr>
        <w:t>dynamic parameters of patients and a positive change in the BWI index were more noted in patients when standard pharmacotherapy was performed in combination with individual op</w:t>
      </w:r>
      <w:r>
        <w:rPr>
          <w:rFonts w:eastAsia="Calibri" w:cs="Times New Roman"/>
          <w:sz w:val="24"/>
          <w:szCs w:val="24"/>
        </w:rPr>
        <w:softHyphen/>
      </w:r>
      <w:r w:rsidRPr="002B368D">
        <w:rPr>
          <w:rFonts w:eastAsia="Calibri" w:cs="Times New Roman"/>
          <w:sz w:val="24"/>
          <w:szCs w:val="24"/>
        </w:rPr>
        <w:t>timally dosed walking exercises.</w:t>
      </w:r>
    </w:p>
    <w:p w14:paraId="3B57E2A0" w14:textId="77777777" w:rsidR="00DD566D" w:rsidRPr="002B368D" w:rsidRDefault="00DD566D" w:rsidP="00DD566D">
      <w:pPr>
        <w:spacing w:line="276" w:lineRule="auto"/>
        <w:ind w:firstLine="567"/>
        <w:jc w:val="both"/>
        <w:rPr>
          <w:rFonts w:eastAsia="Calibri" w:cs="Times New Roman"/>
          <w:b/>
          <w:color w:val="FF0000"/>
          <w:sz w:val="24"/>
          <w:szCs w:val="24"/>
        </w:rPr>
      </w:pPr>
    </w:p>
    <w:p w14:paraId="359DDFE1" w14:textId="77777777" w:rsidR="00DD566D" w:rsidRPr="000A0B27" w:rsidRDefault="00DD566D" w:rsidP="00DD566D">
      <w:pPr>
        <w:autoSpaceDE w:val="0"/>
        <w:autoSpaceDN w:val="0"/>
        <w:adjustRightInd w:val="0"/>
        <w:spacing w:line="276" w:lineRule="auto"/>
        <w:contextualSpacing/>
        <w:jc w:val="center"/>
        <w:rPr>
          <w:rFonts w:eastAsia="Calibri" w:cs="Times New Roman"/>
          <w:b/>
          <w:sz w:val="24"/>
          <w:szCs w:val="24"/>
        </w:rPr>
      </w:pPr>
      <w:r w:rsidRPr="000A0B27">
        <w:rPr>
          <w:rFonts w:eastAsia="Calibri" w:cs="Times New Roman"/>
          <w:b/>
          <w:sz w:val="24"/>
          <w:szCs w:val="24"/>
        </w:rPr>
        <w:t>REFERENCES</w:t>
      </w:r>
    </w:p>
    <w:p w14:paraId="04A286B8" w14:textId="77777777" w:rsidR="00DD566D" w:rsidRPr="002B368D" w:rsidRDefault="00DD566D" w:rsidP="00DD566D">
      <w:pPr>
        <w:autoSpaceDE w:val="0"/>
        <w:autoSpaceDN w:val="0"/>
        <w:adjustRightInd w:val="0"/>
        <w:spacing w:line="276" w:lineRule="auto"/>
        <w:contextualSpacing/>
        <w:jc w:val="both"/>
        <w:rPr>
          <w:rFonts w:eastAsia="Calibri" w:cs="Times New Roman"/>
          <w:sz w:val="24"/>
          <w:szCs w:val="24"/>
          <w:lang w:eastAsia="ru-RU"/>
        </w:rPr>
      </w:pPr>
    </w:p>
    <w:p w14:paraId="6A16FB5C" w14:textId="77777777" w:rsidR="00DD566D" w:rsidRPr="00F70EA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pPr>
      <w:r w:rsidRPr="00F70EAD">
        <w:rPr>
          <w:rFonts w:eastAsia="Calibri" w:cs="Times New Roman"/>
          <w:iCs/>
          <w:sz w:val="24"/>
          <w:szCs w:val="24"/>
          <w:lang w:eastAsia="ru-RU"/>
        </w:rPr>
        <w:t>Aronov D.M., Bubnova M.G., Novikova N.K., Krasnitsky V.B. Modern methods of rehabilitation of patients with ischemic heart disease at the post-hospital (dispensary-polyclinic) stage. A guide for doctors. M., 2008.</w:t>
      </w:r>
    </w:p>
    <w:p w14:paraId="0EB5F34F" w14:textId="77777777" w:rsidR="00DD566D" w:rsidRPr="00F70EA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pPr>
      <w:r w:rsidRPr="00F70EAD">
        <w:rPr>
          <w:rFonts w:eastAsia="Calibri" w:cs="Times New Roman"/>
          <w:iCs/>
          <w:sz w:val="24"/>
          <w:szCs w:val="24"/>
          <w:lang w:eastAsia="ru-RU"/>
        </w:rPr>
        <w:t>Aronov D.M., Bubnova M.G., Perova N.V. Physical exercise and atherosclerosis: pro-atherogenic effect of static loads of high and moderate intensity on the blood lipid transport system. Cardiology. 2003; 43</w:t>
      </w:r>
      <w:r>
        <w:rPr>
          <w:rFonts w:eastAsia="Calibri" w:cs="Times New Roman"/>
          <w:iCs/>
          <w:sz w:val="24"/>
          <w:szCs w:val="24"/>
          <w:lang w:val="ru-RU" w:eastAsia="ru-RU"/>
        </w:rPr>
        <w:t xml:space="preserve"> </w:t>
      </w:r>
      <w:r w:rsidRPr="00F70EAD">
        <w:rPr>
          <w:rFonts w:eastAsia="Calibri" w:cs="Times New Roman"/>
          <w:iCs/>
          <w:sz w:val="24"/>
          <w:szCs w:val="24"/>
          <w:lang w:eastAsia="ru-RU"/>
        </w:rPr>
        <w:t>(2):</w:t>
      </w:r>
      <w:r>
        <w:rPr>
          <w:rFonts w:eastAsia="Calibri" w:cs="Times New Roman"/>
          <w:iCs/>
          <w:sz w:val="24"/>
          <w:szCs w:val="24"/>
          <w:lang w:val="ru-RU" w:eastAsia="ru-RU"/>
        </w:rPr>
        <w:t xml:space="preserve"> </w:t>
      </w:r>
      <w:r w:rsidRPr="00F70EAD">
        <w:rPr>
          <w:rFonts w:eastAsia="Calibri" w:cs="Times New Roman"/>
          <w:iCs/>
          <w:sz w:val="24"/>
          <w:szCs w:val="24"/>
          <w:lang w:eastAsia="ru-RU"/>
        </w:rPr>
        <w:t>35–9.</w:t>
      </w:r>
    </w:p>
    <w:p w14:paraId="7543CCFA" w14:textId="77777777" w:rsidR="00DD566D" w:rsidRPr="00F70EA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pPr>
      <w:r w:rsidRPr="00F70EAD">
        <w:rPr>
          <w:rFonts w:eastAsia="Calibri" w:cs="Times New Roman"/>
          <w:iCs/>
          <w:sz w:val="24"/>
          <w:szCs w:val="24"/>
          <w:lang w:eastAsia="ru-RU"/>
        </w:rPr>
        <w:t>Bubnova M.G., Aronov D.M., Methodological recommendations Ensuring the physical activity of citizens with disabilities, Moscow, 2016</w:t>
      </w:r>
    </w:p>
    <w:p w14:paraId="451B8443" w14:textId="77777777" w:rsidR="00DD566D" w:rsidRPr="00F70EA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pPr>
      <w:r w:rsidRPr="00F70EAD">
        <w:rPr>
          <w:rFonts w:eastAsia="Calibri" w:cs="Times New Roman"/>
          <w:iCs/>
          <w:sz w:val="24"/>
          <w:szCs w:val="24"/>
          <w:lang w:eastAsia="ru-RU"/>
        </w:rPr>
        <w:t>Bubnova M.G., Sechenova E.V., Aro-nov D.M. Evaluation of the effectiveness of early complex post-hospital rehabilitation of patients with coronary heart disease after interventions on coronary vessels at the dispensary-polyclinic stage. Effective pharmacotherapy in cardiology and angiology. 2011; 1:86–91.</w:t>
      </w:r>
    </w:p>
    <w:p w14:paraId="4BADD87A" w14:textId="77777777" w:rsidR="00DD566D" w:rsidRPr="00F70EA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pPr>
      <w:r w:rsidRPr="00F70EAD">
        <w:rPr>
          <w:rFonts w:eastAsia="Calibri" w:cs="Times New Roman"/>
          <w:iCs/>
          <w:sz w:val="24"/>
          <w:szCs w:val="24"/>
          <w:lang w:eastAsia="ru-RU"/>
        </w:rPr>
        <w:t>Global strategy on diet, physical activity and health. World Health Organization, 2004. http://www.who.int/dietphysicalactivity/strategy/eb11344/strategy_russianweb</w:t>
      </w:r>
      <w:r w:rsidRPr="00F70EAD">
        <w:rPr>
          <w:rFonts w:eastAsia="Calibri" w:cs="Times New Roman"/>
          <w:iCs/>
          <w:sz w:val="24"/>
          <w:szCs w:val="24"/>
          <w:lang w:val="ru-RU" w:eastAsia="ru-RU"/>
        </w:rPr>
        <w:t>е</w:t>
      </w:r>
      <w:r w:rsidRPr="00F70EAD">
        <w:rPr>
          <w:rFonts w:eastAsia="Calibri" w:cs="Times New Roman"/>
          <w:iCs/>
          <w:sz w:val="24"/>
          <w:szCs w:val="24"/>
          <w:lang w:eastAsia="ru-RU"/>
        </w:rPr>
        <w:t>b</w:t>
      </w:r>
    </w:p>
    <w:p w14:paraId="6756ADDD" w14:textId="77777777" w:rsidR="00DD566D" w:rsidRPr="002B368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sz w:val="24"/>
          <w:szCs w:val="24"/>
          <w:lang w:eastAsia="ru-RU"/>
        </w:rPr>
      </w:pPr>
      <w:r w:rsidRPr="00F70EAD">
        <w:rPr>
          <w:rFonts w:eastAsia="Calibri" w:cs="Times New Roman"/>
          <w:iCs/>
          <w:sz w:val="24"/>
          <w:szCs w:val="24"/>
          <w:lang w:eastAsia="ru-RU"/>
        </w:rPr>
        <w:t>Global recommendations for physical activity. World Health Organization, 2010.</w:t>
      </w:r>
    </w:p>
    <w:p w14:paraId="0358E68F" w14:textId="77777777" w:rsidR="00DD566D" w:rsidRDefault="00DD566D" w:rsidP="00DD566D">
      <w:pPr>
        <w:numPr>
          <w:ilvl w:val="0"/>
          <w:numId w:val="40"/>
        </w:numPr>
        <w:tabs>
          <w:tab w:val="left" w:pos="851"/>
        </w:tabs>
        <w:autoSpaceDE w:val="0"/>
        <w:autoSpaceDN w:val="0"/>
        <w:adjustRightInd w:val="0"/>
        <w:spacing w:line="276" w:lineRule="auto"/>
        <w:ind w:left="0" w:firstLine="567"/>
        <w:contextualSpacing/>
        <w:jc w:val="both"/>
        <w:rPr>
          <w:rFonts w:eastAsia="Calibri" w:cs="Times New Roman"/>
          <w:iCs/>
          <w:sz w:val="24"/>
          <w:szCs w:val="24"/>
          <w:lang w:eastAsia="ru-RU"/>
        </w:rPr>
        <w:sectPr w:rsidR="00DD566D" w:rsidSect="000A0B27">
          <w:type w:val="continuous"/>
          <w:pgSz w:w="11907" w:h="16840" w:code="9"/>
          <w:pgMar w:top="1418" w:right="1134" w:bottom="1134" w:left="1134" w:header="907" w:footer="794" w:gutter="0"/>
          <w:cols w:num="2" w:space="708"/>
          <w:docGrid w:linePitch="381"/>
        </w:sectPr>
      </w:pPr>
      <w:r w:rsidRPr="002B368D">
        <w:rPr>
          <w:rFonts w:eastAsia="Calibri" w:cs="Times New Roman"/>
          <w:iCs/>
          <w:sz w:val="24"/>
          <w:szCs w:val="24"/>
          <w:lang w:eastAsia="ru-RU"/>
        </w:rPr>
        <w:t>Blair SN. Physical inactivity: the big</w:t>
      </w:r>
      <w:r>
        <w:rPr>
          <w:rFonts w:eastAsia="Calibri" w:cs="Times New Roman"/>
          <w:iCs/>
          <w:sz w:val="24"/>
          <w:szCs w:val="24"/>
          <w:lang w:eastAsia="ru-RU"/>
        </w:rPr>
        <w:softHyphen/>
      </w:r>
      <w:r w:rsidRPr="002B368D">
        <w:rPr>
          <w:rFonts w:eastAsia="Calibri" w:cs="Times New Roman"/>
          <w:iCs/>
          <w:sz w:val="24"/>
          <w:szCs w:val="24"/>
          <w:lang w:eastAsia="ru-RU"/>
        </w:rPr>
        <w:t>gest public health problem of the 21st century. Br J Sports Med 2009; 43: 1–2.</w:t>
      </w:r>
    </w:p>
    <w:p w14:paraId="0491A550" w14:textId="77777777" w:rsidR="00DD566D" w:rsidRPr="002B368D" w:rsidRDefault="00DD566D" w:rsidP="00DD566D">
      <w:pPr>
        <w:tabs>
          <w:tab w:val="left" w:pos="851"/>
        </w:tabs>
        <w:autoSpaceDE w:val="0"/>
        <w:autoSpaceDN w:val="0"/>
        <w:adjustRightInd w:val="0"/>
        <w:spacing w:line="276" w:lineRule="auto"/>
        <w:ind w:left="567"/>
        <w:contextualSpacing/>
        <w:jc w:val="both"/>
        <w:rPr>
          <w:rFonts w:eastAsia="Calibri" w:cs="Times New Roman"/>
          <w:sz w:val="24"/>
          <w:szCs w:val="24"/>
          <w:lang w:val="uz-Cyrl-UZ" w:eastAsia="ru-RU"/>
        </w:rPr>
      </w:pPr>
    </w:p>
    <w:p w14:paraId="627FABBA" w14:textId="77777777" w:rsidR="00DD566D" w:rsidRPr="002B368D" w:rsidRDefault="00DD566D" w:rsidP="00DD566D">
      <w:pPr>
        <w:autoSpaceDE w:val="0"/>
        <w:autoSpaceDN w:val="0"/>
        <w:adjustRightInd w:val="0"/>
        <w:spacing w:line="276" w:lineRule="auto"/>
        <w:ind w:firstLine="567"/>
        <w:contextualSpacing/>
        <w:jc w:val="both"/>
        <w:rPr>
          <w:rFonts w:eastAsia="Calibri" w:cs="Times New Roman"/>
          <w:b/>
          <w:color w:val="FF0000"/>
          <w:sz w:val="24"/>
          <w:szCs w:val="24"/>
          <w:lang w:val="uz-Cyrl-UZ" w:eastAsia="ru-RU"/>
        </w:rPr>
      </w:pPr>
    </w:p>
    <w:p w14:paraId="56EBEB37"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33AB855B"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5627CEDF"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5038208B"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1445650B"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454203BA"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1095E145"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60EFE0B7"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6D8CC5B6"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4C89D346"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5E7AFD85"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2F5CB008"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11D9FF25"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731DF8EB"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5FE33E57"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2BDB69E5"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1B7A4B50"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3DA7FCBA"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70973C0A"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74E74EFB"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68CDDD0E"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3CA65540" w14:textId="77777777" w:rsidR="00DD566D" w:rsidRDefault="00DD566D" w:rsidP="00DD566D">
      <w:pPr>
        <w:autoSpaceDE w:val="0"/>
        <w:autoSpaceDN w:val="0"/>
        <w:adjustRightInd w:val="0"/>
        <w:spacing w:line="276" w:lineRule="auto"/>
        <w:ind w:firstLine="567"/>
        <w:contextualSpacing/>
        <w:jc w:val="both"/>
        <w:rPr>
          <w:rFonts w:eastAsia="Calibri" w:cs="Times New Roman"/>
          <w:sz w:val="24"/>
          <w:szCs w:val="24"/>
          <w:lang w:eastAsia="ru-RU"/>
        </w:rPr>
      </w:pPr>
    </w:p>
    <w:p w14:paraId="5421590E" w14:textId="77777777" w:rsidR="00DD566D" w:rsidRPr="002B368D" w:rsidRDefault="00DD566D" w:rsidP="00DD566D">
      <w:pPr>
        <w:autoSpaceDE w:val="0"/>
        <w:autoSpaceDN w:val="0"/>
        <w:adjustRightInd w:val="0"/>
        <w:spacing w:line="276" w:lineRule="auto"/>
        <w:ind w:firstLine="567"/>
        <w:contextualSpacing/>
        <w:jc w:val="both"/>
        <w:rPr>
          <w:rFonts w:eastAsia="Calibri" w:cs="Times New Roman"/>
          <w:b/>
          <w:color w:val="FF0000"/>
          <w:sz w:val="24"/>
          <w:szCs w:val="24"/>
          <w:lang w:val="uz-Cyrl-UZ" w:eastAsia="ru-RU"/>
        </w:rPr>
      </w:pPr>
    </w:p>
    <w:p w14:paraId="1E626201" w14:textId="77777777" w:rsidR="00DD566D" w:rsidRPr="00D208DC" w:rsidRDefault="00DD566D" w:rsidP="00DD566D">
      <w:pPr>
        <w:pStyle w:val="1"/>
        <w:rPr>
          <w:rFonts w:eastAsia="Calibri"/>
        </w:rPr>
      </w:pPr>
      <w:bookmarkStart w:id="5" w:name="_Toc104745751"/>
      <w:r w:rsidRPr="00D208DC">
        <w:rPr>
          <w:rFonts w:eastAsia="Calibri"/>
        </w:rPr>
        <w:t>MORPHOLOGICAL INDICATORS OF DIFFERENT TYPES OF CHRONIC POLYPOSIS RHINOSINUSITIS</w:t>
      </w:r>
      <w:bookmarkEnd w:id="5"/>
    </w:p>
    <w:p w14:paraId="3F5673C4" w14:textId="77777777" w:rsidR="00DD566D" w:rsidRPr="00D208DC" w:rsidRDefault="00DD566D" w:rsidP="00DD566D">
      <w:pPr>
        <w:spacing w:line="276" w:lineRule="auto"/>
        <w:jc w:val="both"/>
        <w:rPr>
          <w:rFonts w:eastAsia="Calibri" w:cs="Times New Roman"/>
          <w:sz w:val="24"/>
          <w:szCs w:val="24"/>
          <w:lang w:eastAsia="ru-RU"/>
        </w:rPr>
      </w:pPr>
    </w:p>
    <w:p w14:paraId="72A3F0E7" w14:textId="77777777" w:rsidR="00DD566D" w:rsidRPr="00D208DC" w:rsidRDefault="00DD566D" w:rsidP="00DD566D">
      <w:pPr>
        <w:spacing w:line="276" w:lineRule="auto"/>
        <w:jc w:val="center"/>
        <w:rPr>
          <w:rFonts w:eastAsia="Calibri" w:cs="Times New Roman"/>
          <w:b/>
          <w:bCs/>
          <w:sz w:val="24"/>
          <w:szCs w:val="24"/>
          <w:lang w:eastAsia="ru-RU"/>
        </w:rPr>
      </w:pPr>
      <w:r w:rsidRPr="00D208DC">
        <w:rPr>
          <w:rFonts w:eastAsia="Calibri" w:cs="Times New Roman"/>
          <w:b/>
          <w:bCs/>
          <w:sz w:val="24"/>
          <w:szCs w:val="24"/>
          <w:lang w:eastAsia="ru-RU"/>
        </w:rPr>
        <w:t>Salomatova I.B., Djurayev J.Kh.</w:t>
      </w:r>
    </w:p>
    <w:p w14:paraId="165DD1CB" w14:textId="77777777" w:rsidR="00DD566D" w:rsidRPr="00D208DC" w:rsidRDefault="00DD566D" w:rsidP="00DD566D">
      <w:pPr>
        <w:spacing w:line="276" w:lineRule="auto"/>
        <w:jc w:val="center"/>
        <w:rPr>
          <w:rFonts w:eastAsia="Calibri" w:cs="Times New Roman"/>
          <w:sz w:val="24"/>
          <w:szCs w:val="24"/>
          <w:lang w:eastAsia="ru-RU"/>
        </w:rPr>
      </w:pPr>
      <w:r w:rsidRPr="00D208DC">
        <w:rPr>
          <w:rFonts w:eastAsia="Calibri" w:cs="Times New Roman"/>
          <w:sz w:val="24"/>
          <w:szCs w:val="24"/>
          <w:lang w:eastAsia="ru-RU"/>
        </w:rPr>
        <w:t>Tashkent medical academy, Tashkent, Uzbekistan</w:t>
      </w:r>
    </w:p>
    <w:p w14:paraId="28462699" w14:textId="77777777" w:rsidR="00DD566D" w:rsidRDefault="00DD566D" w:rsidP="00DD566D">
      <w:pPr>
        <w:spacing w:line="276" w:lineRule="auto"/>
        <w:ind w:firstLine="567"/>
        <w:jc w:val="both"/>
        <w:rPr>
          <w:rFonts w:eastAsia="Calibri" w:cs="Times New Roman"/>
          <w:sz w:val="24"/>
          <w:szCs w:val="24"/>
          <w:lang w:eastAsia="ru-RU"/>
        </w:rPr>
      </w:pPr>
    </w:p>
    <w:p w14:paraId="26438ADC" w14:textId="77777777" w:rsidR="00DD566D" w:rsidRPr="00D208DC" w:rsidRDefault="00DD566D" w:rsidP="00DD566D">
      <w:pPr>
        <w:spacing w:line="276" w:lineRule="auto"/>
        <w:ind w:firstLine="567"/>
        <w:jc w:val="both"/>
        <w:rPr>
          <w:rFonts w:eastAsia="Calibri" w:cs="Times New Roman"/>
          <w:i/>
          <w:iCs/>
          <w:sz w:val="24"/>
          <w:szCs w:val="24"/>
          <w:lang w:eastAsia="ru-RU"/>
        </w:rPr>
      </w:pPr>
      <w:r w:rsidRPr="00D208DC">
        <w:rPr>
          <w:rFonts w:eastAsia="Calibri" w:cs="Times New Roman"/>
          <w:i/>
          <w:iCs/>
          <w:sz w:val="24"/>
          <w:szCs w:val="24"/>
          <w:lang w:eastAsia="ru-RU"/>
        </w:rPr>
        <w:t>Chronic polypous rhinosinusitis is one of the urgent problems in rhinology, as it is a frequent consequence of a chronic long-term inflammatory process of the mucous membrane of the nasal cavity and paranasal sinuses. The study of morphological parameters of different types of chronic polypous rhinosinusitis will provide an opportunity to identify various forms of chronic polypous rhinosinusitis, its differentiation, selection of the correct treatment, and determination of exact indications for surgical removal of polyps, prognosis and prevention of relapse after polysinusotomy.</w:t>
      </w:r>
    </w:p>
    <w:p w14:paraId="0832D425" w14:textId="77777777" w:rsidR="00DD566D" w:rsidRPr="00D208DC" w:rsidRDefault="00DD566D" w:rsidP="00DD566D">
      <w:pPr>
        <w:spacing w:line="276" w:lineRule="auto"/>
        <w:ind w:firstLine="567"/>
        <w:jc w:val="both"/>
        <w:rPr>
          <w:rFonts w:eastAsia="Calibri" w:cs="Times New Roman"/>
          <w:i/>
          <w:iCs/>
          <w:sz w:val="24"/>
          <w:szCs w:val="24"/>
          <w:lang w:eastAsia="ru-RU"/>
        </w:rPr>
      </w:pPr>
      <w:r w:rsidRPr="00D208DC">
        <w:rPr>
          <w:rFonts w:eastAsia="Calibri" w:cs="Times New Roman"/>
          <w:b/>
          <w:i/>
          <w:iCs/>
          <w:sz w:val="24"/>
          <w:szCs w:val="24"/>
          <w:lang w:eastAsia="ru-RU"/>
        </w:rPr>
        <w:t>Key words:</w:t>
      </w:r>
      <w:r w:rsidRPr="00D208DC">
        <w:rPr>
          <w:rFonts w:eastAsia="Calibri" w:cs="Times New Roman"/>
          <w:i/>
          <w:iCs/>
          <w:sz w:val="24"/>
          <w:szCs w:val="24"/>
          <w:lang w:eastAsia="ru-RU"/>
        </w:rPr>
        <w:t xml:space="preserve"> polyp, rhinosinusitis, paranasal sinuses, polyposis, nasal mucosa, epithelium, polysinusotomy, myxomatous changes.</w:t>
      </w:r>
    </w:p>
    <w:p w14:paraId="21014817" w14:textId="77777777" w:rsidR="00DD566D" w:rsidRDefault="00DD566D" w:rsidP="00DD566D">
      <w:pPr>
        <w:spacing w:line="276" w:lineRule="auto"/>
        <w:ind w:firstLine="567"/>
        <w:jc w:val="both"/>
        <w:rPr>
          <w:rFonts w:eastAsia="Calibri" w:cs="Times New Roman"/>
          <w:sz w:val="24"/>
          <w:szCs w:val="24"/>
          <w:lang w:eastAsia="ru-RU"/>
        </w:rPr>
      </w:pPr>
    </w:p>
    <w:p w14:paraId="49375A1F" w14:textId="77777777" w:rsidR="00DD566D" w:rsidRDefault="00DD566D" w:rsidP="00DD566D">
      <w:pPr>
        <w:spacing w:line="276" w:lineRule="auto"/>
        <w:ind w:firstLine="567"/>
        <w:jc w:val="both"/>
        <w:rPr>
          <w:rFonts w:eastAsia="Calibri" w:cs="Times New Roman"/>
          <w:sz w:val="24"/>
          <w:szCs w:val="24"/>
          <w:lang w:eastAsia="ru-RU"/>
        </w:rPr>
        <w:sectPr w:rsidR="00DD566D" w:rsidSect="00995DC2">
          <w:type w:val="continuous"/>
          <w:pgSz w:w="11907" w:h="16840" w:code="9"/>
          <w:pgMar w:top="1418" w:right="1134" w:bottom="1134" w:left="1134" w:header="907" w:footer="794" w:gutter="0"/>
          <w:cols w:space="708"/>
          <w:docGrid w:linePitch="381"/>
        </w:sectPr>
      </w:pPr>
    </w:p>
    <w:p w14:paraId="6B8920D7"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The study aimed to investigate the histo</w:t>
      </w:r>
      <w:r>
        <w:rPr>
          <w:rFonts w:eastAsia="Calibri" w:cs="Times New Roman"/>
          <w:sz w:val="24"/>
          <w:szCs w:val="24"/>
          <w:lang w:eastAsia="ru-RU"/>
        </w:rPr>
        <w:softHyphen/>
      </w:r>
      <w:r w:rsidRPr="00D208DC">
        <w:rPr>
          <w:rFonts w:eastAsia="Calibri" w:cs="Times New Roman"/>
          <w:sz w:val="24"/>
          <w:szCs w:val="24"/>
          <w:lang w:eastAsia="ru-RU"/>
        </w:rPr>
        <w:t>logical structures of different types of chronic polyposis rhinosinusitis.</w:t>
      </w:r>
    </w:p>
    <w:p w14:paraId="06BDC02F" w14:textId="77777777" w:rsidR="00DD566D" w:rsidRPr="00D208DC" w:rsidRDefault="00DD566D" w:rsidP="00DD566D">
      <w:pPr>
        <w:spacing w:line="276" w:lineRule="auto"/>
        <w:ind w:firstLine="567"/>
        <w:jc w:val="both"/>
        <w:rPr>
          <w:rFonts w:eastAsia="Calibri" w:cs="Times New Roman"/>
          <w:b/>
          <w:sz w:val="24"/>
          <w:szCs w:val="24"/>
          <w:lang w:eastAsia="ru-RU"/>
        </w:rPr>
      </w:pPr>
      <w:r w:rsidRPr="00D208DC">
        <w:rPr>
          <w:rFonts w:eastAsia="Calibri" w:cs="Times New Roman"/>
          <w:b/>
          <w:sz w:val="24"/>
          <w:szCs w:val="24"/>
          <w:lang w:eastAsia="ru-RU"/>
        </w:rPr>
        <w:t>Material and methods</w:t>
      </w:r>
    </w:p>
    <w:p w14:paraId="38828A17"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Based on the TMA multidisciplinary clinic in the departments of otorhinolaryngol</w:t>
      </w:r>
      <w:r>
        <w:rPr>
          <w:rFonts w:eastAsia="Calibri" w:cs="Times New Roman"/>
          <w:sz w:val="24"/>
          <w:szCs w:val="24"/>
          <w:lang w:eastAsia="ru-RU"/>
        </w:rPr>
        <w:softHyphen/>
      </w:r>
      <w:r w:rsidRPr="00D208DC">
        <w:rPr>
          <w:rFonts w:eastAsia="Calibri" w:cs="Times New Roman"/>
          <w:sz w:val="24"/>
          <w:szCs w:val="24"/>
          <w:lang w:eastAsia="ru-RU"/>
        </w:rPr>
        <w:t>ogy and maxillofacial surgery, a morphologi</w:t>
      </w:r>
      <w:r>
        <w:rPr>
          <w:rFonts w:eastAsia="Calibri" w:cs="Times New Roman"/>
          <w:sz w:val="24"/>
          <w:szCs w:val="24"/>
          <w:lang w:eastAsia="ru-RU"/>
        </w:rPr>
        <w:softHyphen/>
      </w:r>
      <w:r w:rsidRPr="00D208DC">
        <w:rPr>
          <w:rFonts w:eastAsia="Calibri" w:cs="Times New Roman"/>
          <w:sz w:val="24"/>
          <w:szCs w:val="24"/>
          <w:lang w:eastAsia="ru-RU"/>
        </w:rPr>
        <w:t>cal study of the removed materials from the na</w:t>
      </w:r>
      <w:r>
        <w:rPr>
          <w:rFonts w:eastAsia="Calibri" w:cs="Times New Roman"/>
          <w:sz w:val="24"/>
          <w:szCs w:val="24"/>
          <w:lang w:eastAsia="ru-RU"/>
        </w:rPr>
        <w:softHyphen/>
      </w:r>
      <w:r w:rsidRPr="00D208DC">
        <w:rPr>
          <w:rFonts w:eastAsia="Calibri" w:cs="Times New Roman"/>
          <w:sz w:val="24"/>
          <w:szCs w:val="24"/>
          <w:lang w:eastAsia="ru-RU"/>
        </w:rPr>
        <w:t>sal mucosa and paranasal sinuses was carried out. The patients were divided into two groups; the first group is patients with polypous rhi</w:t>
      </w:r>
      <w:r>
        <w:rPr>
          <w:rFonts w:eastAsia="Calibri" w:cs="Times New Roman"/>
          <w:sz w:val="24"/>
          <w:szCs w:val="24"/>
          <w:lang w:eastAsia="ru-RU"/>
        </w:rPr>
        <w:softHyphen/>
      </w:r>
      <w:r w:rsidRPr="00D208DC">
        <w:rPr>
          <w:rFonts w:eastAsia="Calibri" w:cs="Times New Roman"/>
          <w:sz w:val="24"/>
          <w:szCs w:val="24"/>
          <w:lang w:eastAsia="ru-RU"/>
        </w:rPr>
        <w:t>nosinusitis, the second - with chronic rhinosi</w:t>
      </w:r>
      <w:r>
        <w:rPr>
          <w:rFonts w:eastAsia="Calibri" w:cs="Times New Roman"/>
          <w:sz w:val="24"/>
          <w:szCs w:val="24"/>
          <w:lang w:eastAsia="ru-RU"/>
        </w:rPr>
        <w:softHyphen/>
      </w:r>
      <w:r w:rsidRPr="00D208DC">
        <w:rPr>
          <w:rFonts w:eastAsia="Calibri" w:cs="Times New Roman"/>
          <w:sz w:val="24"/>
          <w:szCs w:val="24"/>
          <w:lang w:eastAsia="ru-RU"/>
        </w:rPr>
        <w:t>nusitis.</w:t>
      </w:r>
    </w:p>
    <w:p w14:paraId="02F864FB"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For histological examination, the prepa</w:t>
      </w:r>
      <w:r>
        <w:rPr>
          <w:rFonts w:eastAsia="Calibri" w:cs="Times New Roman"/>
          <w:sz w:val="24"/>
          <w:szCs w:val="24"/>
          <w:lang w:eastAsia="ru-RU"/>
        </w:rPr>
        <w:softHyphen/>
      </w:r>
      <w:r w:rsidRPr="00D208DC">
        <w:rPr>
          <w:rFonts w:eastAsia="Calibri" w:cs="Times New Roman"/>
          <w:sz w:val="24"/>
          <w:szCs w:val="24"/>
          <w:lang w:eastAsia="ru-RU"/>
        </w:rPr>
        <w:t>ration of materials was carried out on the host processor"Thermo scientific STP 120", Histo</w:t>
      </w:r>
      <w:r>
        <w:rPr>
          <w:rFonts w:eastAsia="Calibri" w:cs="Times New Roman"/>
          <w:sz w:val="24"/>
          <w:szCs w:val="24"/>
          <w:lang w:eastAsia="ru-RU"/>
        </w:rPr>
        <w:softHyphen/>
      </w:r>
      <w:r w:rsidRPr="00D208DC">
        <w:rPr>
          <w:rFonts w:eastAsia="Calibri" w:cs="Times New Roman"/>
          <w:sz w:val="24"/>
          <w:szCs w:val="24"/>
          <w:lang w:eastAsia="ru-RU"/>
        </w:rPr>
        <w:t>star, Microm HM 325; the obtained material was carried out in stages as follows: registra</w:t>
      </w:r>
      <w:r>
        <w:rPr>
          <w:rFonts w:eastAsia="Calibri" w:cs="Times New Roman"/>
          <w:sz w:val="24"/>
          <w:szCs w:val="24"/>
          <w:lang w:eastAsia="ru-RU"/>
        </w:rPr>
        <w:softHyphen/>
      </w:r>
      <w:r w:rsidRPr="00D208DC">
        <w:rPr>
          <w:rFonts w:eastAsia="Calibri" w:cs="Times New Roman"/>
          <w:sz w:val="24"/>
          <w:szCs w:val="24"/>
          <w:lang w:eastAsia="ru-RU"/>
        </w:rPr>
        <w:t>tion of the material, cutting, macro-descrip</w:t>
      </w:r>
      <w:r>
        <w:rPr>
          <w:rFonts w:eastAsia="Calibri" w:cs="Times New Roman"/>
          <w:sz w:val="24"/>
          <w:szCs w:val="24"/>
          <w:lang w:eastAsia="ru-RU"/>
        </w:rPr>
        <w:softHyphen/>
      </w:r>
      <w:r w:rsidRPr="00D208DC">
        <w:rPr>
          <w:rFonts w:eastAsia="Calibri" w:cs="Times New Roman"/>
          <w:sz w:val="24"/>
          <w:szCs w:val="24"/>
          <w:lang w:eastAsia="ru-RU"/>
        </w:rPr>
        <w:t>tion, labeling of the cassettes, distribution of the material among the cassettes, primary diag</w:t>
      </w:r>
      <w:r>
        <w:rPr>
          <w:rFonts w:eastAsia="Calibri" w:cs="Times New Roman"/>
          <w:sz w:val="24"/>
          <w:szCs w:val="24"/>
          <w:lang w:eastAsia="ru-RU"/>
        </w:rPr>
        <w:softHyphen/>
      </w:r>
      <w:r w:rsidRPr="00D208DC">
        <w:rPr>
          <w:rFonts w:eastAsia="Calibri" w:cs="Times New Roman"/>
          <w:sz w:val="24"/>
          <w:szCs w:val="24"/>
          <w:lang w:eastAsia="ru-RU"/>
        </w:rPr>
        <w:t xml:space="preserve">nosis, obtaining a preliminary diagnosis. Next </w:t>
      </w:r>
      <w:r w:rsidRPr="00D208DC">
        <w:rPr>
          <w:rFonts w:eastAsia="Calibri" w:cs="Times New Roman"/>
          <w:sz w:val="24"/>
          <w:szCs w:val="24"/>
          <w:lang w:eastAsia="ru-RU"/>
        </w:rPr>
        <w:t>stage was the processing of the material, mark</w:t>
      </w:r>
      <w:r>
        <w:rPr>
          <w:rFonts w:eastAsia="Calibri" w:cs="Times New Roman"/>
          <w:sz w:val="24"/>
          <w:szCs w:val="24"/>
          <w:lang w:eastAsia="ru-RU"/>
        </w:rPr>
        <w:softHyphen/>
      </w:r>
      <w:r w:rsidRPr="00D208DC">
        <w:rPr>
          <w:rFonts w:eastAsia="Calibri" w:cs="Times New Roman"/>
          <w:sz w:val="24"/>
          <w:szCs w:val="24"/>
          <w:lang w:eastAsia="ru-RU"/>
        </w:rPr>
        <w:t>ing the glasses, obtaining the drug and evaluat</w:t>
      </w:r>
      <w:r>
        <w:rPr>
          <w:rFonts w:eastAsia="Calibri" w:cs="Times New Roman"/>
          <w:sz w:val="24"/>
          <w:szCs w:val="24"/>
          <w:lang w:eastAsia="ru-RU"/>
        </w:rPr>
        <w:softHyphen/>
      </w:r>
      <w:r w:rsidRPr="00D208DC">
        <w:rPr>
          <w:rFonts w:eastAsia="Calibri" w:cs="Times New Roman"/>
          <w:sz w:val="24"/>
          <w:szCs w:val="24"/>
          <w:lang w:eastAsia="ru-RU"/>
        </w:rPr>
        <w:t>ing the results. Each prepared micro prepara</w:t>
      </w:r>
      <w:r>
        <w:rPr>
          <w:rFonts w:eastAsia="Calibri" w:cs="Times New Roman"/>
          <w:sz w:val="24"/>
          <w:szCs w:val="24"/>
          <w:lang w:eastAsia="ru-RU"/>
        </w:rPr>
        <w:softHyphen/>
      </w:r>
      <w:r w:rsidRPr="00D208DC">
        <w:rPr>
          <w:rFonts w:eastAsia="Calibri" w:cs="Times New Roman"/>
          <w:sz w:val="24"/>
          <w:szCs w:val="24"/>
          <w:lang w:eastAsia="ru-RU"/>
        </w:rPr>
        <w:t>tion was photographed for further use in the re</w:t>
      </w:r>
      <w:r>
        <w:rPr>
          <w:rFonts w:eastAsia="Calibri" w:cs="Times New Roman"/>
          <w:sz w:val="24"/>
          <w:szCs w:val="24"/>
          <w:lang w:eastAsia="ru-RU"/>
        </w:rPr>
        <w:softHyphen/>
      </w:r>
      <w:r w:rsidRPr="00D208DC">
        <w:rPr>
          <w:rFonts w:eastAsia="Calibri" w:cs="Times New Roman"/>
          <w:sz w:val="24"/>
          <w:szCs w:val="24"/>
          <w:lang w:eastAsia="ru-RU"/>
        </w:rPr>
        <w:t>search work.</w:t>
      </w:r>
    </w:p>
    <w:p w14:paraId="0E46B5BF"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b/>
          <w:sz w:val="24"/>
          <w:szCs w:val="24"/>
          <w:lang w:eastAsia="ru-RU"/>
        </w:rPr>
        <w:t>Research results:</w:t>
      </w:r>
      <w:r w:rsidRPr="00D208DC">
        <w:rPr>
          <w:rFonts w:eastAsia="Calibri" w:cs="Times New Roman"/>
          <w:sz w:val="24"/>
          <w:szCs w:val="24"/>
          <w:lang w:eastAsia="ru-RU"/>
        </w:rPr>
        <w:t xml:space="preserve"> During morphologi</w:t>
      </w:r>
      <w:r>
        <w:rPr>
          <w:rFonts w:eastAsia="Calibri" w:cs="Times New Roman"/>
          <w:sz w:val="24"/>
          <w:szCs w:val="24"/>
          <w:lang w:eastAsia="ru-RU"/>
        </w:rPr>
        <w:softHyphen/>
      </w:r>
      <w:r w:rsidRPr="00D208DC">
        <w:rPr>
          <w:rFonts w:eastAsia="Calibri" w:cs="Times New Roman"/>
          <w:sz w:val="24"/>
          <w:szCs w:val="24"/>
          <w:lang w:eastAsia="ru-RU"/>
        </w:rPr>
        <w:t>cal studies in the first group, 80 patients had different clinical and morphological forms; the frequency of their development is presented in the table.</w:t>
      </w:r>
    </w:p>
    <w:p w14:paraId="49B71B95"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Segoe UI Symbol" w:cs="Times New Roman"/>
          <w:sz w:val="24"/>
          <w:szCs w:val="24"/>
          <w:lang w:eastAsia="ru-RU"/>
        </w:rPr>
        <w:t>№</w:t>
      </w:r>
      <w:r w:rsidRPr="00D208DC">
        <w:rPr>
          <w:rFonts w:eastAsia="Calibri" w:cs="Times New Roman"/>
          <w:sz w:val="24"/>
          <w:szCs w:val="24"/>
          <w:lang w:eastAsia="ru-RU"/>
        </w:rPr>
        <w:t xml:space="preserve"> Types of ORS Number of cases % ra</w:t>
      </w:r>
      <w:r>
        <w:rPr>
          <w:rFonts w:eastAsia="Calibri" w:cs="Times New Roman"/>
          <w:sz w:val="24"/>
          <w:szCs w:val="24"/>
          <w:lang w:eastAsia="ru-RU"/>
        </w:rPr>
        <w:softHyphen/>
      </w:r>
      <w:r w:rsidRPr="00D208DC">
        <w:rPr>
          <w:rFonts w:eastAsia="Calibri" w:cs="Times New Roman"/>
          <w:sz w:val="24"/>
          <w:szCs w:val="24"/>
          <w:lang w:eastAsia="ru-RU"/>
        </w:rPr>
        <w:t>tio</w:t>
      </w:r>
    </w:p>
    <w:p w14:paraId="10AA00A5"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1. Mucous polyp 17 21.2%</w:t>
      </w:r>
    </w:p>
    <w:p w14:paraId="64E7616D"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2. Angiomatous polyp 4 5%</w:t>
      </w:r>
    </w:p>
    <w:p w14:paraId="1B91883D"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3. Inflammatory polyp 15 18.75%</w:t>
      </w:r>
    </w:p>
    <w:p w14:paraId="39244661"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4. Allergic polyp 5 6.25%</w:t>
      </w:r>
    </w:p>
    <w:p w14:paraId="3FACD63F"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5. Glandular - cystic polyp 10 12.5%</w:t>
      </w:r>
    </w:p>
    <w:p w14:paraId="64A41503"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6. Glandular-mucous polyp 15 18.75%</w:t>
      </w:r>
    </w:p>
    <w:p w14:paraId="05C70409"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7. Adenomatous polyp 5 6.25%</w:t>
      </w:r>
    </w:p>
    <w:p w14:paraId="3EF28EFB"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8. Fibrous polyp 3 3.75%</w:t>
      </w:r>
    </w:p>
    <w:p w14:paraId="7A64187C"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9. Proliferating polyp with epithelial metaplasia 4 5%</w:t>
      </w:r>
    </w:p>
    <w:p w14:paraId="6D0C3D10"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lastRenderedPageBreak/>
        <w:t>10 Antrochoanal nasal polyp 2 2.5%</w:t>
      </w:r>
    </w:p>
    <w:p w14:paraId="098F7DEF"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11. Total 80 100%</w:t>
      </w:r>
    </w:p>
    <w:p w14:paraId="60DEFBAF"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In the histological preparations of the first group in 80 patients with polypousrhinosi</w:t>
      </w:r>
      <w:r>
        <w:rPr>
          <w:rFonts w:eastAsia="Calibri" w:cs="Times New Roman"/>
          <w:sz w:val="24"/>
          <w:szCs w:val="24"/>
          <w:lang w:eastAsia="ru-RU"/>
        </w:rPr>
        <w:softHyphen/>
      </w:r>
      <w:r w:rsidRPr="00D208DC">
        <w:rPr>
          <w:rFonts w:eastAsia="Calibri" w:cs="Times New Roman"/>
          <w:sz w:val="24"/>
          <w:szCs w:val="24"/>
          <w:lang w:eastAsia="ru-RU"/>
        </w:rPr>
        <w:t>nusitis, morphological changes in the mucous form are characterized by hyperplasia of the mucosal epithelium due to prolonged catarrhal inflammation and secretion of mucus by papil</w:t>
      </w:r>
      <w:r>
        <w:rPr>
          <w:rFonts w:eastAsia="Calibri" w:cs="Times New Roman"/>
          <w:sz w:val="24"/>
          <w:szCs w:val="24"/>
          <w:lang w:eastAsia="ru-RU"/>
        </w:rPr>
        <w:softHyphen/>
      </w:r>
      <w:r w:rsidRPr="00D208DC">
        <w:rPr>
          <w:rFonts w:eastAsia="Calibri" w:cs="Times New Roman"/>
          <w:sz w:val="24"/>
          <w:szCs w:val="24"/>
          <w:lang w:eastAsia="ru-RU"/>
        </w:rPr>
        <w:t>lary growth, angiomatous - along with ele</w:t>
      </w:r>
      <w:r>
        <w:rPr>
          <w:rFonts w:eastAsia="Calibri" w:cs="Times New Roman"/>
          <w:sz w:val="24"/>
          <w:szCs w:val="24"/>
          <w:lang w:eastAsia="ru-RU"/>
        </w:rPr>
        <w:softHyphen/>
      </w:r>
      <w:r w:rsidRPr="00D208DC">
        <w:rPr>
          <w:rFonts w:eastAsia="Calibri" w:cs="Times New Roman"/>
          <w:sz w:val="24"/>
          <w:szCs w:val="24"/>
          <w:lang w:eastAsia="ru-RU"/>
        </w:rPr>
        <w:t>ments of granulation were distinguished by an abundance of newly formed blood vessels of small caliber, and glandular forms with cystic changes in the lumen of the glands. In all ex</w:t>
      </w:r>
      <w:r>
        <w:rPr>
          <w:rFonts w:eastAsia="Calibri" w:cs="Times New Roman"/>
          <w:sz w:val="24"/>
          <w:szCs w:val="24"/>
          <w:lang w:eastAsia="ru-RU"/>
        </w:rPr>
        <w:softHyphen/>
      </w:r>
      <w:r w:rsidRPr="00D208DC">
        <w:rPr>
          <w:rFonts w:eastAsia="Calibri" w:cs="Times New Roman"/>
          <w:sz w:val="24"/>
          <w:szCs w:val="24"/>
          <w:lang w:eastAsia="ru-RU"/>
        </w:rPr>
        <w:t>clusively forms, either focal, moderate, or dif</w:t>
      </w:r>
      <w:r>
        <w:rPr>
          <w:rFonts w:eastAsia="Calibri" w:cs="Times New Roman"/>
          <w:sz w:val="24"/>
          <w:szCs w:val="24"/>
          <w:lang w:eastAsia="ru-RU"/>
        </w:rPr>
        <w:softHyphen/>
      </w:r>
      <w:r w:rsidRPr="00D208DC">
        <w:rPr>
          <w:rFonts w:eastAsia="Calibri" w:cs="Times New Roman"/>
          <w:sz w:val="24"/>
          <w:szCs w:val="24"/>
          <w:lang w:eastAsia="ru-RU"/>
        </w:rPr>
        <w:t>fuse inflammatory cell infiltration was noted, which indicated the duration of the process with periods of remission and exacerbation.</w:t>
      </w:r>
    </w:p>
    <w:p w14:paraId="656A5BD0"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sz w:val="24"/>
          <w:szCs w:val="24"/>
          <w:lang w:eastAsia="ru-RU"/>
        </w:rPr>
        <w:t>According to the results of a histological study of the second group of 18 patients, it can be noted that morphological changes are mainly characterized by cystic lesions of the mucosal glands, as well as integumentary epi</w:t>
      </w:r>
      <w:r>
        <w:rPr>
          <w:rFonts w:eastAsia="Calibri" w:cs="Times New Roman"/>
          <w:sz w:val="24"/>
          <w:szCs w:val="24"/>
          <w:lang w:eastAsia="ru-RU"/>
        </w:rPr>
        <w:softHyphen/>
      </w:r>
      <w:r w:rsidRPr="00D208DC">
        <w:rPr>
          <w:rFonts w:eastAsia="Calibri" w:cs="Times New Roman"/>
          <w:sz w:val="24"/>
          <w:szCs w:val="24"/>
          <w:lang w:eastAsia="ru-RU"/>
        </w:rPr>
        <w:t>thelium with focal or diffuse inflammatory cell infiltration.</w:t>
      </w:r>
    </w:p>
    <w:p w14:paraId="3C512257" w14:textId="77777777" w:rsidR="00DD566D" w:rsidRPr="00D208DC" w:rsidRDefault="00DD566D" w:rsidP="00DD566D">
      <w:pPr>
        <w:spacing w:line="276" w:lineRule="auto"/>
        <w:ind w:firstLine="567"/>
        <w:jc w:val="both"/>
        <w:rPr>
          <w:rFonts w:eastAsia="Calibri" w:cs="Times New Roman"/>
          <w:sz w:val="24"/>
          <w:szCs w:val="24"/>
          <w:lang w:eastAsia="ru-RU"/>
        </w:rPr>
      </w:pPr>
      <w:r w:rsidRPr="00D208DC">
        <w:rPr>
          <w:rFonts w:eastAsia="Calibri" w:cs="Times New Roman"/>
          <w:b/>
          <w:sz w:val="24"/>
          <w:szCs w:val="24"/>
          <w:lang w:eastAsia="ru-RU"/>
        </w:rPr>
        <w:t>Conclusion:</w:t>
      </w:r>
      <w:r w:rsidRPr="00D208DC">
        <w:rPr>
          <w:rFonts w:eastAsia="Calibri" w:cs="Times New Roman"/>
          <w:sz w:val="24"/>
          <w:szCs w:val="24"/>
          <w:lang w:eastAsia="ru-RU"/>
        </w:rPr>
        <w:t xml:space="preserve"> Thus, the above-described morphological changes in the nasal mucosa and paranasal sinuses, both in the first and sec</w:t>
      </w:r>
      <w:r>
        <w:rPr>
          <w:rFonts w:eastAsia="Calibri" w:cs="Times New Roman"/>
          <w:sz w:val="24"/>
          <w:szCs w:val="24"/>
          <w:lang w:eastAsia="ru-RU"/>
        </w:rPr>
        <w:softHyphen/>
      </w:r>
      <w:r w:rsidRPr="00D208DC">
        <w:rPr>
          <w:rFonts w:eastAsia="Calibri" w:cs="Times New Roman"/>
          <w:sz w:val="24"/>
          <w:szCs w:val="24"/>
          <w:lang w:eastAsia="ru-RU"/>
        </w:rPr>
        <w:t>ond groups, characterize changes associated with a long-term course of the inflammatory process, a violation of the structural architec</w:t>
      </w:r>
      <w:r>
        <w:rPr>
          <w:rFonts w:eastAsia="Calibri" w:cs="Times New Roman"/>
          <w:sz w:val="24"/>
          <w:szCs w:val="24"/>
          <w:lang w:eastAsia="ru-RU"/>
        </w:rPr>
        <w:softHyphen/>
      </w:r>
      <w:r w:rsidRPr="00D208DC">
        <w:rPr>
          <w:rFonts w:eastAsia="Calibri" w:cs="Times New Roman"/>
          <w:sz w:val="24"/>
          <w:szCs w:val="24"/>
          <w:lang w:eastAsia="ru-RU"/>
        </w:rPr>
        <w:t>tonics of the nasal tract, associated with epithe</w:t>
      </w:r>
      <w:r>
        <w:rPr>
          <w:rFonts w:eastAsia="Calibri" w:cs="Times New Roman"/>
          <w:sz w:val="24"/>
          <w:szCs w:val="24"/>
          <w:lang w:eastAsia="ru-RU"/>
        </w:rPr>
        <w:softHyphen/>
      </w:r>
      <w:r w:rsidRPr="00D208DC">
        <w:rPr>
          <w:rFonts w:eastAsia="Calibri" w:cs="Times New Roman"/>
          <w:sz w:val="24"/>
          <w:szCs w:val="24"/>
          <w:lang w:eastAsia="ru-RU"/>
        </w:rPr>
        <w:t>lial hyperplasia, mucosal outgrowth and cystic formations, as well as the presence of elements of inflammation, in some cases, abundant se</w:t>
      </w:r>
      <w:r>
        <w:rPr>
          <w:rFonts w:eastAsia="Calibri" w:cs="Times New Roman"/>
          <w:sz w:val="24"/>
          <w:szCs w:val="24"/>
          <w:lang w:eastAsia="ru-RU"/>
        </w:rPr>
        <w:softHyphen/>
      </w:r>
      <w:r w:rsidRPr="00D208DC">
        <w:rPr>
          <w:rFonts w:eastAsia="Calibri" w:cs="Times New Roman"/>
          <w:sz w:val="24"/>
          <w:szCs w:val="24"/>
          <w:lang w:eastAsia="ru-RU"/>
        </w:rPr>
        <w:t>cretion, which is accompanied by a violation of natural respiration, leads to the development of prolonged hypoxia. The obtained results of the morphological study provide a detailed de</w:t>
      </w:r>
      <w:r>
        <w:rPr>
          <w:rFonts w:eastAsia="Calibri" w:cs="Times New Roman"/>
          <w:sz w:val="24"/>
          <w:szCs w:val="24"/>
          <w:lang w:eastAsia="ru-RU"/>
        </w:rPr>
        <w:softHyphen/>
      </w:r>
      <w:r w:rsidRPr="00D208DC">
        <w:rPr>
          <w:rFonts w:eastAsia="Calibri" w:cs="Times New Roman"/>
          <w:sz w:val="24"/>
          <w:szCs w:val="24"/>
          <w:lang w:eastAsia="ru-RU"/>
        </w:rPr>
        <w:t>scription of changes in the mucous membranes and clinical signs, make it possible to assess the risk of developing chronic polyposis rhi</w:t>
      </w:r>
      <w:r>
        <w:rPr>
          <w:rFonts w:eastAsia="Calibri" w:cs="Times New Roman"/>
          <w:sz w:val="24"/>
          <w:szCs w:val="24"/>
          <w:lang w:eastAsia="ru-RU"/>
        </w:rPr>
        <w:softHyphen/>
      </w:r>
      <w:r w:rsidRPr="00D208DC">
        <w:rPr>
          <w:rFonts w:eastAsia="Calibri" w:cs="Times New Roman"/>
          <w:sz w:val="24"/>
          <w:szCs w:val="24"/>
          <w:lang w:eastAsia="ru-RU"/>
        </w:rPr>
        <w:t>nosinusitis, as well as to prevent relapses of the disease.</w:t>
      </w:r>
    </w:p>
    <w:p w14:paraId="0F9F2D0A" w14:textId="77777777" w:rsidR="00DD566D" w:rsidRDefault="00DD566D" w:rsidP="00DD566D">
      <w:pPr>
        <w:spacing w:line="276" w:lineRule="auto"/>
        <w:ind w:firstLine="567"/>
        <w:jc w:val="both"/>
        <w:rPr>
          <w:rFonts w:cs="Times New Roman"/>
          <w:sz w:val="24"/>
          <w:szCs w:val="24"/>
        </w:rPr>
        <w:sectPr w:rsidR="00DD566D" w:rsidSect="00D208DC">
          <w:type w:val="continuous"/>
          <w:pgSz w:w="11907" w:h="16840" w:code="9"/>
          <w:pgMar w:top="1418" w:right="1134" w:bottom="1134" w:left="1134" w:header="907" w:footer="794" w:gutter="0"/>
          <w:cols w:num="2" w:space="708"/>
          <w:docGrid w:linePitch="381"/>
        </w:sectPr>
      </w:pPr>
    </w:p>
    <w:p w14:paraId="688F8C68" w14:textId="77777777" w:rsidR="00DD566D" w:rsidRPr="00D208DC" w:rsidRDefault="00DD566D" w:rsidP="00DD566D">
      <w:pPr>
        <w:spacing w:line="276" w:lineRule="auto"/>
        <w:ind w:firstLine="567"/>
        <w:jc w:val="both"/>
        <w:rPr>
          <w:rFonts w:cs="Times New Roman"/>
          <w:sz w:val="24"/>
          <w:szCs w:val="24"/>
        </w:rPr>
      </w:pPr>
    </w:p>
    <w:p w14:paraId="660A5F53" w14:textId="77777777" w:rsidR="00DD566D" w:rsidRPr="00D208DC" w:rsidRDefault="00DD566D" w:rsidP="00DD566D">
      <w:pPr>
        <w:spacing w:line="276" w:lineRule="auto"/>
        <w:ind w:firstLine="567"/>
        <w:jc w:val="both"/>
        <w:rPr>
          <w:rFonts w:cs="Times New Roman"/>
          <w:sz w:val="24"/>
          <w:szCs w:val="24"/>
          <w:lang w:val="uz-Latn-UZ"/>
        </w:rPr>
      </w:pPr>
    </w:p>
    <w:p w14:paraId="36F7E26C" w14:textId="77777777" w:rsidR="00DD566D" w:rsidRPr="00695033" w:rsidRDefault="00DD566D" w:rsidP="00DD566D">
      <w:pPr>
        <w:spacing w:line="276" w:lineRule="auto"/>
        <w:ind w:firstLine="567"/>
        <w:jc w:val="both"/>
        <w:rPr>
          <w:rFonts w:cs="Times New Roman"/>
          <w:sz w:val="24"/>
          <w:szCs w:val="24"/>
          <w:lang w:val="uz-Latn-UZ"/>
        </w:rPr>
      </w:pPr>
    </w:p>
    <w:p w14:paraId="5EB618F5" w14:textId="77777777" w:rsidR="00DD566D" w:rsidRPr="00525787" w:rsidRDefault="00DD566D" w:rsidP="00DD566D">
      <w:pPr>
        <w:ind w:firstLine="567"/>
        <w:jc w:val="both"/>
        <w:rPr>
          <w:sz w:val="24"/>
          <w:lang w:val="uz-Latn-UZ"/>
        </w:rPr>
      </w:pPr>
    </w:p>
    <w:p w14:paraId="0AE85309" w14:textId="77777777" w:rsidR="00DD566D" w:rsidRPr="00525787" w:rsidRDefault="00DD566D" w:rsidP="00DD566D">
      <w:pPr>
        <w:ind w:firstLine="567"/>
        <w:jc w:val="both"/>
        <w:rPr>
          <w:sz w:val="24"/>
          <w:lang w:val="uz-Latn-UZ"/>
        </w:rPr>
      </w:pPr>
    </w:p>
    <w:p w14:paraId="0DC6468E" w14:textId="77777777" w:rsidR="00DD566D" w:rsidRPr="00525787" w:rsidRDefault="00DD566D" w:rsidP="00DD566D">
      <w:pPr>
        <w:ind w:firstLine="567"/>
        <w:jc w:val="both"/>
        <w:rPr>
          <w:sz w:val="24"/>
          <w:lang w:val="uz-Latn-UZ"/>
        </w:rPr>
      </w:pPr>
    </w:p>
    <w:p w14:paraId="0A8D779A" w14:textId="77777777" w:rsidR="00DD566D" w:rsidRPr="00525787" w:rsidRDefault="00DD566D" w:rsidP="00DD566D">
      <w:pPr>
        <w:ind w:firstLine="567"/>
        <w:jc w:val="both"/>
        <w:rPr>
          <w:sz w:val="24"/>
          <w:lang w:val="uz-Latn-UZ"/>
        </w:rPr>
      </w:pPr>
    </w:p>
    <w:p w14:paraId="70320364" w14:textId="77777777" w:rsidR="00DD566D" w:rsidRPr="00525787" w:rsidRDefault="00DD566D" w:rsidP="00DD566D">
      <w:pPr>
        <w:ind w:firstLine="567"/>
        <w:jc w:val="both"/>
        <w:rPr>
          <w:sz w:val="24"/>
          <w:lang w:val="uz-Latn-UZ"/>
        </w:rPr>
      </w:pPr>
    </w:p>
    <w:p w14:paraId="49B9193A" w14:textId="77777777" w:rsidR="00DD566D" w:rsidRDefault="00DD566D" w:rsidP="00DD566D">
      <w:pPr>
        <w:ind w:firstLine="567"/>
        <w:jc w:val="both"/>
        <w:rPr>
          <w:sz w:val="24"/>
          <w:lang w:val="uz-Latn-UZ"/>
        </w:rPr>
      </w:pPr>
    </w:p>
    <w:p w14:paraId="5D099053" w14:textId="77777777" w:rsidR="00DD566D" w:rsidRDefault="00DD566D" w:rsidP="00DD566D">
      <w:pPr>
        <w:ind w:firstLine="567"/>
        <w:jc w:val="both"/>
        <w:rPr>
          <w:sz w:val="24"/>
          <w:lang w:val="uz-Latn-UZ"/>
        </w:rPr>
      </w:pPr>
    </w:p>
    <w:p w14:paraId="52F29A37" w14:textId="77777777" w:rsidR="00DD566D" w:rsidRDefault="00DD566D" w:rsidP="00DD566D">
      <w:pPr>
        <w:ind w:firstLine="567"/>
        <w:jc w:val="both"/>
        <w:rPr>
          <w:sz w:val="24"/>
          <w:lang w:val="uz-Latn-UZ"/>
        </w:rPr>
      </w:pPr>
    </w:p>
    <w:p w14:paraId="4013168F" w14:textId="77777777" w:rsidR="00DD566D" w:rsidRDefault="00DD566D" w:rsidP="00DD566D">
      <w:pPr>
        <w:ind w:firstLine="567"/>
        <w:jc w:val="both"/>
        <w:rPr>
          <w:sz w:val="24"/>
          <w:lang w:val="uz-Latn-UZ"/>
        </w:rPr>
      </w:pPr>
    </w:p>
    <w:p w14:paraId="375538FA" w14:textId="77777777" w:rsidR="00DD566D" w:rsidRDefault="00DD566D" w:rsidP="00DD566D">
      <w:pPr>
        <w:ind w:firstLine="567"/>
        <w:jc w:val="both"/>
        <w:rPr>
          <w:sz w:val="24"/>
          <w:lang w:val="uz-Latn-UZ"/>
        </w:rPr>
      </w:pPr>
    </w:p>
    <w:p w14:paraId="5B779E2B" w14:textId="77777777" w:rsidR="00DD566D" w:rsidRDefault="00DD566D" w:rsidP="00DD566D">
      <w:pPr>
        <w:ind w:firstLine="567"/>
        <w:jc w:val="both"/>
        <w:rPr>
          <w:sz w:val="24"/>
          <w:lang w:val="uz-Latn-UZ"/>
        </w:rPr>
      </w:pPr>
    </w:p>
    <w:p w14:paraId="16FBBF2D" w14:textId="77777777" w:rsidR="00DD566D" w:rsidRDefault="00DD566D" w:rsidP="00DD566D">
      <w:pPr>
        <w:ind w:firstLine="567"/>
        <w:jc w:val="both"/>
        <w:rPr>
          <w:sz w:val="24"/>
          <w:lang w:val="uz-Latn-UZ"/>
        </w:rPr>
      </w:pPr>
    </w:p>
    <w:p w14:paraId="52E1D5DF" w14:textId="77777777" w:rsidR="00DD566D" w:rsidRDefault="00DD566D" w:rsidP="00DD566D">
      <w:pPr>
        <w:ind w:firstLine="567"/>
        <w:jc w:val="both"/>
        <w:rPr>
          <w:sz w:val="24"/>
          <w:lang w:val="uz-Latn-UZ"/>
        </w:rPr>
      </w:pPr>
    </w:p>
    <w:p w14:paraId="3CD6B284" w14:textId="77777777" w:rsidR="00DD566D" w:rsidRDefault="00DD566D" w:rsidP="00DD566D">
      <w:pPr>
        <w:ind w:firstLine="567"/>
        <w:jc w:val="both"/>
        <w:rPr>
          <w:sz w:val="24"/>
          <w:lang w:val="uz-Latn-UZ"/>
        </w:rPr>
      </w:pPr>
    </w:p>
    <w:p w14:paraId="138B3804" w14:textId="77777777" w:rsidR="00DD566D" w:rsidRDefault="00DD566D" w:rsidP="00DD566D">
      <w:pPr>
        <w:ind w:firstLine="567"/>
        <w:jc w:val="both"/>
        <w:rPr>
          <w:sz w:val="24"/>
          <w:lang w:val="uz-Latn-UZ"/>
        </w:rPr>
      </w:pPr>
    </w:p>
    <w:p w14:paraId="5EF09E8F" w14:textId="77777777" w:rsidR="00DD566D" w:rsidRDefault="00DD566D" w:rsidP="00DD566D">
      <w:pPr>
        <w:ind w:firstLine="567"/>
        <w:jc w:val="both"/>
        <w:rPr>
          <w:sz w:val="24"/>
          <w:lang w:val="uz-Latn-UZ"/>
        </w:rPr>
      </w:pPr>
    </w:p>
    <w:p w14:paraId="4FFFBB20" w14:textId="77777777" w:rsidR="00DD566D" w:rsidRDefault="00DD566D" w:rsidP="00DD566D">
      <w:pPr>
        <w:ind w:firstLine="567"/>
        <w:jc w:val="both"/>
        <w:rPr>
          <w:sz w:val="24"/>
          <w:lang w:val="uz-Latn-UZ"/>
        </w:rPr>
      </w:pPr>
    </w:p>
    <w:p w14:paraId="20BA9909" w14:textId="77777777" w:rsidR="00DD566D" w:rsidRDefault="00DD566D" w:rsidP="00DD566D">
      <w:pPr>
        <w:ind w:firstLine="567"/>
        <w:jc w:val="both"/>
        <w:rPr>
          <w:sz w:val="24"/>
          <w:lang w:val="uz-Latn-UZ"/>
        </w:rPr>
      </w:pPr>
    </w:p>
    <w:p w14:paraId="318DC304" w14:textId="77777777" w:rsidR="00DD566D" w:rsidRDefault="00DD566D" w:rsidP="00DD566D">
      <w:pPr>
        <w:ind w:firstLine="567"/>
        <w:jc w:val="both"/>
        <w:rPr>
          <w:sz w:val="24"/>
          <w:lang w:val="uz-Latn-UZ"/>
        </w:rPr>
      </w:pPr>
    </w:p>
    <w:p w14:paraId="267F34A4" w14:textId="77777777" w:rsidR="00DD566D" w:rsidRDefault="00DD566D" w:rsidP="00DD566D">
      <w:pPr>
        <w:ind w:firstLine="567"/>
        <w:jc w:val="both"/>
        <w:rPr>
          <w:sz w:val="24"/>
          <w:lang w:val="uz-Latn-UZ"/>
        </w:rPr>
      </w:pPr>
    </w:p>
    <w:p w14:paraId="7913364A" w14:textId="77777777" w:rsidR="00DD566D" w:rsidRDefault="00DD566D" w:rsidP="00DD566D">
      <w:pPr>
        <w:ind w:firstLine="567"/>
        <w:jc w:val="both"/>
        <w:rPr>
          <w:sz w:val="24"/>
          <w:lang w:val="uz-Latn-UZ"/>
        </w:rPr>
      </w:pPr>
    </w:p>
    <w:p w14:paraId="7116B65B" w14:textId="77777777" w:rsidR="00DD566D" w:rsidRDefault="00DD566D" w:rsidP="00DD566D">
      <w:pPr>
        <w:ind w:firstLine="567"/>
        <w:jc w:val="both"/>
        <w:rPr>
          <w:sz w:val="24"/>
          <w:lang w:val="uz-Latn-UZ"/>
        </w:rPr>
      </w:pPr>
    </w:p>
    <w:p w14:paraId="0F5EBC78" w14:textId="77777777" w:rsidR="00DD566D" w:rsidRDefault="00DD566D" w:rsidP="00DD566D">
      <w:pPr>
        <w:ind w:firstLine="567"/>
        <w:jc w:val="both"/>
        <w:rPr>
          <w:sz w:val="24"/>
          <w:lang w:val="uz-Latn-UZ"/>
        </w:rPr>
      </w:pPr>
    </w:p>
    <w:p w14:paraId="4071015D" w14:textId="77777777" w:rsidR="00DD566D" w:rsidRDefault="00DD566D" w:rsidP="00DD566D">
      <w:pPr>
        <w:ind w:firstLine="567"/>
        <w:jc w:val="both"/>
        <w:rPr>
          <w:sz w:val="24"/>
          <w:lang w:val="uz-Latn-UZ"/>
        </w:rPr>
      </w:pPr>
    </w:p>
    <w:p w14:paraId="4A4E2859" w14:textId="77777777" w:rsidR="00DD566D" w:rsidRDefault="00DD566D" w:rsidP="00DD566D">
      <w:pPr>
        <w:ind w:firstLine="567"/>
        <w:jc w:val="both"/>
        <w:rPr>
          <w:sz w:val="24"/>
          <w:lang w:val="uz-Latn-UZ"/>
        </w:rPr>
      </w:pPr>
    </w:p>
    <w:p w14:paraId="336EB6D3" w14:textId="77777777" w:rsidR="00DD566D" w:rsidRDefault="00DD566D" w:rsidP="00DD566D">
      <w:pPr>
        <w:ind w:firstLine="567"/>
        <w:jc w:val="both"/>
        <w:rPr>
          <w:sz w:val="24"/>
          <w:lang w:val="uz-Latn-UZ"/>
        </w:rPr>
      </w:pPr>
    </w:p>
    <w:p w14:paraId="396883FC" w14:textId="77777777" w:rsidR="00DD566D" w:rsidRDefault="00DD566D" w:rsidP="00DD566D">
      <w:pPr>
        <w:ind w:firstLine="567"/>
        <w:jc w:val="both"/>
        <w:rPr>
          <w:sz w:val="24"/>
          <w:lang w:val="uz-Latn-UZ"/>
        </w:rPr>
      </w:pPr>
    </w:p>
    <w:p w14:paraId="799C3163" w14:textId="77777777" w:rsidR="00DD566D" w:rsidRDefault="00DD566D" w:rsidP="00DD566D">
      <w:pPr>
        <w:ind w:firstLine="567"/>
        <w:jc w:val="both"/>
        <w:rPr>
          <w:sz w:val="24"/>
          <w:lang w:val="uz-Latn-UZ"/>
        </w:rPr>
      </w:pPr>
    </w:p>
    <w:p w14:paraId="781F90CE" w14:textId="77777777" w:rsidR="00DD566D" w:rsidRDefault="00DD566D" w:rsidP="00DD566D">
      <w:pPr>
        <w:ind w:firstLine="567"/>
        <w:jc w:val="both"/>
        <w:rPr>
          <w:sz w:val="24"/>
          <w:lang w:val="uz-Latn-UZ"/>
        </w:rPr>
      </w:pPr>
    </w:p>
    <w:p w14:paraId="6E033A20" w14:textId="77777777" w:rsidR="00DD566D" w:rsidRDefault="00DD566D" w:rsidP="00DD566D">
      <w:pPr>
        <w:ind w:firstLine="567"/>
        <w:jc w:val="both"/>
        <w:rPr>
          <w:sz w:val="24"/>
          <w:lang w:val="uz-Latn-UZ"/>
        </w:rPr>
      </w:pPr>
    </w:p>
    <w:p w14:paraId="0CD9D13E" w14:textId="77777777" w:rsidR="00DD566D" w:rsidRDefault="00DD566D" w:rsidP="00DD566D">
      <w:pPr>
        <w:ind w:firstLine="567"/>
        <w:jc w:val="both"/>
        <w:rPr>
          <w:sz w:val="24"/>
          <w:lang w:val="uz-Latn-UZ"/>
        </w:rPr>
      </w:pPr>
    </w:p>
    <w:p w14:paraId="1B3CF57E" w14:textId="77777777" w:rsidR="00DD566D" w:rsidRDefault="00DD566D" w:rsidP="00DD566D">
      <w:pPr>
        <w:ind w:firstLine="567"/>
        <w:jc w:val="both"/>
        <w:rPr>
          <w:sz w:val="24"/>
          <w:lang w:val="uz-Latn-UZ"/>
        </w:rPr>
      </w:pPr>
    </w:p>
    <w:p w14:paraId="0CA29E92" w14:textId="77777777" w:rsidR="00DD566D" w:rsidRPr="00B62084" w:rsidRDefault="00DD566D" w:rsidP="00DD566D">
      <w:pPr>
        <w:spacing w:line="276" w:lineRule="auto"/>
        <w:jc w:val="both"/>
        <w:rPr>
          <w:rFonts w:eastAsia="Calibri" w:cs="Times New Roman"/>
          <w:bCs/>
          <w:sz w:val="24"/>
          <w:szCs w:val="24"/>
          <w:lang w:val="uz-Latn-UZ"/>
        </w:rPr>
      </w:pPr>
      <w:r>
        <w:rPr>
          <w:rFonts w:eastAsia="Calibri" w:cs="Times New Roman"/>
          <w:bCs/>
          <w:sz w:val="24"/>
          <w:szCs w:val="24"/>
          <w:lang w:val="uz-Latn-UZ"/>
        </w:rPr>
        <w:t>UDK</w:t>
      </w:r>
      <w:r w:rsidRPr="00B62084">
        <w:rPr>
          <w:rFonts w:eastAsia="Calibri" w:cs="Times New Roman"/>
          <w:bCs/>
          <w:sz w:val="24"/>
          <w:szCs w:val="24"/>
          <w:lang w:val="uz-Latn-UZ"/>
        </w:rPr>
        <w:t>: 577.17.049: 578.834.1</w:t>
      </w:r>
    </w:p>
    <w:p w14:paraId="55A9F891" w14:textId="77777777" w:rsidR="00DD566D" w:rsidRDefault="00DD566D" w:rsidP="00DD566D">
      <w:pPr>
        <w:autoSpaceDE w:val="0"/>
        <w:autoSpaceDN w:val="0"/>
        <w:adjustRightInd w:val="0"/>
        <w:spacing w:line="276" w:lineRule="auto"/>
        <w:jc w:val="both"/>
        <w:rPr>
          <w:rFonts w:eastAsia="Calibri" w:cs="Times New Roman"/>
          <w:b/>
          <w:sz w:val="24"/>
          <w:szCs w:val="24"/>
          <w:lang w:val="uz-Latn-UZ"/>
        </w:rPr>
      </w:pPr>
    </w:p>
    <w:p w14:paraId="74B1AEFC" w14:textId="77777777" w:rsidR="00DD566D" w:rsidRDefault="00DD566D" w:rsidP="00DD566D">
      <w:pPr>
        <w:pStyle w:val="1"/>
        <w:rPr>
          <w:rFonts w:eastAsia="Calibri"/>
        </w:rPr>
      </w:pPr>
      <w:bookmarkStart w:id="6" w:name="_Hlk104746770"/>
      <w:r w:rsidRPr="00D208DC">
        <w:rPr>
          <w:rFonts w:eastAsia="Calibri"/>
        </w:rPr>
        <w:t>ASSESSMENT OF SOCIO-PSYCHOLOGICAL RISK FACTORS FOR CARDIOVASCULAR DISEASES DURING THE COVID-19 PANDEMIC</w:t>
      </w:r>
      <w:bookmarkEnd w:id="6"/>
    </w:p>
    <w:p w14:paraId="5F92F15B" w14:textId="77777777" w:rsidR="00DD566D" w:rsidRDefault="00DD566D" w:rsidP="00DD566D">
      <w:pPr>
        <w:autoSpaceDE w:val="0"/>
        <w:autoSpaceDN w:val="0"/>
        <w:adjustRightInd w:val="0"/>
        <w:spacing w:line="276" w:lineRule="auto"/>
        <w:ind w:firstLine="567"/>
        <w:jc w:val="both"/>
        <w:rPr>
          <w:rFonts w:eastAsia="Calibri" w:cs="Times New Roman"/>
          <w:b/>
          <w:sz w:val="24"/>
          <w:szCs w:val="24"/>
        </w:rPr>
      </w:pPr>
    </w:p>
    <w:p w14:paraId="23421AFC" w14:textId="77777777" w:rsidR="00DD566D" w:rsidRPr="00BF5257" w:rsidRDefault="00DD566D" w:rsidP="00DD566D">
      <w:pPr>
        <w:autoSpaceDE w:val="0"/>
        <w:autoSpaceDN w:val="0"/>
        <w:adjustRightInd w:val="0"/>
        <w:spacing w:line="276" w:lineRule="auto"/>
        <w:jc w:val="center"/>
        <w:rPr>
          <w:rFonts w:eastAsia="Calibri" w:cs="Times New Roman"/>
          <w:b/>
          <w:sz w:val="24"/>
          <w:szCs w:val="24"/>
        </w:rPr>
      </w:pPr>
      <w:r w:rsidRPr="00BF5257">
        <w:rPr>
          <w:rFonts w:eastAsia="Calibri" w:cs="Times New Roman"/>
          <w:b/>
          <w:sz w:val="24"/>
          <w:szCs w:val="24"/>
        </w:rPr>
        <w:t>Abdikhamidova Kh., 2</w:t>
      </w:r>
      <w:r w:rsidRPr="00BF5257">
        <w:rPr>
          <w:rFonts w:eastAsia="Calibri" w:cs="Times New Roman"/>
          <w:b/>
          <w:sz w:val="24"/>
          <w:szCs w:val="24"/>
          <w:vertAlign w:val="superscript"/>
        </w:rPr>
        <w:t>nd</w:t>
      </w:r>
      <w:r w:rsidRPr="00BF5257">
        <w:rPr>
          <w:rFonts w:eastAsia="Calibri" w:cs="Times New Roman"/>
          <w:b/>
          <w:sz w:val="24"/>
          <w:szCs w:val="24"/>
        </w:rPr>
        <w:t>-year master student of cardiology</w:t>
      </w:r>
    </w:p>
    <w:p w14:paraId="3A11F0BE" w14:textId="77777777" w:rsidR="00DD566D" w:rsidRPr="00BF5257" w:rsidRDefault="00DD566D" w:rsidP="00DD566D">
      <w:pPr>
        <w:autoSpaceDE w:val="0"/>
        <w:autoSpaceDN w:val="0"/>
        <w:adjustRightInd w:val="0"/>
        <w:spacing w:line="276" w:lineRule="auto"/>
        <w:jc w:val="center"/>
        <w:rPr>
          <w:rFonts w:eastAsia="Calibri" w:cs="Times New Roman"/>
          <w:b/>
          <w:sz w:val="24"/>
          <w:szCs w:val="24"/>
        </w:rPr>
      </w:pPr>
      <w:r w:rsidRPr="00BF5257">
        <w:rPr>
          <w:rFonts w:eastAsia="Calibri" w:cs="Times New Roman"/>
          <w:b/>
          <w:sz w:val="24"/>
          <w:szCs w:val="24"/>
        </w:rPr>
        <w:t>Yarmukhamedova Dilfuza Zairovna, scientific supervisor, candidate of medical sciences, associate professor</w:t>
      </w:r>
    </w:p>
    <w:p w14:paraId="5D4D6F88" w14:textId="77777777" w:rsidR="00DD566D" w:rsidRPr="00BF5257" w:rsidRDefault="00DD566D" w:rsidP="00DD566D">
      <w:pPr>
        <w:autoSpaceDE w:val="0"/>
        <w:autoSpaceDN w:val="0"/>
        <w:adjustRightInd w:val="0"/>
        <w:spacing w:line="276" w:lineRule="auto"/>
        <w:jc w:val="center"/>
        <w:rPr>
          <w:rFonts w:eastAsia="Calibri" w:cs="Times New Roman"/>
          <w:bCs/>
          <w:sz w:val="24"/>
          <w:szCs w:val="24"/>
        </w:rPr>
      </w:pPr>
      <w:r w:rsidRPr="00BF5257">
        <w:rPr>
          <w:rFonts w:eastAsia="Calibri" w:cs="Times New Roman"/>
          <w:bCs/>
          <w:sz w:val="24"/>
          <w:szCs w:val="24"/>
        </w:rPr>
        <w:t>Department of Internal Diseases №1</w:t>
      </w:r>
    </w:p>
    <w:p w14:paraId="7EBC8B52" w14:textId="77777777" w:rsidR="00DD566D" w:rsidRPr="00BF5257" w:rsidRDefault="00DD566D" w:rsidP="00DD566D">
      <w:pPr>
        <w:autoSpaceDE w:val="0"/>
        <w:autoSpaceDN w:val="0"/>
        <w:adjustRightInd w:val="0"/>
        <w:spacing w:line="276" w:lineRule="auto"/>
        <w:jc w:val="center"/>
        <w:rPr>
          <w:rFonts w:eastAsia="Calibri" w:cs="Times New Roman"/>
          <w:bCs/>
          <w:sz w:val="24"/>
          <w:szCs w:val="24"/>
        </w:rPr>
      </w:pPr>
      <w:r w:rsidRPr="00BF5257">
        <w:rPr>
          <w:rFonts w:eastAsia="Calibri" w:cs="Times New Roman"/>
          <w:bCs/>
          <w:sz w:val="24"/>
          <w:szCs w:val="24"/>
        </w:rPr>
        <w:t>Tashkent medical academy, Tashkent, Uzbekistan</w:t>
      </w:r>
    </w:p>
    <w:p w14:paraId="2239BD9B" w14:textId="77777777" w:rsidR="00DD566D" w:rsidRPr="00D208DC" w:rsidRDefault="00DD566D" w:rsidP="00DD566D">
      <w:pPr>
        <w:autoSpaceDE w:val="0"/>
        <w:autoSpaceDN w:val="0"/>
        <w:adjustRightInd w:val="0"/>
        <w:spacing w:line="276" w:lineRule="auto"/>
        <w:ind w:firstLine="567"/>
        <w:jc w:val="both"/>
        <w:rPr>
          <w:rFonts w:eastAsia="Calibri" w:cs="Times New Roman"/>
          <w:b/>
          <w:bCs/>
          <w:sz w:val="24"/>
          <w:szCs w:val="24"/>
          <w:shd w:val="clear" w:color="auto" w:fill="FFFFFF"/>
        </w:rPr>
      </w:pPr>
    </w:p>
    <w:p w14:paraId="1C2B9DAE" w14:textId="77777777" w:rsidR="00DD566D" w:rsidRPr="00D208DC" w:rsidRDefault="00DD566D" w:rsidP="00DD566D">
      <w:pPr>
        <w:spacing w:line="276" w:lineRule="auto"/>
        <w:ind w:firstLine="567"/>
        <w:jc w:val="both"/>
        <w:rPr>
          <w:rFonts w:eastAsia="Calibri" w:cs="Times New Roman"/>
          <w:i/>
          <w:iCs/>
          <w:sz w:val="24"/>
          <w:szCs w:val="24"/>
        </w:rPr>
      </w:pPr>
      <w:r w:rsidRPr="00D208DC">
        <w:rPr>
          <w:rFonts w:eastAsia="Calibri" w:cs="Times New Roman"/>
          <w:i/>
          <w:iCs/>
          <w:sz w:val="24"/>
          <w:szCs w:val="24"/>
        </w:rPr>
        <w:t>Purpose: to study the psychological characteristics of COVID-19 in patients with cardiovascular diseases. Materials and research methods. The study included patients: patients with CVD, in the post-COVID period. Results. The results showed that in patients with CVD after suffering COVID-19, there is an increase in patients with subclinical and clinically significant anxiety compared with patients with previous COVID-19 without CVD. Also draws attention to the increase in the level of depression among the respondents. Thus, the level of clinically expressed depression pronounced changes in the psychophysiological status: according to the HADS scale, subclinical anxiety is determined 4.5 times more often, subclinical depression and clinical anxiety are diagnosed only in this group.</w:t>
      </w:r>
    </w:p>
    <w:p w14:paraId="504CE2CB" w14:textId="77777777" w:rsidR="00DD566D" w:rsidRPr="00D208DC" w:rsidRDefault="00DD566D" w:rsidP="00DD566D">
      <w:pPr>
        <w:spacing w:line="276" w:lineRule="auto"/>
        <w:ind w:firstLine="567"/>
        <w:jc w:val="both"/>
        <w:rPr>
          <w:rFonts w:eastAsia="Calibri" w:cs="Times New Roman"/>
          <w:i/>
          <w:iCs/>
          <w:sz w:val="24"/>
          <w:szCs w:val="24"/>
        </w:rPr>
      </w:pPr>
      <w:r w:rsidRPr="00D208DC">
        <w:rPr>
          <w:rFonts w:eastAsia="Calibri" w:cs="Times New Roman"/>
          <w:b/>
          <w:i/>
          <w:iCs/>
          <w:sz w:val="24"/>
          <w:szCs w:val="24"/>
        </w:rPr>
        <w:t>Key words:</w:t>
      </w:r>
      <w:r w:rsidRPr="00D208DC">
        <w:rPr>
          <w:rFonts w:eastAsia="Calibri" w:cs="Times New Roman"/>
          <w:i/>
          <w:iCs/>
          <w:sz w:val="24"/>
          <w:szCs w:val="24"/>
        </w:rPr>
        <w:t xml:space="preserve"> </w:t>
      </w:r>
      <w:r w:rsidRPr="00D208DC">
        <w:rPr>
          <w:rFonts w:eastAsia="Calibri" w:cs="Times New Roman"/>
          <w:i/>
          <w:iCs/>
          <w:sz w:val="24"/>
          <w:szCs w:val="24"/>
          <w:lang w:val="ru-RU"/>
        </w:rPr>
        <w:t>С</w:t>
      </w:r>
      <w:r w:rsidRPr="00D208DC">
        <w:rPr>
          <w:rFonts w:eastAsia="Calibri" w:cs="Times New Roman"/>
          <w:i/>
          <w:iCs/>
          <w:sz w:val="24"/>
          <w:szCs w:val="24"/>
        </w:rPr>
        <w:t>OVID-19, cardiovascular diseases, HADS scale, anxiety, depression.</w:t>
      </w:r>
    </w:p>
    <w:p w14:paraId="30A563A2" w14:textId="77777777" w:rsidR="00DD566D" w:rsidRPr="00F70EAD" w:rsidRDefault="00DD566D" w:rsidP="00DD566D">
      <w:pPr>
        <w:autoSpaceDE w:val="0"/>
        <w:autoSpaceDN w:val="0"/>
        <w:adjustRightInd w:val="0"/>
        <w:spacing w:line="276" w:lineRule="auto"/>
        <w:jc w:val="both"/>
        <w:rPr>
          <w:rFonts w:eastAsia="Calibri" w:cs="Times New Roman"/>
          <w:b/>
          <w:sz w:val="24"/>
          <w:szCs w:val="24"/>
        </w:rPr>
      </w:pPr>
    </w:p>
    <w:p w14:paraId="53EC082E" w14:textId="77777777" w:rsidR="00DD566D" w:rsidRPr="00B62084" w:rsidRDefault="00DD566D" w:rsidP="00DD566D">
      <w:pPr>
        <w:autoSpaceDE w:val="0"/>
        <w:autoSpaceDN w:val="0"/>
        <w:adjustRightInd w:val="0"/>
        <w:spacing w:line="276" w:lineRule="auto"/>
        <w:jc w:val="both"/>
        <w:rPr>
          <w:rFonts w:eastAsia="Calibri" w:cs="Times New Roman"/>
          <w:b/>
          <w:sz w:val="24"/>
          <w:szCs w:val="24"/>
          <w:lang w:val="uz-Latn-UZ"/>
        </w:rPr>
      </w:pPr>
    </w:p>
    <w:p w14:paraId="2102ADBF" w14:textId="77777777" w:rsidR="00DD566D" w:rsidRPr="00632F29" w:rsidRDefault="00DD566D" w:rsidP="00DD566D">
      <w:pPr>
        <w:jc w:val="center"/>
        <w:rPr>
          <w:b/>
          <w:bCs/>
          <w:sz w:val="24"/>
          <w:szCs w:val="20"/>
          <w:lang w:val="uz-Latn-UZ"/>
        </w:rPr>
      </w:pPr>
      <w:bookmarkStart w:id="7" w:name="_Toc104745752"/>
      <w:r w:rsidRPr="00632F29">
        <w:rPr>
          <w:b/>
          <w:bCs/>
          <w:sz w:val="24"/>
          <w:szCs w:val="20"/>
          <w:lang w:val="uz-Latn-UZ"/>
        </w:rPr>
        <w:t>COVID-19 PANDEMIYASI DAVRIDA YURAK QON-TOMIR KASALLIKLARI  IJTIMOIY-PSIXOLOGIK XAVF OMILLARINI BAHOLASH</w:t>
      </w:r>
      <w:bookmarkEnd w:id="7"/>
    </w:p>
    <w:p w14:paraId="7ED0347A" w14:textId="77777777" w:rsidR="00DD566D" w:rsidRPr="00B62084" w:rsidRDefault="00DD566D" w:rsidP="00DD566D">
      <w:pPr>
        <w:spacing w:line="276" w:lineRule="auto"/>
        <w:jc w:val="both"/>
        <w:rPr>
          <w:rFonts w:eastAsia="Calibri" w:cs="Times New Roman"/>
          <w:b/>
          <w:sz w:val="24"/>
          <w:szCs w:val="24"/>
          <w:lang w:val="uz-Latn-UZ"/>
        </w:rPr>
      </w:pPr>
    </w:p>
    <w:p w14:paraId="147A2016" w14:textId="77777777" w:rsidR="00DD566D" w:rsidRPr="00B62084" w:rsidRDefault="00DD566D" w:rsidP="00DD566D">
      <w:pPr>
        <w:spacing w:line="276" w:lineRule="auto"/>
        <w:jc w:val="center"/>
        <w:rPr>
          <w:rFonts w:eastAsia="Calibri" w:cs="Times New Roman"/>
          <w:b/>
          <w:sz w:val="24"/>
          <w:szCs w:val="24"/>
          <w:lang w:val="uz-Latn-UZ"/>
        </w:rPr>
      </w:pPr>
      <w:r w:rsidRPr="00B62084">
        <w:rPr>
          <w:rFonts w:eastAsia="Calibri" w:cs="Times New Roman"/>
          <w:b/>
          <w:sz w:val="24"/>
          <w:szCs w:val="24"/>
          <w:lang w:val="uz-Latn-UZ"/>
        </w:rPr>
        <w:t>Abdixamidova X., 2-kurs kardiologiya magistri</w:t>
      </w:r>
    </w:p>
    <w:p w14:paraId="2C2DB7E5" w14:textId="77777777" w:rsidR="00DD566D" w:rsidRPr="00B62084" w:rsidRDefault="00DD566D" w:rsidP="00DD566D">
      <w:pPr>
        <w:spacing w:line="276" w:lineRule="auto"/>
        <w:jc w:val="center"/>
        <w:rPr>
          <w:rFonts w:eastAsia="Calibri" w:cs="Times New Roman"/>
          <w:b/>
          <w:sz w:val="24"/>
          <w:szCs w:val="24"/>
          <w:lang w:val="uz-Latn-UZ"/>
        </w:rPr>
      </w:pPr>
      <w:r w:rsidRPr="00B62084">
        <w:rPr>
          <w:rFonts w:eastAsia="Calibri" w:cs="Times New Roman"/>
          <w:b/>
          <w:sz w:val="24"/>
          <w:szCs w:val="24"/>
          <w:lang w:val="uz-Latn-UZ"/>
        </w:rPr>
        <w:t>Yarmuxamedova Dilfuza Zairovna, t.f.n., dotsent</w:t>
      </w:r>
    </w:p>
    <w:p w14:paraId="70F4A61A" w14:textId="77777777" w:rsidR="00DD566D" w:rsidRPr="00B62084" w:rsidRDefault="00DD566D" w:rsidP="00DD566D">
      <w:pPr>
        <w:spacing w:line="276" w:lineRule="auto"/>
        <w:jc w:val="center"/>
        <w:rPr>
          <w:rFonts w:eastAsia="Calibri" w:cs="Times New Roman"/>
          <w:bCs/>
          <w:sz w:val="24"/>
          <w:szCs w:val="24"/>
          <w:lang w:val="uz-Latn-UZ"/>
        </w:rPr>
      </w:pPr>
      <w:r w:rsidRPr="00B62084">
        <w:rPr>
          <w:rFonts w:eastAsia="Calibri" w:cs="Times New Roman"/>
          <w:bCs/>
          <w:sz w:val="24"/>
          <w:szCs w:val="24"/>
          <w:lang w:val="uz-Latn-UZ"/>
        </w:rPr>
        <w:t>№1 ichki kasalliklar kafedrasi</w:t>
      </w:r>
    </w:p>
    <w:p w14:paraId="74953272" w14:textId="77777777" w:rsidR="00DD566D" w:rsidRPr="00B62084" w:rsidRDefault="00DD566D" w:rsidP="00DD566D">
      <w:pPr>
        <w:spacing w:line="276" w:lineRule="auto"/>
        <w:jc w:val="center"/>
        <w:rPr>
          <w:rFonts w:eastAsia="Calibri" w:cs="Times New Roman"/>
          <w:bCs/>
          <w:sz w:val="24"/>
          <w:szCs w:val="24"/>
          <w:lang w:val="uz-Latn-UZ"/>
        </w:rPr>
      </w:pPr>
      <w:r w:rsidRPr="00B62084">
        <w:rPr>
          <w:rFonts w:eastAsia="Calibri" w:cs="Times New Roman"/>
          <w:bCs/>
          <w:sz w:val="24"/>
          <w:szCs w:val="24"/>
          <w:lang w:val="uz-Latn-UZ"/>
        </w:rPr>
        <w:t>Toshkent tibbiyot akademiyasi, Toshkent, Oʻzbekiston</w:t>
      </w:r>
    </w:p>
    <w:p w14:paraId="1ABD3B20" w14:textId="77777777" w:rsidR="00DD566D" w:rsidRPr="00B62084" w:rsidRDefault="00DD566D" w:rsidP="00DD566D">
      <w:pPr>
        <w:spacing w:line="276" w:lineRule="auto"/>
        <w:jc w:val="both"/>
        <w:rPr>
          <w:rFonts w:eastAsia="Calibri" w:cs="Times New Roman"/>
          <w:b/>
          <w:sz w:val="24"/>
          <w:szCs w:val="24"/>
          <w:lang w:val="uz-Latn-UZ"/>
        </w:rPr>
      </w:pPr>
    </w:p>
    <w:p w14:paraId="6891E9E7" w14:textId="77777777" w:rsidR="00DD566D" w:rsidRPr="00B62084" w:rsidRDefault="00DD566D" w:rsidP="00DD566D">
      <w:pPr>
        <w:spacing w:line="276" w:lineRule="auto"/>
        <w:ind w:firstLine="567"/>
        <w:jc w:val="both"/>
        <w:rPr>
          <w:rFonts w:eastAsia="Calibri" w:cs="Times New Roman"/>
          <w:i/>
          <w:iCs/>
          <w:sz w:val="24"/>
          <w:szCs w:val="24"/>
          <w:lang w:val="uz-Latn-UZ"/>
        </w:rPr>
      </w:pPr>
      <w:r w:rsidRPr="00B62084">
        <w:rPr>
          <w:rFonts w:eastAsia="Calibri" w:cs="Times New Roman"/>
          <w:b/>
          <w:bCs/>
          <w:i/>
          <w:iCs/>
          <w:sz w:val="24"/>
          <w:szCs w:val="24"/>
          <w:lang w:val="uz-Latn-UZ"/>
        </w:rPr>
        <w:t>Maqsad:</w:t>
      </w:r>
      <w:r w:rsidRPr="00B62084">
        <w:rPr>
          <w:rFonts w:eastAsia="Calibri" w:cs="Times New Roman"/>
          <w:i/>
          <w:iCs/>
          <w:sz w:val="24"/>
          <w:szCs w:val="24"/>
          <w:lang w:val="uz-Latn-UZ"/>
        </w:rPr>
        <w:t xml:space="preserve"> yurak-qon tomir kasalliklari (YQTK) bilan og'rigan bemorlarda COVID-19 ning psixologik xususiyatlarini o'rganish. Materiallar va tadqiqot usullari. Tadqiqot bemorlarni o'z ichiga oldi: COVID-19 dan keyingi davrda yurak-qon tomir kasalliklari bilan og'rigan bemorlar. Natijalar shuni ko'rsatdiki, COVID-19 bilan og'rigandan keyin yurak-qon tomir kasalliklari bilan og'rigan bemorlarda subklinik va klinik jihatdan ahamiyatli xavotirlanish beigilari YQTK bo'lmagan bemorlarga nisbatan solishtirganda ko'paydi. Shuningdek, respondentlar orasida depressiya </w:t>
      </w:r>
      <w:r w:rsidRPr="00B62084">
        <w:rPr>
          <w:rFonts w:eastAsia="Calibri" w:cs="Times New Roman"/>
          <w:i/>
          <w:iCs/>
          <w:sz w:val="24"/>
          <w:szCs w:val="24"/>
          <w:lang w:val="uz-Latn-UZ"/>
        </w:rPr>
        <w:lastRenderedPageBreak/>
        <w:t>darajasining oshishiga e'tibor qaratildi. Shunday qilib, klinik jihatdan ifodalangan depressiya darajasi 2 martadan ko'proq oshdi. YQTK bilan og'rigan bemorlarda psixofiziologik holatdagi o'zgarishlar yanada aniqroq bo'ldi: HADS shkalasiga ko'ra, subklinik xavotirlanish 4,5 baravar ko'proq aniqlandi, subklinik depressiya va klinik xavotirlanish faqat ushbu guruhda aniqlandi.</w:t>
      </w:r>
    </w:p>
    <w:p w14:paraId="40C7345C" w14:textId="77777777" w:rsidR="00DD566D" w:rsidRPr="00D208DC" w:rsidRDefault="00DD566D" w:rsidP="00DD566D">
      <w:pPr>
        <w:spacing w:line="276" w:lineRule="auto"/>
        <w:ind w:firstLine="567"/>
        <w:jc w:val="both"/>
        <w:rPr>
          <w:rFonts w:eastAsia="Calibri" w:cs="Times New Roman"/>
          <w:i/>
          <w:iCs/>
          <w:sz w:val="24"/>
          <w:szCs w:val="24"/>
          <w:lang w:val="uz-Latn-UZ"/>
        </w:rPr>
      </w:pPr>
      <w:r w:rsidRPr="00B62084">
        <w:rPr>
          <w:rFonts w:eastAsia="Calibri" w:cs="Times New Roman"/>
          <w:b/>
          <w:i/>
          <w:iCs/>
          <w:sz w:val="24"/>
          <w:szCs w:val="24"/>
          <w:lang w:val="uz-Latn-UZ"/>
        </w:rPr>
        <w:t>Kalit so'zlar:</w:t>
      </w:r>
      <w:r w:rsidRPr="00B62084">
        <w:rPr>
          <w:rFonts w:eastAsia="Calibri" w:cs="Times New Roman"/>
          <w:i/>
          <w:iCs/>
          <w:sz w:val="24"/>
          <w:szCs w:val="24"/>
          <w:lang w:val="uz-Latn-UZ"/>
        </w:rPr>
        <w:t xml:space="preserve"> COVID-19,</w:t>
      </w:r>
      <w:r w:rsidRPr="00B62084">
        <w:rPr>
          <w:rFonts w:eastAsia="Calibri" w:cs="Times New Roman"/>
          <w:b/>
          <w:i/>
          <w:iCs/>
          <w:sz w:val="24"/>
          <w:szCs w:val="24"/>
          <w:lang w:val="uz-Latn-UZ"/>
        </w:rPr>
        <w:t xml:space="preserve"> </w:t>
      </w:r>
      <w:r w:rsidRPr="00B62084">
        <w:rPr>
          <w:rFonts w:eastAsia="Calibri" w:cs="Times New Roman"/>
          <w:i/>
          <w:iCs/>
          <w:sz w:val="24"/>
          <w:szCs w:val="24"/>
          <w:lang w:val="uz-Latn-UZ"/>
        </w:rPr>
        <w:t xml:space="preserve">yurak-qon tomir kasalliklari, HADS shkalasi, </w:t>
      </w:r>
      <w:r w:rsidRPr="00D208DC">
        <w:rPr>
          <w:rFonts w:eastAsia="Calibri" w:cs="Times New Roman"/>
          <w:i/>
          <w:iCs/>
          <w:sz w:val="24"/>
          <w:szCs w:val="24"/>
          <w:lang w:val="uz-Latn-UZ"/>
        </w:rPr>
        <w:t>havotirlanish, depressiya.</w:t>
      </w:r>
    </w:p>
    <w:p w14:paraId="35308769" w14:textId="77777777" w:rsidR="00DD566D" w:rsidRPr="00B62084" w:rsidRDefault="00DD566D" w:rsidP="00DD566D">
      <w:pPr>
        <w:spacing w:line="276" w:lineRule="auto"/>
        <w:jc w:val="both"/>
        <w:rPr>
          <w:rFonts w:eastAsia="Calibri" w:cs="Times New Roman"/>
          <w:b/>
          <w:sz w:val="24"/>
          <w:szCs w:val="24"/>
          <w:lang w:val="uz-Latn-UZ"/>
        </w:rPr>
      </w:pPr>
    </w:p>
    <w:p w14:paraId="21C7A6C1" w14:textId="77777777" w:rsidR="00DD566D" w:rsidRPr="00B62084" w:rsidRDefault="00DD566D" w:rsidP="00DD566D">
      <w:pPr>
        <w:spacing w:line="276" w:lineRule="auto"/>
        <w:jc w:val="both"/>
        <w:rPr>
          <w:rFonts w:eastAsia="Calibri" w:cs="Times New Roman"/>
          <w:b/>
          <w:sz w:val="24"/>
          <w:szCs w:val="24"/>
          <w:lang w:val="uz-Latn-UZ"/>
        </w:rPr>
      </w:pPr>
    </w:p>
    <w:p w14:paraId="03550B44" w14:textId="77777777" w:rsidR="00DD566D" w:rsidRDefault="00DD566D" w:rsidP="00DD566D">
      <w:pPr>
        <w:spacing w:line="276" w:lineRule="auto"/>
        <w:jc w:val="center"/>
        <w:rPr>
          <w:rFonts w:eastAsia="Calibri" w:cs="Times New Roman"/>
          <w:b/>
          <w:sz w:val="24"/>
          <w:szCs w:val="24"/>
          <w:lang w:val="ru-RU"/>
        </w:rPr>
      </w:pPr>
      <w:r w:rsidRPr="00D208DC">
        <w:rPr>
          <w:rFonts w:eastAsia="Calibri" w:cs="Times New Roman"/>
          <w:b/>
          <w:sz w:val="24"/>
          <w:szCs w:val="24"/>
          <w:lang w:val="ru-RU"/>
        </w:rPr>
        <w:t>ОЦЕНКА СОЦИАЛЬНО-ПСИХОЛОГИЧЕСКИХ ФАКТОРОВ РИСКА СЕРДЕЧНО-СОСУДИСТЫХ ЗАБОЛЕВАНИЙ В ПЕРИОД ПАНДЕМИИ COVID-19</w:t>
      </w:r>
    </w:p>
    <w:p w14:paraId="709DD850" w14:textId="77777777" w:rsidR="00DD566D" w:rsidRDefault="00DD566D" w:rsidP="00DD566D">
      <w:pPr>
        <w:spacing w:line="276" w:lineRule="auto"/>
        <w:jc w:val="both"/>
        <w:rPr>
          <w:rFonts w:eastAsia="Calibri" w:cs="Times New Roman"/>
          <w:b/>
          <w:sz w:val="24"/>
          <w:szCs w:val="24"/>
          <w:lang w:val="ru-RU"/>
        </w:rPr>
      </w:pPr>
    </w:p>
    <w:p w14:paraId="72806022" w14:textId="77777777" w:rsidR="00DD566D" w:rsidRPr="00D95B20" w:rsidRDefault="00DD566D" w:rsidP="00DD566D">
      <w:pPr>
        <w:spacing w:line="276" w:lineRule="auto"/>
        <w:jc w:val="center"/>
        <w:rPr>
          <w:rFonts w:eastAsia="Calibri" w:cs="Times New Roman"/>
          <w:b/>
          <w:sz w:val="24"/>
          <w:szCs w:val="24"/>
          <w:lang w:val="ru-RU"/>
        </w:rPr>
      </w:pPr>
      <w:r w:rsidRPr="00D95B20">
        <w:rPr>
          <w:rFonts w:eastAsia="Calibri" w:cs="Times New Roman"/>
          <w:b/>
          <w:sz w:val="24"/>
          <w:szCs w:val="24"/>
          <w:lang w:val="ru-RU"/>
        </w:rPr>
        <w:t>Абдихамидова Х.</w:t>
      </w:r>
      <w:r>
        <w:rPr>
          <w:rFonts w:eastAsia="Calibri" w:cs="Times New Roman"/>
          <w:b/>
          <w:sz w:val="24"/>
          <w:szCs w:val="24"/>
          <w:lang w:val="ru-RU"/>
        </w:rPr>
        <w:t>,</w:t>
      </w:r>
      <w:r w:rsidRPr="00D95B20">
        <w:rPr>
          <w:rFonts w:eastAsia="Calibri" w:cs="Times New Roman"/>
          <w:b/>
          <w:sz w:val="24"/>
          <w:szCs w:val="24"/>
          <w:lang w:val="ru-RU"/>
        </w:rPr>
        <w:t xml:space="preserve"> магистр 2-курса по кардиологии</w:t>
      </w:r>
    </w:p>
    <w:p w14:paraId="41F4FED9" w14:textId="77777777" w:rsidR="00DD566D" w:rsidRDefault="00DD566D" w:rsidP="00DD566D">
      <w:pPr>
        <w:spacing w:line="276" w:lineRule="auto"/>
        <w:jc w:val="center"/>
        <w:rPr>
          <w:rFonts w:eastAsia="Calibri" w:cs="Times New Roman"/>
          <w:b/>
          <w:sz w:val="24"/>
          <w:szCs w:val="24"/>
          <w:lang w:val="ru-RU"/>
        </w:rPr>
      </w:pPr>
      <w:r w:rsidRPr="00D95B20">
        <w:rPr>
          <w:rFonts w:eastAsia="Calibri" w:cs="Times New Roman"/>
          <w:b/>
          <w:sz w:val="24"/>
          <w:szCs w:val="24"/>
          <w:lang w:val="ru-RU"/>
        </w:rPr>
        <w:t>Ярмухамедова Дилфуза Заировна – к.м.н., доцент</w:t>
      </w:r>
    </w:p>
    <w:p w14:paraId="6EE1A677" w14:textId="77777777" w:rsidR="00DD566D" w:rsidRPr="00D95B20" w:rsidRDefault="00DD566D" w:rsidP="00DD566D">
      <w:pPr>
        <w:spacing w:line="276" w:lineRule="auto"/>
        <w:jc w:val="center"/>
        <w:rPr>
          <w:rFonts w:eastAsia="Calibri" w:cs="Times New Roman"/>
          <w:bCs/>
          <w:sz w:val="24"/>
          <w:szCs w:val="24"/>
          <w:lang w:val="ru-RU"/>
        </w:rPr>
      </w:pPr>
      <w:r w:rsidRPr="00D95B20">
        <w:rPr>
          <w:rFonts w:eastAsia="Calibri" w:cs="Times New Roman"/>
          <w:bCs/>
          <w:sz w:val="24"/>
          <w:szCs w:val="24"/>
          <w:lang w:val="ru-RU"/>
        </w:rPr>
        <w:t>Кафедра внутренних болезней №1</w:t>
      </w:r>
    </w:p>
    <w:p w14:paraId="61BC290D" w14:textId="77777777" w:rsidR="00DD566D" w:rsidRPr="00D95B20" w:rsidRDefault="00DD566D" w:rsidP="00DD566D">
      <w:pPr>
        <w:spacing w:line="276" w:lineRule="auto"/>
        <w:jc w:val="center"/>
        <w:rPr>
          <w:rFonts w:eastAsia="Calibri" w:cs="Times New Roman"/>
          <w:bCs/>
          <w:sz w:val="24"/>
          <w:szCs w:val="24"/>
          <w:lang w:val="ru-RU"/>
        </w:rPr>
      </w:pPr>
      <w:r w:rsidRPr="00D95B20">
        <w:rPr>
          <w:rFonts w:eastAsia="Calibri" w:cs="Times New Roman"/>
          <w:bCs/>
          <w:sz w:val="24"/>
          <w:szCs w:val="24"/>
          <w:lang w:val="ru-RU"/>
        </w:rPr>
        <w:t>Ташкентская медицинская академия, Ташкент, Узбекистан</w:t>
      </w:r>
    </w:p>
    <w:p w14:paraId="0A7FC173" w14:textId="77777777" w:rsidR="00DD566D" w:rsidRPr="00D208DC" w:rsidRDefault="00DD566D" w:rsidP="00DD566D">
      <w:pPr>
        <w:spacing w:line="276" w:lineRule="auto"/>
        <w:jc w:val="both"/>
        <w:rPr>
          <w:rFonts w:eastAsia="Calibri" w:cs="Times New Roman"/>
          <w:b/>
          <w:sz w:val="24"/>
          <w:szCs w:val="24"/>
          <w:lang w:val="ru-RU"/>
        </w:rPr>
      </w:pPr>
    </w:p>
    <w:p w14:paraId="622D1791" w14:textId="77777777" w:rsidR="00DD566D" w:rsidRPr="00D208DC" w:rsidRDefault="00DD566D" w:rsidP="00DD566D">
      <w:pPr>
        <w:spacing w:line="276" w:lineRule="auto"/>
        <w:ind w:firstLine="567"/>
        <w:jc w:val="both"/>
        <w:rPr>
          <w:rFonts w:eastAsia="Calibri" w:cs="Times New Roman"/>
          <w:i/>
          <w:iCs/>
          <w:sz w:val="24"/>
          <w:szCs w:val="24"/>
          <w:lang w:val="ru-RU"/>
        </w:rPr>
      </w:pPr>
      <w:r w:rsidRPr="00D208DC">
        <w:rPr>
          <w:rFonts w:eastAsia="Calibri" w:cs="Times New Roman"/>
          <w:b/>
          <w:bCs/>
          <w:i/>
          <w:iCs/>
          <w:sz w:val="24"/>
          <w:szCs w:val="24"/>
          <w:lang w:val="ru-RU"/>
        </w:rPr>
        <w:t>Цель</w:t>
      </w:r>
      <w:r w:rsidRPr="00D208DC">
        <w:rPr>
          <w:rFonts w:eastAsia="Calibri" w:cs="Times New Roman"/>
          <w:i/>
          <w:iCs/>
          <w:sz w:val="24"/>
          <w:szCs w:val="24"/>
          <w:lang w:val="ru-RU"/>
        </w:rPr>
        <w:t>: изучить психологические особенности СOVID-19 у пациентов с сердечно-сосудистыми заболеваниями.</w:t>
      </w:r>
      <w:r w:rsidRPr="00D208DC">
        <w:rPr>
          <w:rFonts w:eastAsia="Calibri" w:cs="Times New Roman"/>
          <w:i/>
          <w:iCs/>
          <w:sz w:val="24"/>
          <w:szCs w:val="24"/>
          <w:lang w:val="uz-Cyrl-UZ"/>
        </w:rPr>
        <w:t xml:space="preserve"> </w:t>
      </w:r>
      <w:r w:rsidRPr="00D208DC">
        <w:rPr>
          <w:rFonts w:eastAsia="Calibri" w:cs="Times New Roman"/>
          <w:i/>
          <w:iCs/>
          <w:sz w:val="24"/>
          <w:szCs w:val="24"/>
          <w:lang w:val="ru-RU"/>
        </w:rPr>
        <w:t xml:space="preserve">Материалы и методы исследования. В исследование включались пациенты: пациенты с ССЗ, в постковидном периоде. Результаты. Результаты показали, что у пациентов c ССЗ после перенесенной СOVID-19 наблюдается рост пациентов с субклинически </w:t>
      </w:r>
      <w:r w:rsidRPr="00BF5257">
        <w:rPr>
          <w:rFonts w:eastAsia="Calibri" w:cs="Times New Roman"/>
          <w:i/>
          <w:iCs/>
          <w:sz w:val="24"/>
          <w:szCs w:val="24"/>
          <w:lang w:val="ru-RU"/>
        </w:rPr>
        <w:t>и клинически</w:t>
      </w:r>
      <w:r w:rsidRPr="00D208DC">
        <w:rPr>
          <w:rFonts w:eastAsia="Calibri" w:cs="Times New Roman"/>
          <w:i/>
          <w:iCs/>
          <w:sz w:val="24"/>
          <w:szCs w:val="24"/>
          <w:lang w:val="ru-RU"/>
        </w:rPr>
        <w:t xml:space="preserve"> выраженной тревогой по сравнению пациентами перенесенной   СOVID-19 без ССЗ. Также обращает внимание рост уровня депрессии среди респондентов. Так, уровень клинически выраженной депрессии вырос более, чем в 2 раза. </w:t>
      </w:r>
    </w:p>
    <w:p w14:paraId="76EDF7C1" w14:textId="77777777" w:rsidR="00DD566D" w:rsidRPr="00D208DC" w:rsidRDefault="00DD566D" w:rsidP="00DD566D">
      <w:pPr>
        <w:spacing w:line="276" w:lineRule="auto"/>
        <w:ind w:firstLine="567"/>
        <w:jc w:val="both"/>
        <w:rPr>
          <w:rFonts w:eastAsia="Calibri" w:cs="Times New Roman"/>
          <w:i/>
          <w:iCs/>
          <w:sz w:val="24"/>
          <w:szCs w:val="24"/>
          <w:lang w:val="ru-RU"/>
        </w:rPr>
      </w:pPr>
      <w:r w:rsidRPr="00D208DC">
        <w:rPr>
          <w:rFonts w:eastAsia="Calibri" w:cs="Times New Roman"/>
          <w:b/>
          <w:bCs/>
          <w:i/>
          <w:iCs/>
          <w:sz w:val="24"/>
          <w:szCs w:val="24"/>
          <w:lang w:val="ru-RU"/>
        </w:rPr>
        <w:t>Заключение</w:t>
      </w:r>
      <w:r w:rsidRPr="00D208DC">
        <w:rPr>
          <w:rFonts w:eastAsia="Calibri" w:cs="Times New Roman"/>
          <w:i/>
          <w:iCs/>
          <w:sz w:val="24"/>
          <w:szCs w:val="24"/>
          <w:lang w:val="ru-RU"/>
        </w:rPr>
        <w:t xml:space="preserve">. У лиц с ССЗ имеются более выраженные изменения психофизиологического статуса: по шкале HADS субклиническая тревога определяется в 4,5 раза чаще, субклиническая депрессия и клиническая тревога диагностируются только в этой группе. </w:t>
      </w:r>
    </w:p>
    <w:p w14:paraId="22469E67" w14:textId="77777777" w:rsidR="00DD566D" w:rsidRPr="00D208DC" w:rsidRDefault="00DD566D" w:rsidP="00DD566D">
      <w:pPr>
        <w:spacing w:line="276" w:lineRule="auto"/>
        <w:ind w:firstLine="567"/>
        <w:jc w:val="both"/>
        <w:rPr>
          <w:rFonts w:eastAsia="Calibri" w:cs="Times New Roman"/>
          <w:i/>
          <w:iCs/>
          <w:sz w:val="24"/>
          <w:szCs w:val="24"/>
          <w:lang w:val="ru-RU"/>
        </w:rPr>
      </w:pPr>
      <w:r w:rsidRPr="00D208DC">
        <w:rPr>
          <w:rFonts w:eastAsia="Calibri" w:cs="Times New Roman"/>
          <w:b/>
          <w:i/>
          <w:iCs/>
          <w:sz w:val="24"/>
          <w:szCs w:val="24"/>
          <w:lang w:val="ru-RU"/>
        </w:rPr>
        <w:t>Ключевые слова</w:t>
      </w:r>
      <w:r w:rsidRPr="00D208DC">
        <w:rPr>
          <w:rFonts w:eastAsia="Calibri" w:cs="Times New Roman"/>
          <w:b/>
          <w:i/>
          <w:iCs/>
          <w:sz w:val="24"/>
          <w:szCs w:val="24"/>
          <w:lang w:val="uz-Cyrl-UZ"/>
        </w:rPr>
        <w:t>:</w:t>
      </w:r>
      <w:r w:rsidRPr="00D208DC">
        <w:rPr>
          <w:rFonts w:eastAsia="Calibri" w:cs="Times New Roman"/>
          <w:i/>
          <w:iCs/>
          <w:sz w:val="24"/>
          <w:szCs w:val="24"/>
          <w:lang w:val="uz-Cyrl-UZ"/>
        </w:rPr>
        <w:t xml:space="preserve"> </w:t>
      </w:r>
      <w:r w:rsidRPr="00D208DC">
        <w:rPr>
          <w:rFonts w:eastAsia="Calibri" w:cs="Times New Roman"/>
          <w:i/>
          <w:iCs/>
          <w:sz w:val="24"/>
          <w:szCs w:val="24"/>
          <w:lang w:val="ru-RU"/>
        </w:rPr>
        <w:t>СOVID-19</w:t>
      </w:r>
      <w:r w:rsidRPr="00D208DC">
        <w:rPr>
          <w:rFonts w:eastAsia="Calibri" w:cs="Times New Roman"/>
          <w:i/>
          <w:iCs/>
          <w:sz w:val="24"/>
          <w:szCs w:val="24"/>
          <w:lang w:val="uz-Cyrl-UZ"/>
        </w:rPr>
        <w:t>, сердесно-сосудист</w:t>
      </w:r>
      <w:r w:rsidRPr="00D208DC">
        <w:rPr>
          <w:rFonts w:eastAsia="Calibri" w:cs="Times New Roman"/>
          <w:i/>
          <w:iCs/>
          <w:sz w:val="24"/>
          <w:szCs w:val="24"/>
          <w:lang w:val="ru-RU"/>
        </w:rPr>
        <w:t>ы</w:t>
      </w:r>
      <w:r w:rsidRPr="00D208DC">
        <w:rPr>
          <w:rFonts w:eastAsia="Calibri" w:cs="Times New Roman"/>
          <w:i/>
          <w:iCs/>
          <w:sz w:val="24"/>
          <w:szCs w:val="24"/>
          <w:lang w:val="uz-Cyrl-UZ"/>
        </w:rPr>
        <w:t xml:space="preserve">е заболевания, шкала </w:t>
      </w:r>
      <w:r w:rsidRPr="00D208DC">
        <w:rPr>
          <w:rFonts w:eastAsia="Calibri" w:cs="Times New Roman"/>
          <w:i/>
          <w:iCs/>
          <w:sz w:val="24"/>
          <w:szCs w:val="24"/>
          <w:lang w:val="ru-RU"/>
        </w:rPr>
        <w:t>HADS, тревога, депрессия</w:t>
      </w:r>
    </w:p>
    <w:p w14:paraId="0A378F7E" w14:textId="77777777" w:rsidR="00DD566D" w:rsidRPr="00D27CEF" w:rsidRDefault="00DD566D" w:rsidP="00DD566D">
      <w:pPr>
        <w:spacing w:line="276" w:lineRule="auto"/>
        <w:ind w:firstLine="567"/>
        <w:jc w:val="both"/>
        <w:rPr>
          <w:rFonts w:eastAsia="Calibri" w:cs="Times New Roman"/>
          <w:b/>
          <w:sz w:val="24"/>
          <w:szCs w:val="24"/>
          <w:lang w:val="ru-RU"/>
        </w:rPr>
      </w:pPr>
    </w:p>
    <w:p w14:paraId="10887F7C" w14:textId="77777777" w:rsidR="00DD566D" w:rsidRPr="00D27CEF" w:rsidRDefault="00DD566D" w:rsidP="00DD566D">
      <w:pPr>
        <w:autoSpaceDE w:val="0"/>
        <w:autoSpaceDN w:val="0"/>
        <w:adjustRightInd w:val="0"/>
        <w:spacing w:line="276" w:lineRule="auto"/>
        <w:ind w:firstLine="567"/>
        <w:jc w:val="both"/>
        <w:rPr>
          <w:rFonts w:eastAsia="Times New Roman" w:cs="Times New Roman"/>
          <w:b/>
          <w:sz w:val="24"/>
          <w:szCs w:val="24"/>
          <w:lang w:val="ru-RU" w:eastAsia="ru-RU"/>
        </w:rPr>
        <w:sectPr w:rsidR="00DD566D" w:rsidRPr="00D27CEF" w:rsidSect="00995DC2">
          <w:type w:val="continuous"/>
          <w:pgSz w:w="11907" w:h="16840" w:code="9"/>
          <w:pgMar w:top="1418" w:right="1134" w:bottom="1134" w:left="1134" w:header="907" w:footer="794" w:gutter="0"/>
          <w:cols w:space="708"/>
          <w:docGrid w:linePitch="381"/>
        </w:sectPr>
      </w:pPr>
    </w:p>
    <w:p w14:paraId="5F8F800D" w14:textId="77777777" w:rsidR="00DD566D" w:rsidRPr="00D208DC" w:rsidRDefault="00DD566D" w:rsidP="00DD566D">
      <w:pPr>
        <w:autoSpaceDE w:val="0"/>
        <w:autoSpaceDN w:val="0"/>
        <w:adjustRightInd w:val="0"/>
        <w:spacing w:line="276" w:lineRule="auto"/>
        <w:ind w:firstLine="567"/>
        <w:jc w:val="both"/>
        <w:rPr>
          <w:rFonts w:eastAsia="Calibri" w:cs="Times New Roman"/>
          <w:sz w:val="24"/>
          <w:szCs w:val="24"/>
        </w:rPr>
      </w:pPr>
      <w:r w:rsidRPr="00D208DC">
        <w:rPr>
          <w:rFonts w:eastAsia="Times New Roman" w:cs="Times New Roman"/>
          <w:b/>
          <w:sz w:val="24"/>
          <w:szCs w:val="24"/>
          <w:lang w:eastAsia="ru-RU"/>
        </w:rPr>
        <w:t>Relevance.</w:t>
      </w:r>
      <w:r w:rsidRPr="00D208DC">
        <w:rPr>
          <w:rFonts w:eastAsia="Calibri" w:cs="Times New Roman"/>
          <w:sz w:val="24"/>
          <w:szCs w:val="24"/>
        </w:rPr>
        <w:t xml:space="preserve"> The pandemic of corona</w:t>
      </w:r>
      <w:r>
        <w:rPr>
          <w:rFonts w:eastAsia="Calibri" w:cs="Times New Roman"/>
          <w:sz w:val="24"/>
          <w:szCs w:val="24"/>
        </w:rPr>
        <w:softHyphen/>
      </w:r>
      <w:r w:rsidRPr="00D208DC">
        <w:rPr>
          <w:rFonts w:eastAsia="Calibri" w:cs="Times New Roman"/>
          <w:sz w:val="24"/>
          <w:szCs w:val="24"/>
        </w:rPr>
        <w:t>virus infection (COVID-19) caused by the new SARSCoV-2 virus has caused concern around the world health system.  As a result of COVID-19, the respiratory system is most af</w:t>
      </w:r>
      <w:r>
        <w:rPr>
          <w:rFonts w:eastAsia="Calibri" w:cs="Times New Roman"/>
          <w:sz w:val="24"/>
          <w:szCs w:val="24"/>
        </w:rPr>
        <w:softHyphen/>
      </w:r>
      <w:r w:rsidRPr="00D208DC">
        <w:rPr>
          <w:rFonts w:eastAsia="Calibri" w:cs="Times New Roman"/>
          <w:sz w:val="24"/>
          <w:szCs w:val="24"/>
        </w:rPr>
        <w:t>fected.  However, this disease is characterized by high levels of inflammation and thrombotic complications leading to polyorgan damage.  When treating patients with COVID-19, it is necessary not only to treat urticaria and respir</w:t>
      </w:r>
      <w:r>
        <w:rPr>
          <w:rFonts w:eastAsia="Calibri" w:cs="Times New Roman"/>
          <w:sz w:val="24"/>
          <w:szCs w:val="24"/>
        </w:rPr>
        <w:softHyphen/>
      </w:r>
      <w:r w:rsidRPr="00D208DC">
        <w:rPr>
          <w:rFonts w:eastAsia="Calibri" w:cs="Times New Roman"/>
          <w:sz w:val="24"/>
          <w:szCs w:val="24"/>
        </w:rPr>
        <w:t>atory failure, but also to identify in a timely manner the damage to other target organs.  An analysis of risk factors associated with severe COVID-19 progression and poor prognosis re</w:t>
      </w:r>
      <w:r>
        <w:rPr>
          <w:rFonts w:eastAsia="Calibri" w:cs="Times New Roman"/>
          <w:sz w:val="24"/>
          <w:szCs w:val="24"/>
        </w:rPr>
        <w:softHyphen/>
      </w:r>
      <w:r w:rsidRPr="00D208DC">
        <w:rPr>
          <w:rFonts w:eastAsia="Calibri" w:cs="Times New Roman"/>
          <w:sz w:val="24"/>
          <w:szCs w:val="24"/>
        </w:rPr>
        <w:t xml:space="preserve">vealed the importance of comorbid pathology.  </w:t>
      </w:r>
      <w:r w:rsidRPr="00D208DC">
        <w:rPr>
          <w:rFonts w:eastAsia="Calibri" w:cs="Times New Roman"/>
          <w:sz w:val="24"/>
          <w:szCs w:val="24"/>
        </w:rPr>
        <w:t>Cardiovascular disease (CVD), arterial hyper</w:t>
      </w:r>
      <w:r>
        <w:rPr>
          <w:rFonts w:eastAsia="Calibri" w:cs="Times New Roman"/>
          <w:sz w:val="24"/>
          <w:szCs w:val="24"/>
        </w:rPr>
        <w:softHyphen/>
      </w:r>
      <w:r w:rsidRPr="00D208DC">
        <w:rPr>
          <w:rFonts w:eastAsia="Calibri" w:cs="Times New Roman"/>
          <w:sz w:val="24"/>
          <w:szCs w:val="24"/>
        </w:rPr>
        <w:t>tension (AH), coronary heart disease (CHD), chronic heart failure (CHF), ventricular fibril</w:t>
      </w:r>
      <w:r>
        <w:rPr>
          <w:rFonts w:eastAsia="Calibri" w:cs="Times New Roman"/>
          <w:sz w:val="24"/>
          <w:szCs w:val="24"/>
        </w:rPr>
        <w:softHyphen/>
      </w:r>
      <w:r w:rsidRPr="00D208DC">
        <w:rPr>
          <w:rFonts w:eastAsia="Calibri" w:cs="Times New Roman"/>
          <w:sz w:val="24"/>
          <w:szCs w:val="24"/>
        </w:rPr>
        <w:t>lation (VF), diabetes mellitus (DD), and chronic obstructive pulmonary disease are the leading causes of poor prognosis (COPD), chronic inflammatory bowel disease (CIBD), liver disease are included.  Anxiety and its symptoms are associated with stress and have an objective or subjective effect on human life.  In the context of the COVID-19 pandemic, the problem of anxiety is significant because: 1) the risk of infection and severity is high in the risk group (patients with chronic diseases) and causes stress in patients with persistent anxi</w:t>
      </w:r>
      <w:r>
        <w:rPr>
          <w:rFonts w:eastAsia="Calibri" w:cs="Times New Roman"/>
          <w:sz w:val="24"/>
          <w:szCs w:val="24"/>
        </w:rPr>
        <w:softHyphen/>
      </w:r>
      <w:r w:rsidRPr="00D208DC">
        <w:rPr>
          <w:rFonts w:eastAsia="Calibri" w:cs="Times New Roman"/>
          <w:sz w:val="24"/>
          <w:szCs w:val="24"/>
        </w:rPr>
        <w:lastRenderedPageBreak/>
        <w:t>ety;  2) the need for isolation, sudden changes in the usual way of life, the risk of deterioration of the economic situation, a sudden decrease in physical activity and insolations are additional sources of stress;  3) the presence of a chronic stress state adversely affects the function of the immune system and worsens the course of chronic diseases, which are risk factors for se</w:t>
      </w:r>
      <w:r>
        <w:rPr>
          <w:rFonts w:eastAsia="Calibri" w:cs="Times New Roman"/>
          <w:sz w:val="24"/>
          <w:szCs w:val="24"/>
        </w:rPr>
        <w:softHyphen/>
      </w:r>
      <w:r w:rsidRPr="00D208DC">
        <w:rPr>
          <w:rFonts w:eastAsia="Calibri" w:cs="Times New Roman"/>
          <w:sz w:val="24"/>
          <w:szCs w:val="24"/>
        </w:rPr>
        <w:t>vere COVID-19.  Studies in 2020 showed a negative impact of isolation on human psy</w:t>
      </w:r>
      <w:r>
        <w:rPr>
          <w:rFonts w:eastAsia="Calibri" w:cs="Times New Roman"/>
          <w:sz w:val="24"/>
          <w:szCs w:val="24"/>
        </w:rPr>
        <w:softHyphen/>
      </w:r>
      <w:r w:rsidRPr="00D208DC">
        <w:rPr>
          <w:rFonts w:eastAsia="Calibri" w:cs="Times New Roman"/>
          <w:sz w:val="24"/>
          <w:szCs w:val="24"/>
        </w:rPr>
        <w:t>chology, especially in patients with high anxi</w:t>
      </w:r>
      <w:r>
        <w:rPr>
          <w:rFonts w:eastAsia="Calibri" w:cs="Times New Roman"/>
          <w:sz w:val="24"/>
          <w:szCs w:val="24"/>
        </w:rPr>
        <w:softHyphen/>
      </w:r>
      <w:r w:rsidRPr="00D208DC">
        <w:rPr>
          <w:rFonts w:eastAsia="Calibri" w:cs="Times New Roman"/>
          <w:sz w:val="24"/>
          <w:szCs w:val="24"/>
        </w:rPr>
        <w:t>ety against the background of mental illness [1,2, 10].  However, the dynamics of the men</w:t>
      </w:r>
      <w:r>
        <w:rPr>
          <w:rFonts w:eastAsia="Calibri" w:cs="Times New Roman"/>
          <w:sz w:val="24"/>
          <w:szCs w:val="24"/>
        </w:rPr>
        <w:softHyphen/>
      </w:r>
      <w:r w:rsidRPr="00D208DC">
        <w:rPr>
          <w:rFonts w:eastAsia="Calibri" w:cs="Times New Roman"/>
          <w:sz w:val="24"/>
          <w:szCs w:val="24"/>
        </w:rPr>
        <w:t>tal state of people in continuous quarantine conditions have not been fully studied, includ</w:t>
      </w:r>
      <w:r>
        <w:rPr>
          <w:rFonts w:eastAsia="Calibri" w:cs="Times New Roman"/>
          <w:sz w:val="24"/>
          <w:szCs w:val="24"/>
        </w:rPr>
        <w:softHyphen/>
      </w:r>
      <w:r w:rsidRPr="00D208DC">
        <w:rPr>
          <w:rFonts w:eastAsia="Calibri" w:cs="Times New Roman"/>
          <w:sz w:val="24"/>
          <w:szCs w:val="24"/>
        </w:rPr>
        <w:t>ing the dynamics of anxiety, which requires further investigation.  Negative dynamics of anxiety levels may provide information on im</w:t>
      </w:r>
      <w:r>
        <w:rPr>
          <w:rFonts w:eastAsia="Calibri" w:cs="Times New Roman"/>
          <w:sz w:val="24"/>
          <w:szCs w:val="24"/>
        </w:rPr>
        <w:softHyphen/>
      </w:r>
      <w:r w:rsidRPr="00D208DC">
        <w:rPr>
          <w:rFonts w:eastAsia="Calibri" w:cs="Times New Roman"/>
          <w:sz w:val="24"/>
          <w:szCs w:val="24"/>
        </w:rPr>
        <w:t>paired adaptation of a person to the resulting living conditions and are necessary to predict the level of labor activity [7,6].  Therefore, it is necessary to assess the dynamics of anxiety in order to identify and overcome the risks asso</w:t>
      </w:r>
      <w:r>
        <w:rPr>
          <w:rFonts w:eastAsia="Calibri" w:cs="Times New Roman"/>
          <w:sz w:val="24"/>
          <w:szCs w:val="24"/>
        </w:rPr>
        <w:softHyphen/>
      </w:r>
      <w:r w:rsidRPr="00D208DC">
        <w:rPr>
          <w:rFonts w:eastAsia="Calibri" w:cs="Times New Roman"/>
          <w:sz w:val="24"/>
          <w:szCs w:val="24"/>
        </w:rPr>
        <w:t>ciated with social and psychological maladap</w:t>
      </w:r>
      <w:r>
        <w:rPr>
          <w:rFonts w:eastAsia="Calibri" w:cs="Times New Roman"/>
          <w:sz w:val="24"/>
          <w:szCs w:val="24"/>
        </w:rPr>
        <w:softHyphen/>
      </w:r>
      <w:r w:rsidRPr="00D208DC">
        <w:rPr>
          <w:rFonts w:eastAsia="Calibri" w:cs="Times New Roman"/>
          <w:sz w:val="24"/>
          <w:szCs w:val="24"/>
        </w:rPr>
        <w:t>tation of the population.  The effectiveness of such measures depends on informing the pop</w:t>
      </w:r>
      <w:r>
        <w:rPr>
          <w:rFonts w:eastAsia="Calibri" w:cs="Times New Roman"/>
          <w:sz w:val="24"/>
          <w:szCs w:val="24"/>
        </w:rPr>
        <w:softHyphen/>
      </w:r>
      <w:r w:rsidRPr="00D208DC">
        <w:rPr>
          <w:rFonts w:eastAsia="Calibri" w:cs="Times New Roman"/>
          <w:sz w:val="24"/>
          <w:szCs w:val="24"/>
        </w:rPr>
        <w:t>ulation about the methods of individual pre</w:t>
      </w:r>
      <w:r>
        <w:rPr>
          <w:rFonts w:eastAsia="Calibri" w:cs="Times New Roman"/>
          <w:sz w:val="24"/>
          <w:szCs w:val="24"/>
        </w:rPr>
        <w:softHyphen/>
      </w:r>
      <w:r w:rsidRPr="00D208DC">
        <w:rPr>
          <w:rFonts w:eastAsia="Calibri" w:cs="Times New Roman"/>
          <w:sz w:val="24"/>
          <w:szCs w:val="24"/>
        </w:rPr>
        <w:t>vention of anxiety in a pandemic [4].  Such measures include improving sleep patterns, re</w:t>
      </w:r>
      <w:r>
        <w:rPr>
          <w:rFonts w:eastAsia="Calibri" w:cs="Times New Roman"/>
          <w:sz w:val="24"/>
          <w:szCs w:val="24"/>
        </w:rPr>
        <w:softHyphen/>
      </w:r>
      <w:r w:rsidRPr="00D208DC">
        <w:rPr>
          <w:rFonts w:eastAsia="Calibri" w:cs="Times New Roman"/>
          <w:sz w:val="24"/>
          <w:szCs w:val="24"/>
        </w:rPr>
        <w:t>lieving vitamin D deficiency [3] and omega-3 use [8], restricting intake of sugary foods and simple carbohydrates [10], taking pre- and pro</w:t>
      </w:r>
      <w:r>
        <w:rPr>
          <w:rFonts w:eastAsia="Calibri" w:cs="Times New Roman"/>
          <w:sz w:val="24"/>
          <w:szCs w:val="24"/>
        </w:rPr>
        <w:softHyphen/>
      </w:r>
      <w:r w:rsidRPr="00D208DC">
        <w:rPr>
          <w:rFonts w:eastAsia="Calibri" w:cs="Times New Roman"/>
          <w:sz w:val="24"/>
          <w:szCs w:val="24"/>
        </w:rPr>
        <w:t>biotics, stopping alcohol intake, and increasing physical activity.  increase, use of stress man</w:t>
      </w:r>
      <w:r>
        <w:rPr>
          <w:rFonts w:eastAsia="Calibri" w:cs="Times New Roman"/>
          <w:sz w:val="24"/>
          <w:szCs w:val="24"/>
        </w:rPr>
        <w:softHyphen/>
      </w:r>
      <w:r w:rsidRPr="00D208DC">
        <w:rPr>
          <w:rFonts w:eastAsia="Calibri" w:cs="Times New Roman"/>
          <w:sz w:val="24"/>
          <w:szCs w:val="24"/>
        </w:rPr>
        <w:t>agement techniques (breathing exercises, med</w:t>
      </w:r>
      <w:r>
        <w:rPr>
          <w:rFonts w:eastAsia="Calibri" w:cs="Times New Roman"/>
          <w:sz w:val="24"/>
          <w:szCs w:val="24"/>
        </w:rPr>
        <w:softHyphen/>
      </w:r>
      <w:r w:rsidRPr="00D208DC">
        <w:rPr>
          <w:rFonts w:eastAsia="Calibri" w:cs="Times New Roman"/>
          <w:sz w:val="24"/>
          <w:szCs w:val="24"/>
        </w:rPr>
        <w:t>itation, etc.).</w:t>
      </w:r>
    </w:p>
    <w:p w14:paraId="1F3061EB"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t xml:space="preserve"> </w:t>
      </w:r>
      <w:r w:rsidRPr="00D208DC">
        <w:rPr>
          <w:rFonts w:eastAsia="Calibri" w:cs="Times New Roman"/>
          <w:b/>
          <w:sz w:val="24"/>
          <w:szCs w:val="24"/>
        </w:rPr>
        <w:t>The purpose of the study.</w:t>
      </w:r>
      <w:r w:rsidRPr="00D208DC">
        <w:rPr>
          <w:rFonts w:eastAsia="Calibri" w:cs="Times New Roman"/>
          <w:sz w:val="24"/>
          <w:szCs w:val="24"/>
        </w:rPr>
        <w:t xml:space="preserve">  To study the psychological changes caused by Covid-19 in</w:t>
      </w:r>
      <w:r>
        <w:rPr>
          <w:rFonts w:eastAsia="Calibri" w:cs="Times New Roman"/>
          <w:sz w:val="24"/>
          <w:szCs w:val="24"/>
        </w:rPr>
        <w:softHyphen/>
      </w:r>
      <w:r w:rsidRPr="00D208DC">
        <w:rPr>
          <w:rFonts w:eastAsia="Calibri" w:cs="Times New Roman"/>
          <w:sz w:val="24"/>
          <w:szCs w:val="24"/>
        </w:rPr>
        <w:t>fection in patients with cardiovascular disease.</w:t>
      </w:r>
    </w:p>
    <w:p w14:paraId="1E293D21"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t xml:space="preserve"> </w:t>
      </w:r>
      <w:r w:rsidRPr="00D208DC">
        <w:rPr>
          <w:rFonts w:eastAsia="Calibri" w:cs="Times New Roman"/>
          <w:b/>
          <w:sz w:val="24"/>
          <w:szCs w:val="24"/>
        </w:rPr>
        <w:t xml:space="preserve">Materials and methods of research. </w:t>
      </w:r>
      <w:r w:rsidRPr="00D208DC">
        <w:rPr>
          <w:rFonts w:eastAsia="Calibri" w:cs="Times New Roman"/>
          <w:sz w:val="24"/>
          <w:szCs w:val="24"/>
        </w:rPr>
        <w:t xml:space="preserve"> Patients with Covid-19 and non-Covid-19 were included in the study.  Eligibility criteria: Patients aged 18–75 years with cardiovascular disease (ischemic cardiomyopathy, heart fail</w:t>
      </w:r>
      <w:r>
        <w:rPr>
          <w:rFonts w:eastAsia="Calibri" w:cs="Times New Roman"/>
          <w:sz w:val="24"/>
          <w:szCs w:val="24"/>
        </w:rPr>
        <w:softHyphen/>
      </w:r>
      <w:r w:rsidRPr="00D208DC">
        <w:rPr>
          <w:rFonts w:eastAsia="Calibri" w:cs="Times New Roman"/>
          <w:sz w:val="24"/>
          <w:szCs w:val="24"/>
        </w:rPr>
        <w:t xml:space="preserve">ure NYHA I-III, AH, stable angina, ventricular </w:t>
      </w:r>
      <w:r w:rsidRPr="00D208DC">
        <w:rPr>
          <w:rFonts w:eastAsia="Calibri" w:cs="Times New Roman"/>
          <w:sz w:val="24"/>
          <w:szCs w:val="24"/>
        </w:rPr>
        <w:t>fibrillation) and moderately severe COVID-19 confirmed by PCR.</w:t>
      </w:r>
      <w:r w:rsidRPr="00D208DC">
        <w:rPr>
          <w:rFonts w:eastAsia="Calibri" w:cs="Times New Roman"/>
          <w:color w:val="FF0000"/>
          <w:sz w:val="24"/>
          <w:szCs w:val="24"/>
        </w:rPr>
        <w:t xml:space="preserve">  </w:t>
      </w:r>
      <w:r w:rsidRPr="00D208DC">
        <w:rPr>
          <w:rFonts w:eastAsia="Calibri" w:cs="Times New Roman"/>
          <w:sz w:val="24"/>
          <w:szCs w:val="24"/>
        </w:rPr>
        <w:t>Criteria for rejection: pa</w:t>
      </w:r>
      <w:r>
        <w:rPr>
          <w:rFonts w:eastAsia="Calibri" w:cs="Times New Roman"/>
          <w:sz w:val="24"/>
          <w:szCs w:val="24"/>
        </w:rPr>
        <w:softHyphen/>
      </w:r>
      <w:r w:rsidRPr="00D208DC">
        <w:rPr>
          <w:rFonts w:eastAsia="Calibri" w:cs="Times New Roman"/>
          <w:sz w:val="24"/>
          <w:szCs w:val="24"/>
        </w:rPr>
        <w:t>tients with severe course of the disease, pa</w:t>
      </w:r>
      <w:r>
        <w:rPr>
          <w:rFonts w:eastAsia="Calibri" w:cs="Times New Roman"/>
          <w:sz w:val="24"/>
          <w:szCs w:val="24"/>
        </w:rPr>
        <w:softHyphen/>
      </w:r>
      <w:r w:rsidRPr="00D208DC">
        <w:rPr>
          <w:rFonts w:eastAsia="Calibri" w:cs="Times New Roman"/>
          <w:sz w:val="24"/>
          <w:szCs w:val="24"/>
        </w:rPr>
        <w:t>tients with IV FC  CHF  on NYHA, grade III respiratory failure.</w:t>
      </w:r>
    </w:p>
    <w:p w14:paraId="2F1ADCC7"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t xml:space="preserve"> All patients were divided into 2 groups: the first group - patients with COVID-19, with</w:t>
      </w:r>
      <w:r>
        <w:rPr>
          <w:rFonts w:eastAsia="Calibri" w:cs="Times New Roman"/>
          <w:sz w:val="24"/>
          <w:szCs w:val="24"/>
        </w:rPr>
        <w:softHyphen/>
      </w:r>
      <w:r w:rsidRPr="00D208DC">
        <w:rPr>
          <w:rFonts w:eastAsia="Calibri" w:cs="Times New Roman"/>
          <w:sz w:val="24"/>
          <w:szCs w:val="24"/>
        </w:rPr>
        <w:t>out concomitant diseases, the second group - patients with COVID-19, patients with CVD.  Disease and life history of patients, infor</w:t>
      </w:r>
      <w:r>
        <w:rPr>
          <w:rFonts w:eastAsia="Calibri" w:cs="Times New Roman"/>
          <w:sz w:val="24"/>
          <w:szCs w:val="24"/>
        </w:rPr>
        <w:softHyphen/>
      </w:r>
      <w:r w:rsidRPr="00D208DC">
        <w:rPr>
          <w:rFonts w:eastAsia="Calibri" w:cs="Times New Roman"/>
          <w:sz w:val="24"/>
          <w:szCs w:val="24"/>
        </w:rPr>
        <w:t>mation on СVD were collected, the character</w:t>
      </w:r>
      <w:r>
        <w:rPr>
          <w:rFonts w:eastAsia="Calibri" w:cs="Times New Roman"/>
          <w:sz w:val="24"/>
          <w:szCs w:val="24"/>
        </w:rPr>
        <w:softHyphen/>
      </w:r>
      <w:r w:rsidRPr="00D208DC">
        <w:rPr>
          <w:rFonts w:eastAsia="Calibri" w:cs="Times New Roman"/>
          <w:sz w:val="24"/>
          <w:szCs w:val="24"/>
        </w:rPr>
        <w:t>istics of COVID-19 transmission were fully studied.  After questioning, the following scales were provided for completion: the HADS hospital scale for anxiety and depres</w:t>
      </w:r>
      <w:r>
        <w:rPr>
          <w:rFonts w:eastAsia="Calibri" w:cs="Times New Roman"/>
          <w:sz w:val="24"/>
          <w:szCs w:val="24"/>
        </w:rPr>
        <w:softHyphen/>
      </w:r>
      <w:r w:rsidRPr="00D208DC">
        <w:rPr>
          <w:rFonts w:eastAsia="Calibri" w:cs="Times New Roman"/>
          <w:sz w:val="24"/>
          <w:szCs w:val="24"/>
        </w:rPr>
        <w:t>sion, and the DS-14 questionnaire to determine personality type.  All patients underwent gen</w:t>
      </w:r>
      <w:r>
        <w:rPr>
          <w:rFonts w:eastAsia="Calibri" w:cs="Times New Roman"/>
          <w:sz w:val="24"/>
          <w:szCs w:val="24"/>
        </w:rPr>
        <w:softHyphen/>
      </w:r>
      <w:r w:rsidRPr="00D208DC">
        <w:rPr>
          <w:rFonts w:eastAsia="Calibri" w:cs="Times New Roman"/>
          <w:sz w:val="24"/>
          <w:szCs w:val="24"/>
        </w:rPr>
        <w:t>eral clinical examinations, biochemical blood tests, ECG examinations.  Excel (Microsoft Office 2016-2019 software package) and Sta</w:t>
      </w:r>
      <w:r>
        <w:rPr>
          <w:rFonts w:eastAsia="Calibri" w:cs="Times New Roman"/>
          <w:sz w:val="24"/>
          <w:szCs w:val="24"/>
        </w:rPr>
        <w:softHyphen/>
      </w:r>
      <w:r w:rsidRPr="00D208DC">
        <w:rPr>
          <w:rFonts w:eastAsia="Calibri" w:cs="Times New Roman"/>
          <w:sz w:val="24"/>
          <w:szCs w:val="24"/>
        </w:rPr>
        <w:t>tistica 8.0 software package (Statsoft Inc., USA) were used for statistical analysis</w:t>
      </w:r>
    </w:p>
    <w:p w14:paraId="34948434"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b/>
          <w:sz w:val="24"/>
          <w:szCs w:val="24"/>
        </w:rPr>
        <w:t>Results and analysis.</w:t>
      </w:r>
      <w:r w:rsidRPr="00D208DC">
        <w:rPr>
          <w:rFonts w:eastAsia="Calibri" w:cs="Times New Roman"/>
          <w:sz w:val="24"/>
          <w:szCs w:val="24"/>
        </w:rPr>
        <w:t xml:space="preserve">  Anxiety is an in</w:t>
      </w:r>
      <w:r>
        <w:rPr>
          <w:rFonts w:eastAsia="Calibri" w:cs="Times New Roman"/>
          <w:sz w:val="24"/>
          <w:szCs w:val="24"/>
        </w:rPr>
        <w:softHyphen/>
      </w:r>
      <w:r w:rsidRPr="00D208DC">
        <w:rPr>
          <w:rFonts w:eastAsia="Calibri" w:cs="Times New Roman"/>
          <w:sz w:val="24"/>
          <w:szCs w:val="24"/>
        </w:rPr>
        <w:t>dependent risk factor for the development of cardiovascular complications and consequent death.  Patients with AIDS have a 1.6–2.2-fold increased risk of adverse events when symp</w:t>
      </w:r>
      <w:r>
        <w:rPr>
          <w:rFonts w:eastAsia="Calibri" w:cs="Times New Roman"/>
          <w:sz w:val="24"/>
          <w:szCs w:val="24"/>
        </w:rPr>
        <w:softHyphen/>
      </w:r>
      <w:r w:rsidRPr="00D208DC">
        <w:rPr>
          <w:rFonts w:eastAsia="Calibri" w:cs="Times New Roman"/>
          <w:sz w:val="24"/>
          <w:szCs w:val="24"/>
        </w:rPr>
        <w:t>toms of depression are observed [9].  Table 2 shows the prevalence of symptoms of anxiety and depression in patients with COVID-19 who have had COVID-19 and who have had COVID-19 who have not had COVID-19.  The assessment score on the HADS-A anxiety scale was 7.6 ± 5.2 points, and on the HADS-D depression scale it was 7.9 ± 3.8 points.  Dif</w:t>
      </w:r>
      <w:r>
        <w:rPr>
          <w:rFonts w:eastAsia="Calibri" w:cs="Times New Roman"/>
          <w:sz w:val="24"/>
          <w:szCs w:val="24"/>
        </w:rPr>
        <w:softHyphen/>
      </w:r>
      <w:r w:rsidRPr="00D208DC">
        <w:rPr>
          <w:rFonts w:eastAsia="Calibri" w:cs="Times New Roman"/>
          <w:sz w:val="24"/>
          <w:szCs w:val="24"/>
        </w:rPr>
        <w:t>ferent levels of anxiety were observed in 52.4% of patients, of which 18.2% had highly significant symptoms.  Different degrees of de</w:t>
      </w:r>
      <w:r>
        <w:rPr>
          <w:rFonts w:eastAsia="Calibri" w:cs="Times New Roman"/>
          <w:sz w:val="24"/>
          <w:szCs w:val="24"/>
        </w:rPr>
        <w:softHyphen/>
      </w:r>
      <w:r w:rsidRPr="00D208DC">
        <w:rPr>
          <w:rFonts w:eastAsia="Calibri" w:cs="Times New Roman"/>
          <w:sz w:val="24"/>
          <w:szCs w:val="24"/>
        </w:rPr>
        <w:t>pression were observed in 57.6% of patients, of which 19.2% had highly significant symp</w:t>
      </w:r>
      <w:r>
        <w:rPr>
          <w:rFonts w:eastAsia="Calibri" w:cs="Times New Roman"/>
          <w:sz w:val="24"/>
          <w:szCs w:val="24"/>
        </w:rPr>
        <w:softHyphen/>
      </w:r>
      <w:r w:rsidRPr="00D208DC">
        <w:rPr>
          <w:rFonts w:eastAsia="Calibri" w:cs="Times New Roman"/>
          <w:sz w:val="24"/>
          <w:szCs w:val="24"/>
        </w:rPr>
        <w:t>toms.  The co-occurrence of clinically signifi</w:t>
      </w:r>
      <w:r>
        <w:rPr>
          <w:rFonts w:eastAsia="Calibri" w:cs="Times New Roman"/>
          <w:sz w:val="24"/>
          <w:szCs w:val="24"/>
        </w:rPr>
        <w:softHyphen/>
      </w:r>
      <w:r w:rsidRPr="00D208DC">
        <w:rPr>
          <w:rFonts w:eastAsia="Calibri" w:cs="Times New Roman"/>
          <w:sz w:val="24"/>
          <w:szCs w:val="24"/>
        </w:rPr>
        <w:t>cant anxiety and depressive symptoms (&gt; 11 on both HADS scales) was detected in 8.3% of pa</w:t>
      </w:r>
      <w:r>
        <w:rPr>
          <w:rFonts w:eastAsia="Calibri" w:cs="Times New Roman"/>
          <w:sz w:val="24"/>
          <w:szCs w:val="24"/>
        </w:rPr>
        <w:softHyphen/>
      </w:r>
      <w:r w:rsidRPr="00D208DC">
        <w:rPr>
          <w:rFonts w:eastAsia="Calibri" w:cs="Times New Roman"/>
          <w:sz w:val="24"/>
          <w:szCs w:val="24"/>
        </w:rPr>
        <w:t>tients.  The results showed that subclinically and clinically significant anxiety symptoms in</w:t>
      </w:r>
      <w:r>
        <w:rPr>
          <w:rFonts w:eastAsia="Calibri" w:cs="Times New Roman"/>
          <w:sz w:val="24"/>
          <w:szCs w:val="24"/>
        </w:rPr>
        <w:softHyphen/>
      </w:r>
      <w:r w:rsidRPr="00D208DC">
        <w:rPr>
          <w:rFonts w:eastAsia="Calibri" w:cs="Times New Roman"/>
          <w:sz w:val="24"/>
          <w:szCs w:val="24"/>
        </w:rPr>
        <w:lastRenderedPageBreak/>
        <w:t>creased in patients who underwent COVID-19 and those who underwent COVID-19 but who did not have COVID-19 (Table 1).  It is also noteworthy that the level of depression among respondents has increased.  Thus, the rate of clinically expressed depression increased more than 2-fold.  Concerns were more specific to women: the HADS-A score was 7.9 ± 4.2 points in women and 6.8 ± 4.0 points (p &lt;0.001) in men.  There was no significant dif</w:t>
      </w:r>
      <w:r>
        <w:rPr>
          <w:rFonts w:eastAsia="Calibri" w:cs="Times New Roman"/>
          <w:sz w:val="24"/>
          <w:szCs w:val="24"/>
        </w:rPr>
        <w:softHyphen/>
      </w:r>
      <w:r w:rsidRPr="00D208DC">
        <w:rPr>
          <w:rFonts w:eastAsia="Calibri" w:cs="Times New Roman"/>
          <w:sz w:val="24"/>
          <w:szCs w:val="24"/>
        </w:rPr>
        <w:t>ference in the symptoms of depression be</w:t>
      </w:r>
      <w:r>
        <w:rPr>
          <w:rFonts w:eastAsia="Calibri" w:cs="Times New Roman"/>
          <w:sz w:val="24"/>
          <w:szCs w:val="24"/>
        </w:rPr>
        <w:softHyphen/>
      </w:r>
      <w:r w:rsidRPr="00D208DC">
        <w:rPr>
          <w:rFonts w:eastAsia="Calibri" w:cs="Times New Roman"/>
          <w:sz w:val="24"/>
          <w:szCs w:val="24"/>
        </w:rPr>
        <w:t xml:space="preserve">tween women and men: on the HADS-D scale, the score was 7.5 ± 3.8 points in women and </w:t>
      </w:r>
      <w:r w:rsidRPr="00D208DC">
        <w:rPr>
          <w:rFonts w:eastAsia="Calibri" w:cs="Times New Roman"/>
          <w:sz w:val="24"/>
          <w:szCs w:val="24"/>
        </w:rPr>
        <w:t>7.2 ± 3.8 points in men (p &lt;0.01).  Аnxiety symptoms were clinically significant in 52.1% of women and 34.6% of men (p &lt;0.001), 28.7% of women, and 17.3% of men (p &lt;0.001).  A similar situation was observed in terms of depression: 43.8% of women with AIDS and 39.1% of men had different degrees of depression (p &lt;0.05), 17.2% of women and 13.8% of men had depression.  was significant.  Concomitant cases of anxiety and depression were observed in more women (32.5% of women, 21.7% of men; p &lt;0.001).</w:t>
      </w:r>
    </w:p>
    <w:p w14:paraId="40A0846D" w14:textId="77777777" w:rsidR="00DD566D" w:rsidRDefault="00DD566D" w:rsidP="00DD566D">
      <w:pPr>
        <w:spacing w:line="276" w:lineRule="auto"/>
        <w:ind w:firstLine="567"/>
        <w:jc w:val="both"/>
        <w:rPr>
          <w:rFonts w:eastAsia="Calibri" w:cs="Times New Roman"/>
          <w:sz w:val="24"/>
          <w:szCs w:val="24"/>
        </w:rPr>
        <w:sectPr w:rsidR="00DD566D" w:rsidSect="002C4F8E">
          <w:type w:val="continuous"/>
          <w:pgSz w:w="11907" w:h="16840" w:code="9"/>
          <w:pgMar w:top="1418" w:right="1134" w:bottom="1134" w:left="1134" w:header="907" w:footer="794" w:gutter="0"/>
          <w:cols w:num="2" w:space="708"/>
          <w:docGrid w:linePitch="381"/>
        </w:sectPr>
      </w:pPr>
    </w:p>
    <w:p w14:paraId="690512A7" w14:textId="77777777" w:rsidR="00DD566D" w:rsidRPr="00D208DC" w:rsidRDefault="00DD566D" w:rsidP="00DD566D">
      <w:pPr>
        <w:spacing w:line="276" w:lineRule="auto"/>
        <w:ind w:firstLine="567"/>
        <w:jc w:val="right"/>
        <w:rPr>
          <w:rFonts w:eastAsia="Calibri" w:cs="Times New Roman"/>
          <w:b/>
          <w:bCs/>
          <w:i/>
          <w:iCs/>
          <w:sz w:val="24"/>
          <w:szCs w:val="24"/>
        </w:rPr>
      </w:pPr>
      <w:r w:rsidRPr="00D208DC">
        <w:rPr>
          <w:rFonts w:eastAsia="Calibri" w:cs="Times New Roman"/>
          <w:b/>
          <w:bCs/>
          <w:i/>
          <w:iCs/>
          <w:sz w:val="24"/>
          <w:szCs w:val="24"/>
        </w:rPr>
        <w:t xml:space="preserve">      Table №1</w:t>
      </w:r>
    </w:p>
    <w:p w14:paraId="02A96E55" w14:textId="77777777" w:rsidR="00DD566D" w:rsidRPr="002C4F8E" w:rsidRDefault="00DD566D" w:rsidP="00DD566D">
      <w:pPr>
        <w:spacing w:line="276" w:lineRule="auto"/>
        <w:ind w:firstLine="567"/>
        <w:jc w:val="both"/>
        <w:rPr>
          <w:rFonts w:eastAsia="Calibri" w:cs="Times New Roman"/>
          <w:b/>
          <w:sz w:val="24"/>
          <w:szCs w:val="24"/>
        </w:rPr>
      </w:pPr>
      <w:r w:rsidRPr="00D208DC">
        <w:rPr>
          <w:rFonts w:eastAsia="Calibri" w:cs="Times New Roman"/>
          <w:b/>
          <w:sz w:val="24"/>
          <w:szCs w:val="24"/>
        </w:rPr>
        <w:t>Anxiety and Depression Symptoms on Hospital Scales of Anxiety and Depression in Patients with CVD. Symptoms of anxiety and depression</w:t>
      </w:r>
      <w:r w:rsidRPr="002C4F8E">
        <w:rPr>
          <w:rFonts w:eastAsia="Calibri" w:cs="Times New Roman"/>
          <w:b/>
          <w:sz w:val="24"/>
          <w:szCs w:val="24"/>
        </w:rPr>
        <w:t>.</w:t>
      </w:r>
    </w:p>
    <w:p w14:paraId="38FA684E" w14:textId="77777777" w:rsidR="00DD566D" w:rsidRPr="00D208DC" w:rsidRDefault="00DD566D" w:rsidP="00DD566D">
      <w:pPr>
        <w:spacing w:line="276" w:lineRule="auto"/>
        <w:ind w:firstLine="567"/>
        <w:jc w:val="both"/>
        <w:rPr>
          <w:rFonts w:eastAsia="Calibri" w:cs="Times New Roman"/>
          <w:b/>
          <w:sz w:val="24"/>
          <w:szCs w:val="24"/>
        </w:rPr>
      </w:pPr>
    </w:p>
    <w:tbl>
      <w:tblPr>
        <w:tblStyle w:val="20"/>
        <w:tblW w:w="9493" w:type="dxa"/>
        <w:jc w:val="center"/>
        <w:tblLayout w:type="fixed"/>
        <w:tblLook w:val="04A0" w:firstRow="1" w:lastRow="0" w:firstColumn="1" w:lastColumn="0" w:noHBand="0" w:noVBand="1"/>
      </w:tblPr>
      <w:tblGrid>
        <w:gridCol w:w="3823"/>
        <w:gridCol w:w="2835"/>
        <w:gridCol w:w="2835"/>
      </w:tblGrid>
      <w:tr w:rsidR="00DD566D" w:rsidRPr="00D208DC" w14:paraId="5A4E61D6" w14:textId="77777777" w:rsidTr="00C90B56">
        <w:trPr>
          <w:jc w:val="center"/>
        </w:trPr>
        <w:tc>
          <w:tcPr>
            <w:tcW w:w="3823" w:type="dxa"/>
            <w:vAlign w:val="center"/>
          </w:tcPr>
          <w:p w14:paraId="79803F5E"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en-US"/>
              </w:rPr>
              <w:t>Symptoms of anxiety and depression</w:t>
            </w:r>
          </w:p>
        </w:tc>
        <w:tc>
          <w:tcPr>
            <w:tcW w:w="2835" w:type="dxa"/>
            <w:vAlign w:val="center"/>
          </w:tcPr>
          <w:p w14:paraId="480BF17C" w14:textId="77777777" w:rsidR="00DD566D" w:rsidRDefault="00DD566D" w:rsidP="00C90B56">
            <w:pPr>
              <w:spacing w:line="276" w:lineRule="auto"/>
              <w:jc w:val="center"/>
              <w:rPr>
                <w:rFonts w:ascii="Times New Roman" w:hAnsi="Times New Roman" w:cs="Times New Roman"/>
                <w:sz w:val="24"/>
                <w:szCs w:val="24"/>
                <w:lang w:val="en-US"/>
              </w:rPr>
            </w:pPr>
            <w:r w:rsidRPr="00D208DC">
              <w:rPr>
                <w:rFonts w:ascii="Times New Roman" w:hAnsi="Times New Roman" w:cs="Times New Roman"/>
                <w:sz w:val="24"/>
                <w:szCs w:val="24"/>
                <w:lang w:val="en-US"/>
              </w:rPr>
              <w:t>Patients with CVD who underwent COVID-19</w:t>
            </w:r>
          </w:p>
          <w:p w14:paraId="0D3BF11A"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en-US"/>
              </w:rPr>
              <w:t>(n = 62)</w:t>
            </w:r>
          </w:p>
        </w:tc>
        <w:tc>
          <w:tcPr>
            <w:tcW w:w="2835" w:type="dxa"/>
            <w:vAlign w:val="center"/>
          </w:tcPr>
          <w:p w14:paraId="4F9D17C2" w14:textId="77777777" w:rsidR="00DD566D" w:rsidRDefault="00DD566D" w:rsidP="00C90B56">
            <w:pPr>
              <w:spacing w:line="276" w:lineRule="auto"/>
              <w:jc w:val="center"/>
              <w:rPr>
                <w:rFonts w:ascii="Times New Roman" w:hAnsi="Times New Roman" w:cs="Times New Roman"/>
                <w:sz w:val="24"/>
                <w:szCs w:val="24"/>
                <w:lang w:val="en-US"/>
              </w:rPr>
            </w:pPr>
            <w:r w:rsidRPr="00D208DC">
              <w:rPr>
                <w:rFonts w:ascii="Times New Roman" w:hAnsi="Times New Roman" w:cs="Times New Roman"/>
                <w:sz w:val="24"/>
                <w:szCs w:val="24"/>
                <w:lang w:val="en-US"/>
              </w:rPr>
              <w:t>Patients without CVD who underwent COVID-19</w:t>
            </w:r>
          </w:p>
          <w:p w14:paraId="58A558D9"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en-US"/>
              </w:rPr>
              <w:t>(n = 50)</w:t>
            </w:r>
          </w:p>
        </w:tc>
      </w:tr>
      <w:tr w:rsidR="00DD566D" w:rsidRPr="00D208DC" w14:paraId="06459F1B" w14:textId="77777777" w:rsidTr="00C90B56">
        <w:trPr>
          <w:jc w:val="center"/>
        </w:trPr>
        <w:tc>
          <w:tcPr>
            <w:tcW w:w="3823" w:type="dxa"/>
          </w:tcPr>
          <w:p w14:paraId="0C0C22E4" w14:textId="77777777" w:rsidR="00DD566D" w:rsidRPr="00D208DC" w:rsidRDefault="00DD566D" w:rsidP="00C90B56">
            <w:pPr>
              <w:spacing w:line="276" w:lineRule="auto"/>
              <w:jc w:val="both"/>
              <w:rPr>
                <w:rFonts w:ascii="Times New Roman" w:hAnsi="Times New Roman" w:cs="Times New Roman"/>
                <w:sz w:val="24"/>
                <w:szCs w:val="24"/>
                <w:lang w:val="en-US"/>
              </w:rPr>
            </w:pPr>
            <w:r w:rsidRPr="00D208DC">
              <w:rPr>
                <w:rFonts w:ascii="Times New Roman" w:hAnsi="Times New Roman" w:cs="Times New Roman"/>
                <w:sz w:val="24"/>
                <w:szCs w:val="24"/>
                <w:lang w:val="en-US"/>
              </w:rPr>
              <w:t>Average score on HADS-A</w:t>
            </w:r>
            <w:r w:rsidRPr="00D208DC">
              <w:rPr>
                <w:rFonts w:ascii="Times New Roman" w:hAnsi="Times New Roman" w:cs="Times New Roman"/>
                <w:sz w:val="24"/>
                <w:szCs w:val="24"/>
                <w:lang w:val="uz-Cyrl-UZ"/>
              </w:rPr>
              <w:t xml:space="preserve"> </w:t>
            </w:r>
          </w:p>
        </w:tc>
        <w:tc>
          <w:tcPr>
            <w:tcW w:w="2835" w:type="dxa"/>
            <w:vAlign w:val="center"/>
          </w:tcPr>
          <w:p w14:paraId="48A337A1"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7,6±5,2</w:t>
            </w:r>
          </w:p>
        </w:tc>
        <w:tc>
          <w:tcPr>
            <w:tcW w:w="2835" w:type="dxa"/>
            <w:vAlign w:val="center"/>
          </w:tcPr>
          <w:p w14:paraId="3899FB2C"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6,4±3,7</w:t>
            </w:r>
          </w:p>
        </w:tc>
      </w:tr>
      <w:tr w:rsidR="00DD566D" w:rsidRPr="00D208DC" w14:paraId="2F26C980" w14:textId="77777777" w:rsidTr="00C90B56">
        <w:trPr>
          <w:jc w:val="center"/>
        </w:trPr>
        <w:tc>
          <w:tcPr>
            <w:tcW w:w="3823" w:type="dxa"/>
          </w:tcPr>
          <w:p w14:paraId="37F5734D"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 xml:space="preserve">Signs of clinical concern (HADS-A&gt; 11 points), % </w:t>
            </w:r>
          </w:p>
          <w:p w14:paraId="5E55160E" w14:textId="77777777" w:rsidR="00DD566D" w:rsidRPr="00D208DC" w:rsidRDefault="00DD566D" w:rsidP="00C90B56">
            <w:pPr>
              <w:spacing w:line="276" w:lineRule="auto"/>
              <w:rPr>
                <w:rFonts w:ascii="Times New Roman" w:hAnsi="Times New Roman" w:cs="Times New Roman"/>
                <w:sz w:val="24"/>
                <w:szCs w:val="24"/>
                <w:lang w:val="en-US"/>
              </w:rPr>
            </w:pPr>
          </w:p>
        </w:tc>
        <w:tc>
          <w:tcPr>
            <w:tcW w:w="2835" w:type="dxa"/>
            <w:vAlign w:val="center"/>
          </w:tcPr>
          <w:p w14:paraId="013C0310"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18</w:t>
            </w:r>
            <w:r w:rsidRPr="00D208DC">
              <w:rPr>
                <w:rFonts w:ascii="Times New Roman" w:hAnsi="Times New Roman" w:cs="Times New Roman"/>
                <w:sz w:val="24"/>
                <w:szCs w:val="24"/>
              </w:rPr>
              <w:t>,2</w:t>
            </w:r>
          </w:p>
        </w:tc>
        <w:tc>
          <w:tcPr>
            <w:tcW w:w="2835" w:type="dxa"/>
            <w:vAlign w:val="center"/>
          </w:tcPr>
          <w:p w14:paraId="764E2678"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1</w:t>
            </w:r>
            <w:r w:rsidRPr="00D208DC">
              <w:rPr>
                <w:rFonts w:ascii="Times New Roman" w:hAnsi="Times New Roman" w:cs="Times New Roman"/>
                <w:sz w:val="24"/>
                <w:szCs w:val="24"/>
                <w:lang w:val="uz-Cyrl-UZ"/>
              </w:rPr>
              <w:t>6</w:t>
            </w:r>
            <w:r w:rsidRPr="00D208DC">
              <w:rPr>
                <w:rFonts w:ascii="Times New Roman" w:hAnsi="Times New Roman" w:cs="Times New Roman"/>
                <w:sz w:val="24"/>
                <w:szCs w:val="24"/>
              </w:rPr>
              <w:t>,5</w:t>
            </w:r>
          </w:p>
        </w:tc>
      </w:tr>
      <w:tr w:rsidR="00DD566D" w:rsidRPr="00D208DC" w14:paraId="5E615432" w14:textId="77777777" w:rsidTr="00C90B56">
        <w:trPr>
          <w:jc w:val="center"/>
        </w:trPr>
        <w:tc>
          <w:tcPr>
            <w:tcW w:w="3823" w:type="dxa"/>
          </w:tcPr>
          <w:p w14:paraId="7E0CF4E9"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 xml:space="preserve">Signs of subclinical anxiety (8–10 points according to HADS-A), % </w:t>
            </w:r>
          </w:p>
        </w:tc>
        <w:tc>
          <w:tcPr>
            <w:tcW w:w="2835" w:type="dxa"/>
            <w:vAlign w:val="center"/>
          </w:tcPr>
          <w:p w14:paraId="521C7E70"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3</w:t>
            </w:r>
            <w:r w:rsidRPr="00D208DC">
              <w:rPr>
                <w:rFonts w:ascii="Times New Roman" w:hAnsi="Times New Roman" w:cs="Times New Roman"/>
                <w:sz w:val="24"/>
                <w:szCs w:val="24"/>
              </w:rPr>
              <w:t>4,2</w:t>
            </w:r>
          </w:p>
        </w:tc>
        <w:tc>
          <w:tcPr>
            <w:tcW w:w="2835" w:type="dxa"/>
            <w:vAlign w:val="center"/>
          </w:tcPr>
          <w:p w14:paraId="2A2B68D4"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27,6</w:t>
            </w:r>
          </w:p>
        </w:tc>
      </w:tr>
      <w:tr w:rsidR="00DD566D" w:rsidRPr="00D208DC" w14:paraId="3CA9E99D" w14:textId="77777777" w:rsidTr="00C90B56">
        <w:trPr>
          <w:jc w:val="center"/>
        </w:trPr>
        <w:tc>
          <w:tcPr>
            <w:tcW w:w="3823" w:type="dxa"/>
          </w:tcPr>
          <w:p w14:paraId="56E7F16E" w14:textId="77777777" w:rsidR="00DD566D" w:rsidRPr="00D208DC" w:rsidRDefault="00DD566D" w:rsidP="00C90B56">
            <w:pPr>
              <w:spacing w:line="276" w:lineRule="auto"/>
              <w:rPr>
                <w:rFonts w:ascii="Times New Roman" w:hAnsi="Times New Roman" w:cs="Times New Roman"/>
                <w:sz w:val="24"/>
                <w:szCs w:val="24"/>
                <w:lang w:val="uz-Cyrl-UZ"/>
              </w:rPr>
            </w:pPr>
            <w:r w:rsidRPr="00D208DC">
              <w:rPr>
                <w:rFonts w:ascii="Times New Roman" w:hAnsi="Times New Roman" w:cs="Times New Roman"/>
                <w:sz w:val="24"/>
                <w:szCs w:val="24"/>
              </w:rPr>
              <w:t xml:space="preserve">Average score on HADS-D, average ± OB </w:t>
            </w:r>
          </w:p>
        </w:tc>
        <w:tc>
          <w:tcPr>
            <w:tcW w:w="2835" w:type="dxa"/>
            <w:vAlign w:val="center"/>
          </w:tcPr>
          <w:p w14:paraId="1B25FF0D"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7,9±3,8</w:t>
            </w:r>
          </w:p>
        </w:tc>
        <w:tc>
          <w:tcPr>
            <w:tcW w:w="2835" w:type="dxa"/>
            <w:vAlign w:val="center"/>
          </w:tcPr>
          <w:p w14:paraId="1BB65364"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7,7±4,2</w:t>
            </w:r>
          </w:p>
        </w:tc>
      </w:tr>
      <w:tr w:rsidR="00DD566D" w:rsidRPr="00D208DC" w14:paraId="0CDCB880" w14:textId="77777777" w:rsidTr="00C90B56">
        <w:trPr>
          <w:jc w:val="center"/>
        </w:trPr>
        <w:tc>
          <w:tcPr>
            <w:tcW w:w="3823" w:type="dxa"/>
          </w:tcPr>
          <w:p w14:paraId="5D73EE0C"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Clinically highly expressed depressive symptoms</w:t>
            </w:r>
            <w:r w:rsidRPr="002C4F8E">
              <w:rPr>
                <w:rFonts w:ascii="Times New Roman" w:hAnsi="Times New Roman" w:cs="Times New Roman"/>
                <w:sz w:val="24"/>
                <w:szCs w:val="24"/>
                <w:lang w:val="en-US"/>
              </w:rPr>
              <w:t xml:space="preserve"> </w:t>
            </w:r>
            <w:r w:rsidRPr="00D208DC">
              <w:rPr>
                <w:rFonts w:ascii="Times New Roman" w:hAnsi="Times New Roman" w:cs="Times New Roman"/>
                <w:sz w:val="24"/>
                <w:szCs w:val="24"/>
                <w:lang w:val="en-US"/>
              </w:rPr>
              <w:t>(HADS-D</w:t>
            </w:r>
            <w:r w:rsidRPr="00D208DC">
              <w:rPr>
                <w:rFonts w:ascii="Times New Roman" w:hAnsi="Times New Roman" w:cs="Times New Roman"/>
                <w:sz w:val="24"/>
                <w:szCs w:val="24"/>
                <w:lang w:val="uz-Cyrl-UZ"/>
              </w:rPr>
              <w:t xml:space="preserve">  </w:t>
            </w:r>
            <w:r w:rsidRPr="00D208DC">
              <w:rPr>
                <w:rFonts w:ascii="Times New Roman" w:hAnsi="Times New Roman" w:cs="Times New Roman"/>
                <w:sz w:val="24"/>
                <w:szCs w:val="24"/>
                <w:lang w:val="en-US"/>
              </w:rPr>
              <w:t xml:space="preserve"> ≥11 points), %</w:t>
            </w:r>
          </w:p>
        </w:tc>
        <w:tc>
          <w:tcPr>
            <w:tcW w:w="2835" w:type="dxa"/>
            <w:vAlign w:val="center"/>
          </w:tcPr>
          <w:p w14:paraId="43801D2C"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19,2</w:t>
            </w:r>
          </w:p>
        </w:tc>
        <w:tc>
          <w:tcPr>
            <w:tcW w:w="2835" w:type="dxa"/>
            <w:vAlign w:val="center"/>
          </w:tcPr>
          <w:p w14:paraId="24EC0085"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14,8</w:t>
            </w:r>
          </w:p>
        </w:tc>
      </w:tr>
      <w:tr w:rsidR="00DD566D" w:rsidRPr="00D208DC" w14:paraId="64CBFB3B" w14:textId="77777777" w:rsidTr="00C90B56">
        <w:trPr>
          <w:jc w:val="center"/>
        </w:trPr>
        <w:tc>
          <w:tcPr>
            <w:tcW w:w="3823" w:type="dxa"/>
          </w:tcPr>
          <w:p w14:paraId="0A9EB33C"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Symptoms of subclinical depression (8-10 points on HADS-D), %</w:t>
            </w:r>
          </w:p>
        </w:tc>
        <w:tc>
          <w:tcPr>
            <w:tcW w:w="2835" w:type="dxa"/>
            <w:vAlign w:val="center"/>
          </w:tcPr>
          <w:p w14:paraId="054EC923"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38,4</w:t>
            </w:r>
          </w:p>
        </w:tc>
        <w:tc>
          <w:tcPr>
            <w:tcW w:w="2835" w:type="dxa"/>
            <w:vAlign w:val="center"/>
          </w:tcPr>
          <w:p w14:paraId="3A86EA01" w14:textId="77777777" w:rsidR="00DD566D" w:rsidRPr="00D208DC" w:rsidRDefault="00DD566D" w:rsidP="00C90B56">
            <w:pPr>
              <w:spacing w:line="276" w:lineRule="auto"/>
              <w:jc w:val="center"/>
              <w:rPr>
                <w:rFonts w:ascii="Times New Roman" w:hAnsi="Times New Roman" w:cs="Times New Roman"/>
                <w:sz w:val="24"/>
                <w:szCs w:val="24"/>
              </w:rPr>
            </w:pPr>
          </w:p>
        </w:tc>
      </w:tr>
      <w:tr w:rsidR="00DD566D" w:rsidRPr="00D208DC" w14:paraId="57D6D556" w14:textId="77777777" w:rsidTr="00C90B56">
        <w:trPr>
          <w:jc w:val="center"/>
        </w:trPr>
        <w:tc>
          <w:tcPr>
            <w:tcW w:w="3823" w:type="dxa"/>
          </w:tcPr>
          <w:p w14:paraId="00720298"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 xml:space="preserve">Concomitant symptoms of anxiety and depression (≥8 points according to HADS), % </w:t>
            </w:r>
          </w:p>
        </w:tc>
        <w:tc>
          <w:tcPr>
            <w:tcW w:w="2835" w:type="dxa"/>
            <w:vAlign w:val="center"/>
          </w:tcPr>
          <w:p w14:paraId="30DA33DF"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12,3</w:t>
            </w:r>
          </w:p>
        </w:tc>
        <w:tc>
          <w:tcPr>
            <w:tcW w:w="2835" w:type="dxa"/>
            <w:vAlign w:val="center"/>
          </w:tcPr>
          <w:p w14:paraId="3E04C3C3" w14:textId="77777777" w:rsidR="00DD566D" w:rsidRPr="00D208DC" w:rsidRDefault="00DD566D" w:rsidP="00C90B56">
            <w:pPr>
              <w:spacing w:line="276" w:lineRule="auto"/>
              <w:jc w:val="center"/>
              <w:rPr>
                <w:rFonts w:ascii="Times New Roman" w:hAnsi="Times New Roman" w:cs="Times New Roman"/>
                <w:sz w:val="24"/>
                <w:szCs w:val="24"/>
                <w:lang w:val="uz-Cyrl-UZ"/>
              </w:rPr>
            </w:pPr>
            <w:r w:rsidRPr="00D208DC">
              <w:rPr>
                <w:rFonts w:ascii="Times New Roman" w:hAnsi="Times New Roman" w:cs="Times New Roman"/>
                <w:sz w:val="24"/>
                <w:szCs w:val="24"/>
                <w:lang w:val="uz-Cyrl-UZ"/>
              </w:rPr>
              <w:t>10,7</w:t>
            </w:r>
          </w:p>
        </w:tc>
      </w:tr>
      <w:tr w:rsidR="00DD566D" w:rsidRPr="00D208DC" w14:paraId="625386F8" w14:textId="77777777" w:rsidTr="00C90B56">
        <w:trPr>
          <w:jc w:val="center"/>
        </w:trPr>
        <w:tc>
          <w:tcPr>
            <w:tcW w:w="3823" w:type="dxa"/>
          </w:tcPr>
          <w:p w14:paraId="67C31CF5" w14:textId="77777777" w:rsidR="00DD566D" w:rsidRPr="00D208DC" w:rsidRDefault="00DD566D" w:rsidP="00C90B56">
            <w:pPr>
              <w:spacing w:line="276" w:lineRule="auto"/>
              <w:rPr>
                <w:rFonts w:ascii="Times New Roman" w:hAnsi="Times New Roman" w:cs="Times New Roman"/>
                <w:sz w:val="24"/>
                <w:szCs w:val="24"/>
                <w:lang w:val="en-US"/>
              </w:rPr>
            </w:pPr>
            <w:r w:rsidRPr="00D208DC">
              <w:rPr>
                <w:rFonts w:ascii="Times New Roman" w:hAnsi="Times New Roman" w:cs="Times New Roman"/>
                <w:sz w:val="24"/>
                <w:szCs w:val="24"/>
                <w:lang w:val="en-US"/>
              </w:rPr>
              <w:t xml:space="preserve">Co-occurrence of clinically significant anxiety and depressive symptoms (≥11 on both HADS scales), % </w:t>
            </w:r>
          </w:p>
        </w:tc>
        <w:tc>
          <w:tcPr>
            <w:tcW w:w="2835" w:type="dxa"/>
            <w:vAlign w:val="center"/>
          </w:tcPr>
          <w:p w14:paraId="433ABF3E"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8,3</w:t>
            </w:r>
          </w:p>
        </w:tc>
        <w:tc>
          <w:tcPr>
            <w:tcW w:w="2835" w:type="dxa"/>
            <w:vAlign w:val="center"/>
          </w:tcPr>
          <w:p w14:paraId="3FC77801" w14:textId="77777777" w:rsidR="00DD566D" w:rsidRPr="00D208DC" w:rsidRDefault="00DD566D" w:rsidP="00C90B56">
            <w:pPr>
              <w:spacing w:line="276" w:lineRule="auto"/>
              <w:jc w:val="center"/>
              <w:rPr>
                <w:rFonts w:ascii="Times New Roman" w:hAnsi="Times New Roman" w:cs="Times New Roman"/>
                <w:sz w:val="24"/>
                <w:szCs w:val="24"/>
              </w:rPr>
            </w:pPr>
            <w:r w:rsidRPr="00D208DC">
              <w:rPr>
                <w:rFonts w:ascii="Times New Roman" w:hAnsi="Times New Roman" w:cs="Times New Roman"/>
                <w:sz w:val="24"/>
                <w:szCs w:val="24"/>
              </w:rPr>
              <w:t>6,5</w:t>
            </w:r>
          </w:p>
        </w:tc>
      </w:tr>
    </w:tbl>
    <w:p w14:paraId="396DB24F" w14:textId="77777777" w:rsidR="00DD566D" w:rsidRDefault="00DD566D" w:rsidP="00DD566D">
      <w:pPr>
        <w:spacing w:line="276" w:lineRule="auto"/>
        <w:ind w:firstLine="567"/>
        <w:jc w:val="both"/>
        <w:rPr>
          <w:rFonts w:eastAsia="Calibri" w:cs="Times New Roman"/>
          <w:sz w:val="24"/>
          <w:szCs w:val="24"/>
        </w:rPr>
      </w:pPr>
    </w:p>
    <w:p w14:paraId="405E4EDA" w14:textId="77777777" w:rsidR="00DD566D" w:rsidRDefault="00DD566D" w:rsidP="00DD566D">
      <w:pPr>
        <w:spacing w:line="276" w:lineRule="auto"/>
        <w:ind w:firstLine="567"/>
        <w:jc w:val="both"/>
        <w:rPr>
          <w:rFonts w:eastAsia="Calibri" w:cs="Times New Roman"/>
          <w:sz w:val="24"/>
          <w:szCs w:val="24"/>
        </w:rPr>
        <w:sectPr w:rsidR="00DD566D" w:rsidSect="00995DC2">
          <w:type w:val="continuous"/>
          <w:pgSz w:w="11907" w:h="16840" w:code="9"/>
          <w:pgMar w:top="1418" w:right="1134" w:bottom="1134" w:left="1134" w:header="907" w:footer="794" w:gutter="0"/>
          <w:cols w:space="708"/>
          <w:docGrid w:linePitch="381"/>
        </w:sectPr>
      </w:pPr>
    </w:p>
    <w:p w14:paraId="7D03C5FA"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t>More subclinical and clinically signifi</w:t>
      </w:r>
      <w:r>
        <w:rPr>
          <w:rFonts w:eastAsia="Calibri" w:cs="Times New Roman"/>
          <w:sz w:val="24"/>
          <w:szCs w:val="24"/>
        </w:rPr>
        <w:softHyphen/>
      </w:r>
      <w:r w:rsidRPr="00D208DC">
        <w:rPr>
          <w:rFonts w:eastAsia="Calibri" w:cs="Times New Roman"/>
          <w:sz w:val="24"/>
          <w:szCs w:val="24"/>
        </w:rPr>
        <w:t xml:space="preserve">cant depressive symptoms were observed in </w:t>
      </w:r>
      <w:r w:rsidRPr="00D208DC">
        <w:rPr>
          <w:rFonts w:eastAsia="Calibri" w:cs="Times New Roman"/>
          <w:sz w:val="24"/>
          <w:szCs w:val="24"/>
        </w:rPr>
        <w:t xml:space="preserve">patients with CVD. Anxiety symptoms were also observed in women (Table №2).           </w:t>
      </w:r>
    </w:p>
    <w:p w14:paraId="14CEFE49"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lastRenderedPageBreak/>
        <w:t>Recently, new data on the role of psycho</w:t>
      </w:r>
      <w:r>
        <w:rPr>
          <w:rFonts w:eastAsia="Calibri" w:cs="Times New Roman"/>
          <w:sz w:val="24"/>
          <w:szCs w:val="24"/>
        </w:rPr>
        <w:softHyphen/>
      </w:r>
      <w:r w:rsidRPr="00D208DC">
        <w:rPr>
          <w:rFonts w:eastAsia="Calibri" w:cs="Times New Roman"/>
          <w:sz w:val="24"/>
          <w:szCs w:val="24"/>
        </w:rPr>
        <w:t>social risk factors in the origin of NCDs are emerging. In addition to certain factors (family and work stress, low socioeconomic status, anxiety, depression), the recent European Rec</w:t>
      </w:r>
      <w:r>
        <w:rPr>
          <w:rFonts w:eastAsia="Calibri" w:cs="Times New Roman"/>
          <w:sz w:val="24"/>
          <w:szCs w:val="24"/>
        </w:rPr>
        <w:softHyphen/>
      </w:r>
      <w:r w:rsidRPr="00D208DC">
        <w:rPr>
          <w:rFonts w:eastAsia="Calibri" w:cs="Times New Roman"/>
          <w:sz w:val="24"/>
          <w:szCs w:val="24"/>
        </w:rPr>
        <w:t>ommendations on CVD Prevention has identi</w:t>
      </w:r>
      <w:r>
        <w:rPr>
          <w:rFonts w:eastAsia="Calibri" w:cs="Times New Roman"/>
          <w:sz w:val="24"/>
          <w:szCs w:val="24"/>
        </w:rPr>
        <w:softHyphen/>
      </w:r>
      <w:r w:rsidRPr="00D208DC">
        <w:rPr>
          <w:rFonts w:eastAsia="Calibri" w:cs="Times New Roman"/>
          <w:sz w:val="24"/>
          <w:szCs w:val="24"/>
        </w:rPr>
        <w:t>fied a personality factor that increases the risk of developing CVD and worsens the prognosis – type D personality (EACPR, 2012)</w:t>
      </w:r>
    </w:p>
    <w:p w14:paraId="63FDF0BD"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sz w:val="24"/>
          <w:szCs w:val="24"/>
        </w:rPr>
        <w:t>In our study, in the analysis of the DS-14 questionnaire, the “distressor” type of person</w:t>
      </w:r>
      <w:r>
        <w:rPr>
          <w:rFonts w:eastAsia="Calibri" w:cs="Times New Roman"/>
          <w:sz w:val="24"/>
          <w:szCs w:val="24"/>
        </w:rPr>
        <w:softHyphen/>
      </w:r>
      <w:r w:rsidRPr="00D208DC">
        <w:rPr>
          <w:rFonts w:eastAsia="Calibri" w:cs="Times New Roman"/>
          <w:sz w:val="24"/>
          <w:szCs w:val="24"/>
        </w:rPr>
        <w:t>ality type D was found in one-third of patients in group 1, which was 2.7 times higher than in group 2. In addition, AG was found to be more pronounced in non-type D individuals than in non-CVD patients on the NA (negative affect) and SI (social depression) scales. It is known that in the D types of personality, the develop</w:t>
      </w:r>
      <w:r>
        <w:rPr>
          <w:rFonts w:eastAsia="Calibri" w:cs="Times New Roman"/>
          <w:sz w:val="24"/>
          <w:szCs w:val="24"/>
        </w:rPr>
        <w:softHyphen/>
      </w:r>
      <w:r w:rsidRPr="00D208DC">
        <w:rPr>
          <w:rFonts w:eastAsia="Calibri" w:cs="Times New Roman"/>
          <w:sz w:val="24"/>
          <w:szCs w:val="24"/>
        </w:rPr>
        <w:t>ment of deeper experiences in stress is ob</w:t>
      </w:r>
      <w:r>
        <w:rPr>
          <w:rFonts w:eastAsia="Calibri" w:cs="Times New Roman"/>
          <w:sz w:val="24"/>
          <w:szCs w:val="24"/>
        </w:rPr>
        <w:softHyphen/>
      </w:r>
      <w:r w:rsidRPr="00D208DC">
        <w:rPr>
          <w:rFonts w:eastAsia="Calibri" w:cs="Times New Roman"/>
          <w:sz w:val="24"/>
          <w:szCs w:val="24"/>
        </w:rPr>
        <w:t>served, compared to those who do not have a type D personality.</w:t>
      </w:r>
    </w:p>
    <w:p w14:paraId="200961AC" w14:textId="77777777" w:rsidR="00DD566D" w:rsidRPr="00D208DC" w:rsidRDefault="00DD566D" w:rsidP="00DD566D">
      <w:pPr>
        <w:spacing w:line="276" w:lineRule="auto"/>
        <w:ind w:firstLine="567"/>
        <w:jc w:val="both"/>
        <w:rPr>
          <w:rFonts w:eastAsia="Calibri" w:cs="Times New Roman"/>
          <w:sz w:val="24"/>
          <w:szCs w:val="24"/>
        </w:rPr>
      </w:pPr>
      <w:r w:rsidRPr="00D208DC">
        <w:rPr>
          <w:rFonts w:eastAsia="Calibri" w:cs="Times New Roman"/>
          <w:b/>
          <w:sz w:val="24"/>
          <w:szCs w:val="24"/>
        </w:rPr>
        <w:t>Conclusion.</w:t>
      </w:r>
      <w:r w:rsidRPr="00D208DC">
        <w:rPr>
          <w:rFonts w:eastAsia="Calibri" w:cs="Times New Roman"/>
          <w:sz w:val="24"/>
          <w:szCs w:val="24"/>
        </w:rPr>
        <w:t xml:space="preserve"> Significant changes in psy</w:t>
      </w:r>
      <w:r>
        <w:rPr>
          <w:rFonts w:eastAsia="Calibri" w:cs="Times New Roman"/>
          <w:sz w:val="24"/>
          <w:szCs w:val="24"/>
        </w:rPr>
        <w:softHyphen/>
      </w:r>
      <w:r w:rsidRPr="00D208DC">
        <w:rPr>
          <w:rFonts w:eastAsia="Calibri" w:cs="Times New Roman"/>
          <w:sz w:val="24"/>
          <w:szCs w:val="24"/>
        </w:rPr>
        <w:t>chophysiological status were observed in pa</w:t>
      </w:r>
      <w:r>
        <w:rPr>
          <w:rFonts w:eastAsia="Calibri" w:cs="Times New Roman"/>
          <w:sz w:val="24"/>
          <w:szCs w:val="24"/>
        </w:rPr>
        <w:softHyphen/>
      </w:r>
      <w:r w:rsidRPr="00D208DC">
        <w:rPr>
          <w:rFonts w:eastAsia="Calibri" w:cs="Times New Roman"/>
          <w:sz w:val="24"/>
          <w:szCs w:val="24"/>
        </w:rPr>
        <w:t>tients with CVD: 4.5 times more subclinical anxiety was observed on the HADS scale, and subclinical depression and clinical anxiety were detected only in this group. Individuality was found to be 2.7 times higher in patients with type D CVD.</w:t>
      </w:r>
    </w:p>
    <w:p w14:paraId="22F4C340" w14:textId="77777777" w:rsidR="00DD566D" w:rsidRPr="002C4F8E" w:rsidRDefault="00DD566D" w:rsidP="00DD566D">
      <w:pPr>
        <w:autoSpaceDE w:val="0"/>
        <w:autoSpaceDN w:val="0"/>
        <w:adjustRightInd w:val="0"/>
        <w:spacing w:line="276" w:lineRule="auto"/>
        <w:contextualSpacing/>
        <w:jc w:val="both"/>
        <w:rPr>
          <w:rFonts w:eastAsia="Calibri" w:cs="Times New Roman"/>
          <w:b/>
          <w:sz w:val="24"/>
          <w:szCs w:val="24"/>
        </w:rPr>
      </w:pPr>
    </w:p>
    <w:p w14:paraId="22F337D5" w14:textId="77777777" w:rsidR="00DD566D" w:rsidRPr="002C4F8E" w:rsidRDefault="00DD566D" w:rsidP="00DD566D">
      <w:pPr>
        <w:autoSpaceDE w:val="0"/>
        <w:autoSpaceDN w:val="0"/>
        <w:adjustRightInd w:val="0"/>
        <w:spacing w:line="276" w:lineRule="auto"/>
        <w:contextualSpacing/>
        <w:jc w:val="center"/>
        <w:rPr>
          <w:rFonts w:eastAsia="Calibri" w:cs="Times New Roman"/>
          <w:b/>
          <w:sz w:val="24"/>
          <w:szCs w:val="24"/>
        </w:rPr>
      </w:pPr>
      <w:r w:rsidRPr="002C4F8E">
        <w:rPr>
          <w:rFonts w:eastAsia="Calibri" w:cs="Times New Roman"/>
          <w:b/>
          <w:sz w:val="24"/>
          <w:szCs w:val="24"/>
        </w:rPr>
        <w:t>REFERENCES</w:t>
      </w:r>
    </w:p>
    <w:p w14:paraId="67B1A817" w14:textId="77777777" w:rsidR="00DD566D" w:rsidRPr="00D208DC" w:rsidRDefault="00DD566D" w:rsidP="00DD566D">
      <w:pPr>
        <w:autoSpaceDE w:val="0"/>
        <w:autoSpaceDN w:val="0"/>
        <w:adjustRightInd w:val="0"/>
        <w:spacing w:line="276" w:lineRule="auto"/>
        <w:contextualSpacing/>
        <w:jc w:val="both"/>
        <w:rPr>
          <w:rFonts w:eastAsia="Calibri" w:cs="Times New Roman"/>
          <w:sz w:val="24"/>
          <w:szCs w:val="24"/>
        </w:rPr>
      </w:pPr>
    </w:p>
    <w:p w14:paraId="258A5FA9"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r w:rsidRPr="00D208DC">
        <w:rPr>
          <w:rFonts w:eastAsia="Calibri" w:cs="Times New Roman"/>
          <w:sz w:val="24"/>
          <w:szCs w:val="24"/>
        </w:rPr>
        <w:t>1. Bäuerle A, Teufel M, Musche V, et al. Increased generalized anxiety, depression and distress during the COVID-19 pandemic: a cross-sectional study in Germany. J Pub Health. 2020 Nov 23;42(4):672-8. doi: 10.1093/pubmed/fdaa106</w:t>
      </w:r>
    </w:p>
    <w:p w14:paraId="4884A00D"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r w:rsidRPr="00D208DC">
        <w:rPr>
          <w:rFonts w:eastAsia="Calibri" w:cs="Times New Roman"/>
          <w:sz w:val="24"/>
          <w:szCs w:val="24"/>
        </w:rPr>
        <w:t>2. Brooks SK, Webster RK, Smith LE, et al. The psychological impact of quarantine and how to reduce it: rapid review of the evidence. Lancet. 2020 Mar 14;395(10227):912-20. doi: 10.1016/S0140-6736(20)30460-8. Epub 2020 Feb 26</w:t>
      </w:r>
    </w:p>
    <w:p w14:paraId="22FCDB68" w14:textId="77777777" w:rsidR="00DD566D" w:rsidRPr="00B62084" w:rsidRDefault="00DD566D" w:rsidP="00DD566D">
      <w:pPr>
        <w:autoSpaceDE w:val="0"/>
        <w:autoSpaceDN w:val="0"/>
        <w:adjustRightInd w:val="0"/>
        <w:spacing w:line="276" w:lineRule="auto"/>
        <w:ind w:firstLine="567"/>
        <w:jc w:val="both"/>
        <w:rPr>
          <w:rFonts w:eastAsia="Calibri" w:cs="Times New Roman"/>
          <w:sz w:val="24"/>
          <w:szCs w:val="24"/>
          <w:lang w:val="it-IT"/>
        </w:rPr>
      </w:pPr>
      <w:r w:rsidRPr="00D208DC">
        <w:rPr>
          <w:rFonts w:eastAsia="Calibri" w:cs="Times New Roman"/>
          <w:sz w:val="24"/>
          <w:szCs w:val="24"/>
        </w:rPr>
        <w:t>3. Casseb GA, Kaster MP, Rodrigues ALS. Potential role of vitamin D for the man</w:t>
      </w:r>
      <w:r>
        <w:rPr>
          <w:rFonts w:eastAsia="Calibri" w:cs="Times New Roman"/>
          <w:sz w:val="24"/>
          <w:szCs w:val="24"/>
        </w:rPr>
        <w:softHyphen/>
      </w:r>
      <w:r w:rsidRPr="00D208DC">
        <w:rPr>
          <w:rFonts w:eastAsia="Calibri" w:cs="Times New Roman"/>
          <w:sz w:val="24"/>
          <w:szCs w:val="24"/>
        </w:rPr>
        <w:t xml:space="preserve">agement of depression and anxiety. </w:t>
      </w:r>
      <w:r w:rsidRPr="00B62084">
        <w:rPr>
          <w:rFonts w:eastAsia="Calibri" w:cs="Times New Roman"/>
          <w:sz w:val="24"/>
          <w:szCs w:val="24"/>
          <w:lang w:val="it-IT"/>
        </w:rPr>
        <w:t xml:space="preserve">CNS Drugs. 2019 Jul;33(7):619-37. doi: 10.1007/s40263-019- 00640-4 </w:t>
      </w:r>
    </w:p>
    <w:p w14:paraId="5979DF99"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r w:rsidRPr="00B62084">
        <w:rPr>
          <w:rFonts w:eastAsia="Calibri" w:cs="Times New Roman"/>
          <w:sz w:val="24"/>
          <w:szCs w:val="24"/>
          <w:lang w:val="it-IT"/>
        </w:rPr>
        <w:t xml:space="preserve">4. Fullana MA, Hidalgo-Mazzei D, Vieta E, et al. </w:t>
      </w:r>
      <w:r w:rsidRPr="00D208DC">
        <w:rPr>
          <w:rFonts w:eastAsia="Calibri" w:cs="Times New Roman"/>
          <w:sz w:val="24"/>
          <w:szCs w:val="24"/>
        </w:rPr>
        <w:t>Coping behaviors associated with de</w:t>
      </w:r>
      <w:r>
        <w:rPr>
          <w:rFonts w:eastAsia="Calibri" w:cs="Times New Roman"/>
          <w:sz w:val="24"/>
          <w:szCs w:val="24"/>
        </w:rPr>
        <w:softHyphen/>
      </w:r>
      <w:r w:rsidRPr="00D208DC">
        <w:rPr>
          <w:rFonts w:eastAsia="Calibri" w:cs="Times New Roman"/>
          <w:sz w:val="24"/>
          <w:szCs w:val="24"/>
        </w:rPr>
        <w:t>creased anxiety and depressive symptoms dur</w:t>
      </w:r>
      <w:r>
        <w:rPr>
          <w:rFonts w:eastAsia="Calibri" w:cs="Times New Roman"/>
          <w:sz w:val="24"/>
          <w:szCs w:val="24"/>
        </w:rPr>
        <w:softHyphen/>
      </w:r>
      <w:r w:rsidRPr="00D208DC">
        <w:rPr>
          <w:rFonts w:eastAsia="Calibri" w:cs="Times New Roman"/>
          <w:sz w:val="24"/>
          <w:szCs w:val="24"/>
        </w:rPr>
        <w:t>ing the COVID-19 pandemic and lockdown. J Affect Dis. 2020 Oct 1;275:80-1. doi: 10.1016/j.jad.2020.06.027. Epub 2020 Jul 2.</w:t>
      </w:r>
    </w:p>
    <w:p w14:paraId="3383E0FA" w14:textId="77777777" w:rsidR="00DD566D" w:rsidRPr="00D208DC" w:rsidRDefault="00DD566D" w:rsidP="00DD566D">
      <w:pPr>
        <w:autoSpaceDE w:val="0"/>
        <w:autoSpaceDN w:val="0"/>
        <w:adjustRightInd w:val="0"/>
        <w:spacing w:line="276" w:lineRule="auto"/>
        <w:ind w:firstLine="567"/>
        <w:jc w:val="both"/>
        <w:rPr>
          <w:rFonts w:eastAsia="Calibri" w:cs="Times New Roman"/>
          <w:sz w:val="24"/>
          <w:szCs w:val="24"/>
        </w:rPr>
      </w:pPr>
      <w:r w:rsidRPr="00AE6256">
        <w:rPr>
          <w:rFonts w:eastAsia="Calibri" w:cs="Times New Roman"/>
          <w:sz w:val="24"/>
          <w:szCs w:val="24"/>
        </w:rPr>
        <w:t xml:space="preserve">5. Jacques A, Chaaya N, Beecher K, et al. </w:t>
      </w:r>
      <w:r w:rsidRPr="00D208DC">
        <w:rPr>
          <w:rFonts w:eastAsia="Calibri" w:cs="Times New Roman"/>
          <w:sz w:val="24"/>
          <w:szCs w:val="24"/>
        </w:rPr>
        <w:t>The impact of sugar consumption on stress driven, emotional and addictive behaviors. Neurosci Biobehav Rev. 2019 Aug;103:178-99. doi: 10.1016/j.neubiorev.2019.05.021. Epub 2019 May 21.</w:t>
      </w:r>
    </w:p>
    <w:p w14:paraId="655A9BFA"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r w:rsidRPr="00AE6256">
        <w:rPr>
          <w:rFonts w:eastAsia="Calibri" w:cs="Times New Roman"/>
          <w:sz w:val="24"/>
          <w:szCs w:val="24"/>
        </w:rPr>
        <w:t xml:space="preserve">6. Mazza MG, Lorenzo RD, Conte C, et al. </w:t>
      </w:r>
      <w:r w:rsidRPr="00D208DC">
        <w:rPr>
          <w:rFonts w:eastAsia="Calibri" w:cs="Times New Roman"/>
          <w:sz w:val="24"/>
          <w:szCs w:val="24"/>
        </w:rPr>
        <w:t>Anxiety and depression in COVID-19 sur</w:t>
      </w:r>
      <w:r>
        <w:rPr>
          <w:rFonts w:eastAsia="Calibri" w:cs="Times New Roman"/>
          <w:sz w:val="24"/>
          <w:szCs w:val="24"/>
        </w:rPr>
        <w:softHyphen/>
      </w:r>
      <w:r w:rsidRPr="00D208DC">
        <w:rPr>
          <w:rFonts w:eastAsia="Calibri" w:cs="Times New Roman"/>
          <w:sz w:val="24"/>
          <w:szCs w:val="24"/>
        </w:rPr>
        <w:t>vivors: Role of inflammatory and clinical pre</w:t>
      </w:r>
      <w:r>
        <w:rPr>
          <w:rFonts w:eastAsia="Calibri" w:cs="Times New Roman"/>
          <w:sz w:val="24"/>
          <w:szCs w:val="24"/>
        </w:rPr>
        <w:softHyphen/>
      </w:r>
      <w:r w:rsidRPr="00D208DC">
        <w:rPr>
          <w:rFonts w:eastAsia="Calibri" w:cs="Times New Roman"/>
          <w:sz w:val="24"/>
          <w:szCs w:val="24"/>
        </w:rPr>
        <w:t xml:space="preserve">dictors. Brain Behav Immun. 2020 Oct;89:594-600. doi: 10.1016/j.bbi.2020.07.037. Epub 2020 Jul 30. </w:t>
      </w:r>
    </w:p>
    <w:p w14:paraId="601EB8C2" w14:textId="77777777" w:rsidR="00DD566D" w:rsidRPr="00D208DC" w:rsidRDefault="00DD566D" w:rsidP="00DD566D">
      <w:pPr>
        <w:autoSpaceDE w:val="0"/>
        <w:autoSpaceDN w:val="0"/>
        <w:adjustRightInd w:val="0"/>
        <w:spacing w:line="276" w:lineRule="auto"/>
        <w:ind w:firstLine="567"/>
        <w:jc w:val="both"/>
        <w:rPr>
          <w:rFonts w:eastAsia="Calibri" w:cs="Times New Roman"/>
          <w:sz w:val="24"/>
          <w:szCs w:val="24"/>
        </w:rPr>
      </w:pPr>
      <w:r w:rsidRPr="00AE6256">
        <w:rPr>
          <w:rFonts w:eastAsia="Calibri" w:cs="Times New Roman"/>
          <w:sz w:val="24"/>
          <w:szCs w:val="24"/>
        </w:rPr>
        <w:t xml:space="preserve">7. Pappa S, Ntella T, Giannakas T, et al. </w:t>
      </w:r>
      <w:r w:rsidRPr="00D208DC">
        <w:rPr>
          <w:rFonts w:eastAsia="Calibri" w:cs="Times New Roman"/>
          <w:sz w:val="24"/>
          <w:szCs w:val="24"/>
        </w:rPr>
        <w:t>Prevalence of depression, anxiety, and insom</w:t>
      </w:r>
      <w:r>
        <w:rPr>
          <w:rFonts w:eastAsia="Calibri" w:cs="Times New Roman"/>
          <w:sz w:val="24"/>
          <w:szCs w:val="24"/>
        </w:rPr>
        <w:softHyphen/>
      </w:r>
      <w:r w:rsidRPr="00D208DC">
        <w:rPr>
          <w:rFonts w:eastAsia="Calibri" w:cs="Times New Roman"/>
          <w:sz w:val="24"/>
          <w:szCs w:val="24"/>
        </w:rPr>
        <w:t xml:space="preserve">nia among healthcare workers during the COVID-19 pandemic: A systematic review and meta-analysis. Brain Behav Immun. 2020 Aug;88:901-7. doi: 10.1016/j.bbi.2020.05.026. Epub 2020 May 8. </w:t>
      </w:r>
    </w:p>
    <w:p w14:paraId="15A2DCBF"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r w:rsidRPr="00D208DC">
        <w:rPr>
          <w:rFonts w:eastAsia="Calibri" w:cs="Times New Roman"/>
          <w:sz w:val="24"/>
          <w:szCs w:val="24"/>
        </w:rPr>
        <w:t>8. Thesing CS, Bot M, Milaneschi Y, et al. Omega-3 polyunsaturated fatty acid levels and dysregulations in biological stress sys</w:t>
      </w:r>
      <w:r>
        <w:rPr>
          <w:rFonts w:eastAsia="Calibri" w:cs="Times New Roman"/>
          <w:sz w:val="24"/>
          <w:szCs w:val="24"/>
        </w:rPr>
        <w:softHyphen/>
      </w:r>
      <w:r w:rsidRPr="00D208DC">
        <w:rPr>
          <w:rFonts w:eastAsia="Calibri" w:cs="Times New Roman"/>
          <w:sz w:val="24"/>
          <w:szCs w:val="24"/>
        </w:rPr>
        <w:t>tems. Psychoneuroendocrinology. 2018 Nov;97:206-15. doi: 10.1016/j.</w:t>
      </w:r>
      <w:r w:rsidRPr="00B62084">
        <w:rPr>
          <w:rFonts w:eastAsia="Calibri" w:cs="Times New Roman"/>
          <w:sz w:val="24"/>
          <w:szCs w:val="24"/>
        </w:rPr>
        <w:t xml:space="preserve"> </w:t>
      </w:r>
      <w:r w:rsidRPr="00D208DC">
        <w:rPr>
          <w:rFonts w:eastAsia="Calibri" w:cs="Times New Roman"/>
          <w:sz w:val="24"/>
          <w:szCs w:val="24"/>
        </w:rPr>
        <w:t>psyneuen.</w:t>
      </w:r>
      <w:r w:rsidRPr="00B62084">
        <w:rPr>
          <w:rFonts w:eastAsia="Calibri" w:cs="Times New Roman"/>
          <w:sz w:val="24"/>
          <w:szCs w:val="24"/>
        </w:rPr>
        <w:t xml:space="preserve"> </w:t>
      </w:r>
      <w:r w:rsidRPr="00D208DC">
        <w:rPr>
          <w:rFonts w:eastAsia="Calibri" w:cs="Times New Roman"/>
          <w:sz w:val="24"/>
          <w:szCs w:val="24"/>
        </w:rPr>
        <w:t>2018.07.002. Epub 2018 Jul 8.</w:t>
      </w:r>
    </w:p>
    <w:p w14:paraId="23FB3EF0" w14:textId="77777777" w:rsidR="00DD566D" w:rsidRPr="00B62084" w:rsidRDefault="00DD566D" w:rsidP="00DD566D">
      <w:pPr>
        <w:autoSpaceDE w:val="0"/>
        <w:autoSpaceDN w:val="0"/>
        <w:adjustRightInd w:val="0"/>
        <w:spacing w:line="276" w:lineRule="auto"/>
        <w:ind w:firstLine="567"/>
        <w:jc w:val="both"/>
        <w:rPr>
          <w:rFonts w:eastAsia="Calibri" w:cs="Times New Roman"/>
          <w:sz w:val="24"/>
          <w:szCs w:val="24"/>
          <w:lang w:val="fr-FR"/>
        </w:rPr>
      </w:pPr>
      <w:r w:rsidRPr="00D208DC">
        <w:rPr>
          <w:rFonts w:eastAsia="ArnoPro-SmText" w:cs="Times New Roman"/>
          <w:sz w:val="24"/>
          <w:szCs w:val="24"/>
        </w:rPr>
        <w:t>9. Rozanski A. Psychosocial risk factors and cardiovascular disease:tpidemiology, screening, and treatment considera</w:t>
      </w:r>
      <w:r>
        <w:rPr>
          <w:rFonts w:eastAsia="ArnoPro-SmText" w:cs="Times New Roman"/>
          <w:sz w:val="24"/>
          <w:szCs w:val="24"/>
        </w:rPr>
        <w:softHyphen/>
      </w:r>
      <w:r w:rsidRPr="00D208DC">
        <w:rPr>
          <w:rFonts w:eastAsia="ArnoPro-SmText" w:cs="Times New Roman"/>
          <w:sz w:val="24"/>
          <w:szCs w:val="24"/>
        </w:rPr>
        <w:t>tions.</w:t>
      </w:r>
      <w:r w:rsidRPr="00B62084">
        <w:rPr>
          <w:rFonts w:eastAsia="ArnoPro-SmText" w:cs="Times New Roman"/>
          <w:sz w:val="24"/>
          <w:szCs w:val="24"/>
        </w:rPr>
        <w:t xml:space="preserve"> </w:t>
      </w:r>
      <w:r w:rsidRPr="00B62084">
        <w:rPr>
          <w:rFonts w:eastAsia="ArnoPro-SmText" w:cs="Times New Roman"/>
          <w:sz w:val="24"/>
          <w:szCs w:val="24"/>
          <w:lang w:val="fr-FR"/>
        </w:rPr>
        <w:t>Cardiovascular Innovations and Applica</w:t>
      </w:r>
      <w:r w:rsidRPr="00B62084">
        <w:rPr>
          <w:rFonts w:eastAsia="ArnoPro-SmText" w:cs="Times New Roman"/>
          <w:sz w:val="24"/>
          <w:szCs w:val="24"/>
          <w:lang w:val="fr-FR"/>
        </w:rPr>
        <w:softHyphen/>
        <w:t>tions 2016;1 (4):417–431.</w:t>
      </w:r>
    </w:p>
    <w:p w14:paraId="78AA55D3" w14:textId="77777777" w:rsidR="00DD566D" w:rsidRDefault="00DD566D" w:rsidP="00DD566D">
      <w:pPr>
        <w:autoSpaceDE w:val="0"/>
        <w:autoSpaceDN w:val="0"/>
        <w:adjustRightInd w:val="0"/>
        <w:spacing w:line="276" w:lineRule="auto"/>
        <w:ind w:firstLine="567"/>
        <w:jc w:val="both"/>
        <w:rPr>
          <w:rFonts w:eastAsia="Calibri" w:cs="Times New Roman"/>
          <w:sz w:val="24"/>
          <w:szCs w:val="24"/>
        </w:rPr>
        <w:sectPr w:rsidR="00DD566D" w:rsidSect="002C4F8E">
          <w:type w:val="continuous"/>
          <w:pgSz w:w="11907" w:h="16840" w:code="9"/>
          <w:pgMar w:top="1418" w:right="1134" w:bottom="1134" w:left="1134" w:header="907" w:footer="794" w:gutter="0"/>
          <w:cols w:num="2" w:space="708"/>
          <w:docGrid w:linePitch="381"/>
        </w:sectPr>
      </w:pPr>
      <w:r w:rsidRPr="00B62084">
        <w:rPr>
          <w:rFonts w:eastAsia="Calibri" w:cs="Times New Roman"/>
          <w:sz w:val="24"/>
          <w:szCs w:val="24"/>
          <w:lang w:val="fr-FR"/>
        </w:rPr>
        <w:t xml:space="preserve">10. Ventura T, Santander J, Torres R, et al. </w:t>
      </w:r>
      <w:r w:rsidRPr="00D208DC">
        <w:rPr>
          <w:rFonts w:eastAsia="Calibri" w:cs="Times New Roman"/>
          <w:sz w:val="24"/>
          <w:szCs w:val="24"/>
        </w:rPr>
        <w:t>Neurobiologic basis of craving for carbohy</w:t>
      </w:r>
      <w:r>
        <w:rPr>
          <w:rFonts w:eastAsia="Calibri" w:cs="Times New Roman"/>
          <w:sz w:val="24"/>
          <w:szCs w:val="24"/>
        </w:rPr>
        <w:softHyphen/>
      </w:r>
      <w:r w:rsidRPr="00D208DC">
        <w:rPr>
          <w:rFonts w:eastAsia="Calibri" w:cs="Times New Roman"/>
          <w:sz w:val="24"/>
          <w:szCs w:val="24"/>
        </w:rPr>
        <w:t>drates. Nutrition. 2014 Mar;30(3):252-6. doi: 10.1016/j.nut.2013.06.010. Epub 2013 Oct 17</w:t>
      </w:r>
    </w:p>
    <w:p w14:paraId="39AB7B49"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p>
    <w:p w14:paraId="02A56E46" w14:textId="77777777" w:rsidR="00DD566D" w:rsidRPr="00D208DC" w:rsidRDefault="00DD566D" w:rsidP="00DD566D">
      <w:pPr>
        <w:autoSpaceDE w:val="0"/>
        <w:autoSpaceDN w:val="0"/>
        <w:adjustRightInd w:val="0"/>
        <w:spacing w:line="276" w:lineRule="auto"/>
        <w:ind w:firstLine="567"/>
        <w:jc w:val="both"/>
        <w:rPr>
          <w:rFonts w:eastAsia="Calibri" w:cs="Times New Roman"/>
          <w:b/>
          <w:sz w:val="24"/>
          <w:szCs w:val="24"/>
        </w:rPr>
      </w:pPr>
    </w:p>
    <w:p w14:paraId="1F84233C" w14:textId="77777777" w:rsidR="00DD566D" w:rsidRPr="00D208DC" w:rsidRDefault="00DD566D" w:rsidP="00DD566D">
      <w:pPr>
        <w:spacing w:line="276" w:lineRule="auto"/>
        <w:ind w:firstLine="567"/>
        <w:jc w:val="both"/>
        <w:rPr>
          <w:rFonts w:eastAsia="Calibri" w:cs="Times New Roman"/>
          <w:sz w:val="24"/>
          <w:szCs w:val="24"/>
        </w:rPr>
      </w:pPr>
    </w:p>
    <w:p w14:paraId="2B488A4B" w14:textId="77777777" w:rsidR="00DD566D" w:rsidRPr="00D208DC" w:rsidRDefault="00DD566D" w:rsidP="00DD566D">
      <w:pPr>
        <w:spacing w:line="276" w:lineRule="auto"/>
        <w:ind w:firstLine="567"/>
        <w:jc w:val="both"/>
        <w:rPr>
          <w:rFonts w:cs="Times New Roman"/>
          <w:sz w:val="24"/>
          <w:szCs w:val="24"/>
          <w:lang w:val="uz-Latn-UZ"/>
        </w:rPr>
      </w:pPr>
    </w:p>
    <w:p w14:paraId="18EE3365" w14:textId="77777777" w:rsidR="00DD566D" w:rsidRPr="00D208DC" w:rsidRDefault="00DD566D" w:rsidP="00DD566D">
      <w:pPr>
        <w:spacing w:line="276" w:lineRule="auto"/>
        <w:ind w:firstLine="567"/>
        <w:jc w:val="both"/>
        <w:rPr>
          <w:rFonts w:cs="Times New Roman"/>
          <w:sz w:val="24"/>
          <w:szCs w:val="24"/>
          <w:lang w:val="uz-Latn-UZ"/>
        </w:rPr>
      </w:pPr>
    </w:p>
    <w:p w14:paraId="05365C7F" w14:textId="77777777" w:rsidR="00DD566D" w:rsidRPr="00D208DC" w:rsidRDefault="00DD566D" w:rsidP="00DD566D">
      <w:pPr>
        <w:spacing w:line="276" w:lineRule="auto"/>
        <w:ind w:firstLine="567"/>
        <w:jc w:val="both"/>
        <w:rPr>
          <w:rFonts w:cs="Times New Roman"/>
          <w:sz w:val="24"/>
          <w:szCs w:val="24"/>
          <w:lang w:val="uz-Latn-UZ"/>
        </w:rPr>
      </w:pPr>
    </w:p>
    <w:p w14:paraId="11872D76" w14:textId="77777777" w:rsidR="00DD566D" w:rsidRPr="00D208DC" w:rsidRDefault="00DD566D" w:rsidP="00DD566D">
      <w:pPr>
        <w:spacing w:line="276" w:lineRule="auto"/>
        <w:ind w:firstLine="567"/>
        <w:jc w:val="both"/>
        <w:rPr>
          <w:rFonts w:cs="Times New Roman"/>
          <w:sz w:val="24"/>
          <w:szCs w:val="24"/>
          <w:lang w:val="uz-Latn-UZ"/>
        </w:rPr>
      </w:pPr>
    </w:p>
    <w:p w14:paraId="09E7B9A0" w14:textId="77777777" w:rsidR="00DD566D" w:rsidRDefault="00DD566D" w:rsidP="00DD566D">
      <w:pPr>
        <w:ind w:firstLine="567"/>
        <w:jc w:val="both"/>
        <w:rPr>
          <w:sz w:val="24"/>
          <w:lang w:val="uz-Latn-UZ"/>
        </w:rPr>
      </w:pPr>
    </w:p>
    <w:p w14:paraId="19C8D39E" w14:textId="77777777" w:rsidR="00DD566D" w:rsidRDefault="00DD566D" w:rsidP="00DD566D">
      <w:pPr>
        <w:ind w:firstLine="567"/>
        <w:jc w:val="both"/>
        <w:rPr>
          <w:sz w:val="24"/>
          <w:lang w:val="uz-Latn-UZ"/>
        </w:rPr>
      </w:pPr>
    </w:p>
    <w:p w14:paraId="486B197B" w14:textId="77777777" w:rsidR="00DD566D" w:rsidRPr="00D430D9" w:rsidRDefault="00DD566D" w:rsidP="00DD566D">
      <w:pPr>
        <w:pStyle w:val="1"/>
        <w:rPr>
          <w:rFonts w:eastAsia="SimSun"/>
        </w:rPr>
      </w:pPr>
      <w:bookmarkStart w:id="8" w:name="_Toc104745753"/>
      <w:r w:rsidRPr="00D430D9">
        <w:rPr>
          <w:rFonts w:eastAsia="SimSun"/>
        </w:rPr>
        <w:t xml:space="preserve">SPECIFIC COURSE OF DIFFERENT GENESIS PARENCHYMATOUS </w:t>
      </w:r>
      <w:r>
        <w:rPr>
          <w:rFonts w:eastAsia="SimSun"/>
        </w:rPr>
        <w:t xml:space="preserve">      </w:t>
      </w:r>
      <w:r w:rsidRPr="00D430D9">
        <w:rPr>
          <w:rFonts w:eastAsia="SimSun"/>
        </w:rPr>
        <w:t>HEMORRHAGIC STOKE</w:t>
      </w:r>
      <w:bookmarkEnd w:id="8"/>
    </w:p>
    <w:p w14:paraId="4FBD6FA8" w14:textId="77777777" w:rsidR="00DD566D" w:rsidRDefault="00DD566D" w:rsidP="00DD566D">
      <w:pPr>
        <w:spacing w:line="276" w:lineRule="auto"/>
        <w:ind w:firstLine="567"/>
        <w:jc w:val="both"/>
        <w:rPr>
          <w:rFonts w:eastAsia="SimSun" w:cs="Times New Roman"/>
          <w:b/>
          <w:bCs/>
          <w:sz w:val="24"/>
          <w:szCs w:val="24"/>
          <w:lang w:eastAsia="zh-CN"/>
        </w:rPr>
      </w:pPr>
    </w:p>
    <w:p w14:paraId="3171500E" w14:textId="77777777" w:rsidR="00DD566D" w:rsidRPr="00D430D9" w:rsidRDefault="00DD566D" w:rsidP="00DD566D">
      <w:pPr>
        <w:spacing w:line="276" w:lineRule="auto"/>
        <w:jc w:val="center"/>
        <w:rPr>
          <w:rFonts w:eastAsia="SimSun" w:cs="Times New Roman"/>
          <w:b/>
          <w:bCs/>
          <w:sz w:val="24"/>
          <w:szCs w:val="24"/>
          <w:lang w:eastAsia="zh-CN"/>
        </w:rPr>
      </w:pPr>
      <w:r w:rsidRPr="00D430D9">
        <w:rPr>
          <w:rFonts w:eastAsia="SimSun" w:cs="Times New Roman"/>
          <w:b/>
          <w:bCs/>
          <w:sz w:val="24"/>
          <w:szCs w:val="24"/>
          <w:lang w:eastAsia="zh-CN"/>
        </w:rPr>
        <w:t>Akbaralieva S.U., Rakhimbaeva G.S.</w:t>
      </w:r>
    </w:p>
    <w:p w14:paraId="631902A0" w14:textId="77777777" w:rsidR="00DD566D" w:rsidRPr="00D430D9" w:rsidRDefault="00DD566D" w:rsidP="00DD566D">
      <w:pPr>
        <w:spacing w:line="276" w:lineRule="auto"/>
        <w:jc w:val="center"/>
        <w:rPr>
          <w:rFonts w:eastAsia="SimSun" w:cs="Times New Roman"/>
          <w:sz w:val="24"/>
          <w:szCs w:val="24"/>
          <w:lang w:eastAsia="zh-CN"/>
        </w:rPr>
      </w:pPr>
      <w:r w:rsidRPr="00D430D9">
        <w:rPr>
          <w:rFonts w:eastAsia="SimSun" w:cs="Times New Roman"/>
          <w:sz w:val="24"/>
          <w:szCs w:val="24"/>
          <w:lang w:eastAsia="zh-CN"/>
        </w:rPr>
        <w:t>Neurology and medical psychology department</w:t>
      </w:r>
    </w:p>
    <w:p w14:paraId="51869049" w14:textId="77777777" w:rsidR="00DD566D" w:rsidRPr="00D430D9" w:rsidRDefault="00DD566D" w:rsidP="00DD566D">
      <w:pPr>
        <w:spacing w:line="276" w:lineRule="auto"/>
        <w:jc w:val="center"/>
        <w:rPr>
          <w:rFonts w:eastAsia="SimSun" w:cs="Times New Roman"/>
          <w:sz w:val="24"/>
          <w:szCs w:val="24"/>
          <w:lang w:eastAsia="zh-CN"/>
        </w:rPr>
      </w:pPr>
      <w:r w:rsidRPr="00D430D9">
        <w:rPr>
          <w:rFonts w:eastAsia="SimSun" w:cs="Times New Roman"/>
          <w:sz w:val="24"/>
          <w:szCs w:val="24"/>
          <w:lang w:eastAsia="zh-CN"/>
        </w:rPr>
        <w:t>Tashkent Medical Academy</w:t>
      </w:r>
      <w:r w:rsidRPr="00B30BB8">
        <w:rPr>
          <w:rFonts w:eastAsia="SimSun" w:cs="Times New Roman"/>
          <w:sz w:val="24"/>
          <w:szCs w:val="24"/>
          <w:lang w:eastAsia="zh-CN"/>
        </w:rPr>
        <w:t>, Tashkent, Uzbekistan</w:t>
      </w:r>
    </w:p>
    <w:p w14:paraId="325A2A65" w14:textId="77777777" w:rsidR="00DD566D" w:rsidRDefault="00DD566D" w:rsidP="00DD566D">
      <w:pPr>
        <w:spacing w:line="276" w:lineRule="auto"/>
        <w:ind w:firstLine="567"/>
        <w:jc w:val="both"/>
        <w:rPr>
          <w:rFonts w:eastAsia="SimSun" w:cs="Times New Roman"/>
          <w:b/>
          <w:bCs/>
          <w:sz w:val="24"/>
          <w:szCs w:val="24"/>
          <w:lang w:eastAsia="zh-CN"/>
        </w:rPr>
      </w:pPr>
    </w:p>
    <w:p w14:paraId="4819316B"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b/>
          <w:bCs/>
          <w:i/>
          <w:iCs/>
          <w:sz w:val="24"/>
          <w:szCs w:val="24"/>
          <w:lang w:eastAsia="zh-CN"/>
        </w:rPr>
        <w:t>Annotation</w:t>
      </w:r>
      <w:r w:rsidRPr="00B30BB8">
        <w:rPr>
          <w:rFonts w:eastAsia="SimSun" w:cs="Times New Roman"/>
          <w:b/>
          <w:bCs/>
          <w:i/>
          <w:iCs/>
          <w:sz w:val="24"/>
          <w:szCs w:val="24"/>
          <w:lang w:eastAsia="zh-CN"/>
        </w:rPr>
        <w:t xml:space="preserve">. </w:t>
      </w:r>
      <w:r w:rsidRPr="00D430D9">
        <w:rPr>
          <w:rFonts w:eastAsia="SimSun" w:cs="Times New Roman"/>
          <w:i/>
          <w:iCs/>
          <w:sz w:val="24"/>
          <w:szCs w:val="24"/>
          <w:lang w:eastAsia="zh-CN"/>
        </w:rPr>
        <w:t>The article describes the specific course of parenchymal hemorrhagic stroke in patients with different comorbid conditions and their age and sex. Hemorrhagic stroke, especially parenchymal type, is one of the most common and topical medical and social problems. Cardiovascular and endocrine diseases are increasing the incidence of parenchymal type of hemorrhagic stroke as a background. As a result, patients have varying degrees of neurological disorders and premature death.</w:t>
      </w:r>
    </w:p>
    <w:p w14:paraId="0989AFB7" w14:textId="77777777" w:rsidR="00DD566D" w:rsidRPr="00D430D9" w:rsidRDefault="00DD566D" w:rsidP="00DD566D">
      <w:pPr>
        <w:spacing w:line="276" w:lineRule="auto"/>
        <w:ind w:firstLine="567"/>
        <w:jc w:val="both"/>
        <w:rPr>
          <w:rFonts w:eastAsia="SimSun" w:cs="Times New Roman"/>
          <w:b/>
          <w:bCs/>
          <w:i/>
          <w:iCs/>
          <w:sz w:val="24"/>
          <w:szCs w:val="24"/>
          <w:lang w:eastAsia="zh-CN"/>
        </w:rPr>
      </w:pPr>
      <w:r w:rsidRPr="00D430D9">
        <w:rPr>
          <w:rFonts w:eastAsia="SimSun" w:cs="Times New Roman"/>
          <w:b/>
          <w:bCs/>
          <w:i/>
          <w:iCs/>
          <w:sz w:val="24"/>
          <w:szCs w:val="24"/>
          <w:lang w:eastAsia="zh-CN"/>
        </w:rPr>
        <w:t>Relevance of the problem</w:t>
      </w:r>
    </w:p>
    <w:p w14:paraId="0226AACB"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i/>
          <w:iCs/>
          <w:sz w:val="24"/>
          <w:szCs w:val="24"/>
          <w:lang w:eastAsia="zh-CN"/>
        </w:rPr>
        <w:t>An acute disorder of blood circulation in the brain is called a stroke. Ischemic, hemorrhagic and mixed strokes are distinguished. Ischemic stroke is a clinical syndrome that occurs as a result of a sudden decrease or cessation of blood flow in a specific part of the brain, the symptoms of which are detected more than 24 hours [1,2].</w:t>
      </w:r>
    </w:p>
    <w:p w14:paraId="2072E0C6"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i/>
          <w:iCs/>
          <w:sz w:val="24"/>
          <w:szCs w:val="24"/>
          <w:lang w:eastAsia="zh-CN"/>
        </w:rPr>
        <w:t>Hemorrhagic stroke occurs due to rupture of pathologically altered blood vessels or leakage of blood from the brittle vascular wall into brain tissue (perdiapedesis) [1,2].</w:t>
      </w:r>
    </w:p>
    <w:p w14:paraId="7225DA28"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i/>
          <w:iCs/>
          <w:sz w:val="24"/>
          <w:szCs w:val="24"/>
          <w:lang w:eastAsia="zh-CN"/>
        </w:rPr>
        <w:t>Depending on the localization of the advanced hearth of the stroke, patients experience different movement and mental disorders. The majority of patients have speech (aphasia, dysarthria), writing (agraphia), reading (alexia), calculation (acalculia), thinking, movement (paresis, apraxia), cognitive (agnosia) attention and emotional (depression, apathy) disorders. [6].</w:t>
      </w:r>
    </w:p>
    <w:p w14:paraId="312F134A"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i/>
          <w:iCs/>
          <w:sz w:val="24"/>
          <w:szCs w:val="24"/>
          <w:lang w:eastAsia="zh-CN"/>
        </w:rPr>
        <w:t>Diabetes strokes increase the likelihood of developing 3-4 times and worsen the consequences [3]. Hypertension also plays a key role in the development of cerebral and large vascular atherosclerosis. Diabetes mellitus dramatically increases the risk of cerebral micro-, macroangiopathy, dysmetabolic syndrome, frequent hypo- and hyperglycemic changes in the blood, as well as arterial hypertension, aneurysms and hemorrhagic stroke. Hemorrhagic stroke is known to be less common than other strokes, but it is a disease that is more common in middle-aged people with disabilities, a sharp decline in vital functions, and a high mortality rate [7]. Although neuroimaging and blood biochemical analysis are currently sufficient to diagnose hemorrhagic stroke, our studies have shown that hemorrhagic stroke is more severe, acute, early and late postoperative recovery period, prognosis, and mortality are more severe in patients with type 2 diabetes. Nevertheless, effective treatments and positive rehabilitation studies for hemorrhagic stroke patients with type 2 diabetes mellitus are still puzzling.</w:t>
      </w:r>
    </w:p>
    <w:p w14:paraId="7603C0F1" w14:textId="77777777" w:rsidR="00DD566D" w:rsidRPr="00D430D9" w:rsidRDefault="00DD566D" w:rsidP="00DD566D">
      <w:pPr>
        <w:spacing w:line="276" w:lineRule="auto"/>
        <w:ind w:firstLine="567"/>
        <w:jc w:val="both"/>
        <w:rPr>
          <w:rFonts w:eastAsia="SimSun" w:cs="Times New Roman"/>
          <w:i/>
          <w:iCs/>
          <w:sz w:val="24"/>
          <w:szCs w:val="24"/>
          <w:lang w:eastAsia="zh-CN"/>
        </w:rPr>
      </w:pPr>
      <w:r w:rsidRPr="00D430D9">
        <w:rPr>
          <w:rFonts w:eastAsia="SimSun" w:cs="Times New Roman"/>
          <w:b/>
          <w:bCs/>
          <w:i/>
          <w:iCs/>
          <w:sz w:val="24"/>
          <w:szCs w:val="24"/>
          <w:lang w:eastAsia="zh-CN"/>
        </w:rPr>
        <w:lastRenderedPageBreak/>
        <w:t>Keywords</w:t>
      </w:r>
      <w:r w:rsidRPr="00D430D9">
        <w:rPr>
          <w:rFonts w:eastAsia="SimSun" w:cs="Times New Roman"/>
          <w:i/>
          <w:iCs/>
          <w:sz w:val="24"/>
          <w:szCs w:val="24"/>
          <w:lang w:eastAsia="zh-CN"/>
        </w:rPr>
        <w:t>: hemorrhagic stroke, parenchymatosis, diabetes, hypertension, atherosclerosis.</w:t>
      </w:r>
    </w:p>
    <w:p w14:paraId="090DCD33" w14:textId="77777777" w:rsidR="00DD566D" w:rsidRDefault="00DD566D" w:rsidP="00DD566D">
      <w:pPr>
        <w:spacing w:line="276" w:lineRule="auto"/>
        <w:ind w:firstLine="567"/>
        <w:jc w:val="both"/>
        <w:rPr>
          <w:rFonts w:eastAsia="SimSun" w:cs="Times New Roman"/>
          <w:b/>
          <w:bCs/>
          <w:sz w:val="24"/>
          <w:szCs w:val="24"/>
          <w:lang w:eastAsia="zh-CN"/>
        </w:rPr>
      </w:pPr>
    </w:p>
    <w:p w14:paraId="7185C383" w14:textId="77777777" w:rsidR="00DD566D" w:rsidRDefault="00DD566D" w:rsidP="00DD566D">
      <w:pPr>
        <w:spacing w:line="276" w:lineRule="auto"/>
        <w:ind w:firstLine="567"/>
        <w:jc w:val="both"/>
        <w:rPr>
          <w:rFonts w:eastAsia="SimSun" w:cs="Times New Roman"/>
          <w:b/>
          <w:bCs/>
          <w:sz w:val="24"/>
          <w:szCs w:val="24"/>
          <w:lang w:eastAsia="zh-CN"/>
        </w:rPr>
        <w:sectPr w:rsidR="00DD566D" w:rsidSect="00995DC2">
          <w:type w:val="continuous"/>
          <w:pgSz w:w="11907" w:h="16840" w:code="9"/>
          <w:pgMar w:top="1418" w:right="1134" w:bottom="1134" w:left="1134" w:header="907" w:footer="794" w:gutter="0"/>
          <w:cols w:space="708"/>
          <w:docGrid w:linePitch="381"/>
        </w:sectPr>
      </w:pPr>
    </w:p>
    <w:p w14:paraId="33AA7C51"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The purpose of the study</w:t>
      </w:r>
    </w:p>
    <w:p w14:paraId="2E6FEF7E"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To study the specific course of parenchy</w:t>
      </w:r>
      <w:r>
        <w:rPr>
          <w:rFonts w:eastAsia="SimSun" w:cs="Times New Roman"/>
          <w:sz w:val="24"/>
          <w:szCs w:val="24"/>
          <w:lang w:eastAsia="zh-CN"/>
        </w:rPr>
        <w:softHyphen/>
      </w:r>
      <w:r w:rsidRPr="00D430D9">
        <w:rPr>
          <w:rFonts w:eastAsia="SimSun" w:cs="Times New Roman"/>
          <w:sz w:val="24"/>
          <w:szCs w:val="24"/>
          <w:lang w:eastAsia="zh-CN"/>
        </w:rPr>
        <w:t>mal hemorrhagic stroke observed in patients with different comorbid background.</w:t>
      </w:r>
    </w:p>
    <w:p w14:paraId="174373DE"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Research material and methods</w:t>
      </w:r>
    </w:p>
    <w:p w14:paraId="11C0BCE1"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The study material was obtained from 35 patients treated for parenchymal hemorrhagic stroke in the Department of Intensive Neurol</w:t>
      </w:r>
      <w:r>
        <w:rPr>
          <w:rFonts w:eastAsia="SimSun" w:cs="Times New Roman"/>
          <w:sz w:val="24"/>
          <w:szCs w:val="24"/>
          <w:lang w:eastAsia="zh-CN"/>
        </w:rPr>
        <w:softHyphen/>
      </w:r>
      <w:r w:rsidRPr="00D430D9">
        <w:rPr>
          <w:rFonts w:eastAsia="SimSun" w:cs="Times New Roman"/>
          <w:sz w:val="24"/>
          <w:szCs w:val="24"/>
          <w:lang w:eastAsia="zh-CN"/>
        </w:rPr>
        <w:t>ogy of the Tashkent Medical Academy in 2020-2021. Group 1 of patients consisted of 12 patients with parenchymal hemorrhagic stroke developed on the basis of hypertension and type 2 diabetes. In group 2, 21 patients with hypertension and parenchymal hemorrhagic stroke formed on the basis of atherosclerosis were discharged. It was also found that paren</w:t>
      </w:r>
      <w:r>
        <w:rPr>
          <w:rFonts w:eastAsia="SimSun" w:cs="Times New Roman"/>
          <w:sz w:val="24"/>
          <w:szCs w:val="24"/>
          <w:lang w:eastAsia="zh-CN"/>
        </w:rPr>
        <w:softHyphen/>
      </w:r>
      <w:r w:rsidRPr="00D430D9">
        <w:rPr>
          <w:rFonts w:eastAsia="SimSun" w:cs="Times New Roman"/>
          <w:sz w:val="24"/>
          <w:szCs w:val="24"/>
          <w:lang w:eastAsia="zh-CN"/>
        </w:rPr>
        <w:t>chymal type of hemorrhagic stroke in two pa</w:t>
      </w:r>
      <w:r>
        <w:rPr>
          <w:rFonts w:eastAsia="SimSun" w:cs="Times New Roman"/>
          <w:sz w:val="24"/>
          <w:szCs w:val="24"/>
          <w:lang w:eastAsia="zh-CN"/>
        </w:rPr>
        <w:softHyphen/>
      </w:r>
      <w:r w:rsidRPr="00D430D9">
        <w:rPr>
          <w:rFonts w:eastAsia="SimSun" w:cs="Times New Roman"/>
          <w:sz w:val="24"/>
          <w:szCs w:val="24"/>
          <w:lang w:eastAsia="zh-CN"/>
        </w:rPr>
        <w:t>tients developed against the background of ar</w:t>
      </w:r>
      <w:r>
        <w:rPr>
          <w:rFonts w:eastAsia="SimSun" w:cs="Times New Roman"/>
          <w:sz w:val="24"/>
          <w:szCs w:val="24"/>
          <w:lang w:eastAsia="zh-CN"/>
        </w:rPr>
        <w:softHyphen/>
      </w:r>
      <w:r w:rsidRPr="00D430D9">
        <w:rPr>
          <w:rFonts w:eastAsia="SimSun" w:cs="Times New Roman"/>
          <w:sz w:val="24"/>
          <w:szCs w:val="24"/>
          <w:lang w:eastAsia="zh-CN"/>
        </w:rPr>
        <w:t>terio-venous malformation and cavernoma re</w:t>
      </w:r>
      <w:r>
        <w:rPr>
          <w:rFonts w:eastAsia="SimSun" w:cs="Times New Roman"/>
          <w:sz w:val="24"/>
          <w:szCs w:val="24"/>
          <w:lang w:eastAsia="zh-CN"/>
        </w:rPr>
        <w:softHyphen/>
      </w:r>
      <w:r w:rsidRPr="00D430D9">
        <w:rPr>
          <w:rFonts w:eastAsia="SimSun" w:cs="Times New Roman"/>
          <w:sz w:val="24"/>
          <w:szCs w:val="24"/>
          <w:lang w:eastAsia="zh-CN"/>
        </w:rPr>
        <w:t>spectively.  The clinical course of the disease in these patients, brain MSKT examination, la</w:t>
      </w:r>
      <w:r>
        <w:rPr>
          <w:rFonts w:eastAsia="SimSun" w:cs="Times New Roman"/>
          <w:sz w:val="24"/>
          <w:szCs w:val="24"/>
          <w:lang w:eastAsia="zh-CN"/>
        </w:rPr>
        <w:softHyphen/>
      </w:r>
      <w:r w:rsidRPr="00D430D9">
        <w:rPr>
          <w:rFonts w:eastAsia="SimSun" w:cs="Times New Roman"/>
          <w:sz w:val="24"/>
          <w:szCs w:val="24"/>
          <w:lang w:eastAsia="zh-CN"/>
        </w:rPr>
        <w:t>boratory analyzes were studied, and Barthel Scale is used to measure performance in activ</w:t>
      </w:r>
      <w:r>
        <w:rPr>
          <w:rFonts w:eastAsia="SimSun" w:cs="Times New Roman"/>
          <w:sz w:val="24"/>
          <w:szCs w:val="24"/>
          <w:lang w:eastAsia="zh-CN"/>
        </w:rPr>
        <w:softHyphen/>
      </w:r>
      <w:r w:rsidRPr="00D430D9">
        <w:rPr>
          <w:rFonts w:eastAsia="SimSun" w:cs="Times New Roman"/>
          <w:sz w:val="24"/>
          <w:szCs w:val="24"/>
          <w:lang w:eastAsia="zh-CN"/>
        </w:rPr>
        <w:t>ities of daily living (ADL) and NIHSS is for analysis of neurological disorders.</w:t>
      </w:r>
    </w:p>
    <w:p w14:paraId="2A1AC42E"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Discussion and results</w:t>
      </w:r>
    </w:p>
    <w:p w14:paraId="5FE4D447"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Of the 35 patients studied, 12 (34.3%) had previously been treated for hypertension and type 2 diabetes mellitus and had developed a parenchymal type of hemorrhagic stroke. 3 of them (25.0%) are women and 9 (75.0%) are men. All patients were over 50 years of age, 7 people (58.3%) aged 50-65 years, and 5 people (41.7%) over 65 years of age.</w:t>
      </w:r>
    </w:p>
    <w:p w14:paraId="68B09124" w14:textId="77777777" w:rsidR="00DD566D" w:rsidRDefault="00DD566D" w:rsidP="00DD566D">
      <w:pPr>
        <w:spacing w:line="276" w:lineRule="auto"/>
        <w:ind w:firstLine="567"/>
        <w:jc w:val="both"/>
        <w:rPr>
          <w:rFonts w:eastAsia="SimSun" w:cs="Times New Roman"/>
          <w:sz w:val="24"/>
          <w:szCs w:val="24"/>
          <w:lang w:eastAsia="zh-CN"/>
        </w:rPr>
        <w:sectPr w:rsidR="00DD566D" w:rsidSect="00B30BB8">
          <w:type w:val="continuous"/>
          <w:pgSz w:w="11907" w:h="16840" w:code="9"/>
          <w:pgMar w:top="1418" w:right="1134" w:bottom="1134" w:left="1134" w:header="907" w:footer="794" w:gutter="0"/>
          <w:cols w:num="2" w:space="708"/>
          <w:docGrid w:linePitch="381"/>
        </w:sectPr>
      </w:pPr>
      <w:r w:rsidRPr="00D430D9">
        <w:rPr>
          <w:rFonts w:eastAsia="SimSun" w:cs="Times New Roman"/>
          <w:sz w:val="24"/>
          <w:szCs w:val="24"/>
          <w:lang w:eastAsia="zh-CN"/>
        </w:rPr>
        <w:t>Group 2 that is the parenchymal type of hemorrhagic stroke, accounted for 9 (43.0%) women and 12 (57.0%) men in 21 patients who developed hypertension and atherosclerosis. Patients in this group were conditionally di</w:t>
      </w:r>
      <w:r>
        <w:rPr>
          <w:rFonts w:eastAsia="SimSun" w:cs="Times New Roman"/>
          <w:sz w:val="24"/>
          <w:szCs w:val="24"/>
          <w:lang w:eastAsia="zh-CN"/>
        </w:rPr>
        <w:softHyphen/>
      </w:r>
      <w:r w:rsidRPr="00D430D9">
        <w:rPr>
          <w:rFonts w:eastAsia="SimSun" w:cs="Times New Roman"/>
          <w:sz w:val="24"/>
          <w:szCs w:val="24"/>
          <w:lang w:eastAsia="zh-CN"/>
        </w:rPr>
        <w:t>vided into 4 age levels: the number of patients under 40 years of age was 2 (10.0%), patients aged 40-50 years were 4 people (19.0%), pa</w:t>
      </w:r>
      <w:r>
        <w:rPr>
          <w:rFonts w:eastAsia="SimSun" w:cs="Times New Roman"/>
          <w:sz w:val="24"/>
          <w:szCs w:val="24"/>
          <w:lang w:eastAsia="zh-CN"/>
        </w:rPr>
        <w:softHyphen/>
      </w:r>
      <w:r w:rsidRPr="00D430D9">
        <w:rPr>
          <w:rFonts w:eastAsia="SimSun" w:cs="Times New Roman"/>
          <w:sz w:val="24"/>
          <w:szCs w:val="24"/>
          <w:lang w:eastAsia="zh-CN"/>
        </w:rPr>
        <w:t>tients aged 50-65 years were 12 people (57.0). %), And adults over 65 years of age ac</w:t>
      </w:r>
      <w:r>
        <w:rPr>
          <w:rFonts w:eastAsia="SimSun" w:cs="Times New Roman"/>
          <w:sz w:val="24"/>
          <w:szCs w:val="24"/>
          <w:lang w:eastAsia="zh-CN"/>
        </w:rPr>
        <w:softHyphen/>
      </w:r>
      <w:r w:rsidRPr="00D430D9">
        <w:rPr>
          <w:rFonts w:eastAsia="SimSun" w:cs="Times New Roman"/>
          <w:sz w:val="24"/>
          <w:szCs w:val="24"/>
          <w:lang w:eastAsia="zh-CN"/>
        </w:rPr>
        <w:t>counted for 3 (14.0%) patients (Table 1).</w:t>
      </w:r>
    </w:p>
    <w:p w14:paraId="58BCFAC0" w14:textId="77777777" w:rsidR="00DD566D" w:rsidRPr="00D430D9" w:rsidRDefault="00DD566D" w:rsidP="00DD566D">
      <w:pPr>
        <w:spacing w:line="276" w:lineRule="auto"/>
        <w:ind w:firstLine="567"/>
        <w:jc w:val="both"/>
        <w:rPr>
          <w:rFonts w:eastAsia="SimSun" w:cs="Times New Roman"/>
          <w:sz w:val="24"/>
          <w:szCs w:val="24"/>
          <w:lang w:eastAsia="zh-CN"/>
        </w:rPr>
      </w:pPr>
    </w:p>
    <w:p w14:paraId="64EC8E6F" w14:textId="77777777" w:rsidR="00DD566D" w:rsidRDefault="00DD566D" w:rsidP="00DD566D">
      <w:pPr>
        <w:spacing w:line="276" w:lineRule="auto"/>
        <w:jc w:val="center"/>
        <w:rPr>
          <w:rFonts w:eastAsia="SimSun" w:cs="Times New Roman"/>
          <w:b/>
          <w:bCs/>
          <w:sz w:val="24"/>
          <w:szCs w:val="24"/>
          <w:lang w:eastAsia="zh-CN"/>
        </w:rPr>
      </w:pPr>
      <w:r w:rsidRPr="00D430D9">
        <w:rPr>
          <w:rFonts w:eastAsia="SimSun" w:cs="Times New Roman"/>
          <w:b/>
          <w:bCs/>
          <w:sz w:val="24"/>
          <w:szCs w:val="24"/>
          <w:lang w:eastAsia="zh-CN"/>
        </w:rPr>
        <w:t>Table 1. Distribution of patients by sex and age</w:t>
      </w:r>
    </w:p>
    <w:p w14:paraId="62212DBC" w14:textId="77777777" w:rsidR="00DD566D" w:rsidRPr="00D430D9" w:rsidRDefault="00DD566D" w:rsidP="00DD566D">
      <w:pPr>
        <w:spacing w:line="276" w:lineRule="auto"/>
        <w:jc w:val="center"/>
        <w:rPr>
          <w:rFonts w:eastAsia="SimSun" w:cs="Times New Roman"/>
          <w:b/>
          <w:bCs/>
          <w:sz w:val="24"/>
          <w:szCs w:val="24"/>
          <w:lang w:eastAsia="zh-CN"/>
        </w:rPr>
      </w:pPr>
    </w:p>
    <w:tbl>
      <w:tblPr>
        <w:tblW w:w="0" w:type="auto"/>
        <w:jc w:val="center"/>
        <w:tblLook w:val="04A0" w:firstRow="1" w:lastRow="0" w:firstColumn="1" w:lastColumn="0" w:noHBand="0" w:noVBand="1"/>
      </w:tblPr>
      <w:tblGrid>
        <w:gridCol w:w="1077"/>
        <w:gridCol w:w="981"/>
        <w:gridCol w:w="1339"/>
        <w:gridCol w:w="1276"/>
        <w:gridCol w:w="1276"/>
        <w:gridCol w:w="1145"/>
        <w:gridCol w:w="1553"/>
      </w:tblGrid>
      <w:tr w:rsidR="00DD566D" w:rsidRPr="00D430D9" w14:paraId="14DCCB76" w14:textId="77777777" w:rsidTr="00C90B56">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DE47757"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Group</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0C3099E"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Sex</w:t>
            </w:r>
          </w:p>
        </w:tc>
        <w:tc>
          <w:tcPr>
            <w:tcW w:w="5036" w:type="dxa"/>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554B10A"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Age</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D18A0C7"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Total</w:t>
            </w:r>
          </w:p>
        </w:tc>
      </w:tr>
      <w:tr w:rsidR="00DD566D" w:rsidRPr="00D430D9" w14:paraId="1A4A621C" w14:textId="77777777" w:rsidTr="00C90B56">
        <w:trPr>
          <w:trHeight w:val="764"/>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576272F"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981" w:type="dxa"/>
            <w:vMerge/>
            <w:tcBorders>
              <w:top w:val="single" w:sz="4" w:space="0" w:color="auto"/>
              <w:left w:val="single" w:sz="4" w:space="0" w:color="auto"/>
              <w:bottom w:val="single" w:sz="4" w:space="0" w:color="auto"/>
              <w:right w:val="single" w:sz="4" w:space="0" w:color="auto"/>
            </w:tcBorders>
            <w:shd w:val="clear" w:color="auto" w:fill="D56665"/>
            <w:vAlign w:val="center"/>
          </w:tcPr>
          <w:p w14:paraId="50CA348D"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1339" w:type="dxa"/>
            <w:tcBorders>
              <w:top w:val="single" w:sz="4" w:space="0" w:color="auto"/>
              <w:left w:val="single" w:sz="4" w:space="0" w:color="auto"/>
              <w:bottom w:val="single" w:sz="4" w:space="0" w:color="auto"/>
              <w:right w:val="single" w:sz="4" w:space="0" w:color="auto"/>
            </w:tcBorders>
            <w:vAlign w:val="center"/>
          </w:tcPr>
          <w:p w14:paraId="784EF670"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Times New Roman" w:cs="Times New Roman"/>
                <w:b/>
                <w:bCs/>
                <w:color w:val="000000"/>
                <w:sz w:val="24"/>
                <w:szCs w:val="24"/>
                <w:lang w:eastAsia="ru-RU"/>
              </w:rPr>
              <w:t>Under 40 years old</w:t>
            </w:r>
          </w:p>
        </w:tc>
        <w:tc>
          <w:tcPr>
            <w:tcW w:w="1276" w:type="dxa"/>
            <w:tcBorders>
              <w:top w:val="single" w:sz="4" w:space="0" w:color="auto"/>
              <w:left w:val="single" w:sz="4" w:space="0" w:color="auto"/>
              <w:bottom w:val="single" w:sz="4" w:space="0" w:color="auto"/>
              <w:right w:val="single" w:sz="4" w:space="0" w:color="auto"/>
            </w:tcBorders>
            <w:vAlign w:val="center"/>
          </w:tcPr>
          <w:p w14:paraId="08511223"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Times New Roman" w:cs="Times New Roman"/>
                <w:b/>
                <w:bCs/>
                <w:color w:val="000000"/>
                <w:sz w:val="24"/>
                <w:szCs w:val="24"/>
                <w:lang w:val="ru-RU" w:eastAsia="ru-RU"/>
              </w:rPr>
              <w:t xml:space="preserve">40-50 </w:t>
            </w:r>
            <w:r w:rsidRPr="00D430D9">
              <w:rPr>
                <w:rFonts w:eastAsia="Times New Roman" w:cs="Times New Roman"/>
                <w:b/>
                <w:bCs/>
                <w:color w:val="000000"/>
                <w:sz w:val="24"/>
                <w:szCs w:val="24"/>
                <w:lang w:eastAsia="ru-RU"/>
              </w:rPr>
              <w:t>years old</w:t>
            </w:r>
          </w:p>
        </w:tc>
        <w:tc>
          <w:tcPr>
            <w:tcW w:w="1276" w:type="dxa"/>
            <w:tcBorders>
              <w:top w:val="single" w:sz="4" w:space="0" w:color="auto"/>
              <w:left w:val="single" w:sz="4" w:space="0" w:color="auto"/>
              <w:bottom w:val="single" w:sz="4" w:space="0" w:color="auto"/>
              <w:right w:val="single" w:sz="4" w:space="0" w:color="auto"/>
            </w:tcBorders>
            <w:vAlign w:val="center"/>
          </w:tcPr>
          <w:p w14:paraId="29318E7A"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Times New Roman" w:cs="Times New Roman"/>
                <w:b/>
                <w:bCs/>
                <w:color w:val="000000"/>
                <w:sz w:val="24"/>
                <w:szCs w:val="24"/>
                <w:lang w:val="ru-RU" w:eastAsia="ru-RU"/>
              </w:rPr>
              <w:t>50-65</w:t>
            </w:r>
            <w:r w:rsidRPr="00D430D9">
              <w:rPr>
                <w:rFonts w:eastAsia="Times New Roman" w:cs="Times New Roman"/>
                <w:b/>
                <w:bCs/>
                <w:color w:val="000000"/>
                <w:sz w:val="24"/>
                <w:szCs w:val="24"/>
                <w:lang w:eastAsia="ru-RU"/>
              </w:rPr>
              <w:t xml:space="preserve"> years old</w:t>
            </w:r>
          </w:p>
        </w:tc>
        <w:tc>
          <w:tcPr>
            <w:tcW w:w="1145" w:type="dxa"/>
            <w:tcBorders>
              <w:top w:val="single" w:sz="4" w:space="0" w:color="auto"/>
              <w:left w:val="single" w:sz="4" w:space="0" w:color="auto"/>
              <w:bottom w:val="single" w:sz="4" w:space="0" w:color="auto"/>
              <w:right w:val="single" w:sz="4" w:space="0" w:color="auto"/>
            </w:tcBorders>
            <w:vAlign w:val="center"/>
          </w:tcPr>
          <w:p w14:paraId="6D3395EA"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Times New Roman" w:cs="Times New Roman"/>
                <w:b/>
                <w:bCs/>
                <w:color w:val="000000"/>
                <w:sz w:val="24"/>
                <w:szCs w:val="24"/>
                <w:lang w:eastAsia="ru-RU"/>
              </w:rPr>
              <w:t xml:space="preserve">Over </w:t>
            </w:r>
            <w:r w:rsidRPr="00D430D9">
              <w:rPr>
                <w:rFonts w:eastAsia="Times New Roman" w:cs="Times New Roman"/>
                <w:b/>
                <w:bCs/>
                <w:color w:val="000000"/>
                <w:sz w:val="24"/>
                <w:szCs w:val="24"/>
                <w:lang w:val="ru-RU" w:eastAsia="ru-RU"/>
              </w:rPr>
              <w:t>65</w:t>
            </w:r>
            <w:r w:rsidRPr="00D430D9">
              <w:rPr>
                <w:rFonts w:eastAsia="Times New Roman" w:cs="Times New Roman"/>
                <w:b/>
                <w:bCs/>
                <w:color w:val="000000"/>
                <w:sz w:val="24"/>
                <w:szCs w:val="24"/>
                <w:lang w:eastAsia="ru-RU"/>
              </w:rPr>
              <w:t xml:space="preserve"> years old</w:t>
            </w:r>
          </w:p>
        </w:tc>
        <w:tc>
          <w:tcPr>
            <w:tcW w:w="1553" w:type="dxa"/>
            <w:vMerge/>
            <w:tcBorders>
              <w:top w:val="single" w:sz="4" w:space="0" w:color="auto"/>
              <w:left w:val="single" w:sz="4" w:space="0" w:color="auto"/>
              <w:bottom w:val="single" w:sz="4" w:space="0" w:color="auto"/>
              <w:right w:val="single" w:sz="4" w:space="0" w:color="auto"/>
            </w:tcBorders>
            <w:shd w:val="clear" w:color="auto" w:fill="D56665"/>
            <w:vAlign w:val="center"/>
          </w:tcPr>
          <w:p w14:paraId="6F0B29AA" w14:textId="77777777" w:rsidR="00DD566D" w:rsidRPr="00D430D9" w:rsidRDefault="00DD566D" w:rsidP="00C90B56">
            <w:pPr>
              <w:spacing w:line="276" w:lineRule="auto"/>
              <w:jc w:val="center"/>
              <w:rPr>
                <w:rFonts w:eastAsia="SimSun" w:cs="Times New Roman"/>
                <w:b/>
                <w:bCs/>
                <w:sz w:val="24"/>
                <w:szCs w:val="24"/>
                <w:lang w:val="ru-RU" w:eastAsia="zh-CN"/>
              </w:rPr>
            </w:pPr>
          </w:p>
        </w:tc>
      </w:tr>
      <w:tr w:rsidR="00DD566D" w:rsidRPr="00D430D9" w14:paraId="3A4F4B90" w14:textId="77777777" w:rsidTr="00C90B56">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A28FAF"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 xml:space="preserve">1 </w:t>
            </w:r>
            <w:r w:rsidRPr="00D430D9">
              <w:rPr>
                <w:rFonts w:eastAsia="SimSun" w:cs="Times New Roman"/>
                <w:sz w:val="24"/>
                <w:szCs w:val="24"/>
                <w:lang w:eastAsia="zh-CN"/>
              </w:rPr>
              <w:t>group</w:t>
            </w:r>
          </w:p>
          <w:p w14:paraId="216EF94E"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981" w:type="dxa"/>
            <w:tcBorders>
              <w:top w:val="single" w:sz="4" w:space="0" w:color="auto"/>
              <w:left w:val="single" w:sz="4" w:space="0" w:color="auto"/>
              <w:bottom w:val="single" w:sz="4" w:space="0" w:color="auto"/>
              <w:right w:val="single" w:sz="4" w:space="0" w:color="auto"/>
            </w:tcBorders>
            <w:vAlign w:val="center"/>
          </w:tcPr>
          <w:p w14:paraId="395ED8D0"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Women</w:t>
            </w:r>
          </w:p>
        </w:tc>
        <w:tc>
          <w:tcPr>
            <w:tcW w:w="1339" w:type="dxa"/>
            <w:tcBorders>
              <w:top w:val="single" w:sz="4" w:space="0" w:color="auto"/>
              <w:left w:val="single" w:sz="4" w:space="0" w:color="auto"/>
              <w:bottom w:val="single" w:sz="4" w:space="0" w:color="auto"/>
              <w:right w:val="single" w:sz="4" w:space="0" w:color="auto"/>
            </w:tcBorders>
            <w:vAlign w:val="center"/>
          </w:tcPr>
          <w:p w14:paraId="06B0753D"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8E5830"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0</w:t>
            </w:r>
          </w:p>
        </w:tc>
        <w:tc>
          <w:tcPr>
            <w:tcW w:w="1276" w:type="dxa"/>
            <w:tcBorders>
              <w:top w:val="single" w:sz="4" w:space="0" w:color="auto"/>
              <w:left w:val="single" w:sz="4" w:space="0" w:color="auto"/>
              <w:bottom w:val="single" w:sz="4" w:space="0" w:color="auto"/>
              <w:right w:val="single" w:sz="4" w:space="0" w:color="auto"/>
            </w:tcBorders>
            <w:vAlign w:val="center"/>
          </w:tcPr>
          <w:p w14:paraId="01D9F7AB"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1</w:t>
            </w:r>
          </w:p>
        </w:tc>
        <w:tc>
          <w:tcPr>
            <w:tcW w:w="1145" w:type="dxa"/>
            <w:tcBorders>
              <w:top w:val="single" w:sz="4" w:space="0" w:color="auto"/>
              <w:left w:val="single" w:sz="4" w:space="0" w:color="auto"/>
              <w:bottom w:val="single" w:sz="4" w:space="0" w:color="auto"/>
              <w:right w:val="single" w:sz="4" w:space="0" w:color="auto"/>
            </w:tcBorders>
            <w:vAlign w:val="center"/>
          </w:tcPr>
          <w:p w14:paraId="21FF0083"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2</w:t>
            </w:r>
          </w:p>
        </w:tc>
        <w:tc>
          <w:tcPr>
            <w:tcW w:w="1553" w:type="dxa"/>
            <w:tcBorders>
              <w:top w:val="single" w:sz="4" w:space="0" w:color="auto"/>
              <w:left w:val="single" w:sz="4" w:space="0" w:color="auto"/>
              <w:bottom w:val="single" w:sz="4" w:space="0" w:color="auto"/>
              <w:right w:val="single" w:sz="4" w:space="0" w:color="auto"/>
            </w:tcBorders>
            <w:vAlign w:val="center"/>
          </w:tcPr>
          <w:p w14:paraId="4EC36D92"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3</w:t>
            </w:r>
          </w:p>
        </w:tc>
      </w:tr>
      <w:tr w:rsidR="00DD566D" w:rsidRPr="00D430D9" w14:paraId="60A5B95E" w14:textId="77777777" w:rsidTr="00C90B56">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F129EC5"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981" w:type="dxa"/>
            <w:tcBorders>
              <w:top w:val="single" w:sz="4" w:space="0" w:color="auto"/>
              <w:left w:val="single" w:sz="4" w:space="0" w:color="auto"/>
              <w:bottom w:val="single" w:sz="4" w:space="0" w:color="auto"/>
              <w:right w:val="single" w:sz="4" w:space="0" w:color="auto"/>
            </w:tcBorders>
            <w:vAlign w:val="center"/>
          </w:tcPr>
          <w:p w14:paraId="58619BAB"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Men</w:t>
            </w:r>
          </w:p>
        </w:tc>
        <w:tc>
          <w:tcPr>
            <w:tcW w:w="1339" w:type="dxa"/>
            <w:tcBorders>
              <w:top w:val="single" w:sz="4" w:space="0" w:color="auto"/>
              <w:left w:val="single" w:sz="4" w:space="0" w:color="auto"/>
              <w:bottom w:val="single" w:sz="4" w:space="0" w:color="auto"/>
              <w:right w:val="single" w:sz="4" w:space="0" w:color="auto"/>
            </w:tcBorders>
            <w:vAlign w:val="center"/>
          </w:tcPr>
          <w:p w14:paraId="339DE07D"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0</w:t>
            </w:r>
          </w:p>
        </w:tc>
        <w:tc>
          <w:tcPr>
            <w:tcW w:w="1276" w:type="dxa"/>
            <w:tcBorders>
              <w:top w:val="single" w:sz="4" w:space="0" w:color="auto"/>
              <w:left w:val="single" w:sz="4" w:space="0" w:color="auto"/>
              <w:bottom w:val="single" w:sz="4" w:space="0" w:color="auto"/>
              <w:right w:val="single" w:sz="4" w:space="0" w:color="auto"/>
            </w:tcBorders>
            <w:vAlign w:val="center"/>
          </w:tcPr>
          <w:p w14:paraId="4AB9EE6E"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FCD5B0"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6</w:t>
            </w:r>
          </w:p>
        </w:tc>
        <w:tc>
          <w:tcPr>
            <w:tcW w:w="1145" w:type="dxa"/>
            <w:tcBorders>
              <w:top w:val="single" w:sz="4" w:space="0" w:color="auto"/>
              <w:left w:val="single" w:sz="4" w:space="0" w:color="auto"/>
              <w:bottom w:val="single" w:sz="4" w:space="0" w:color="auto"/>
              <w:right w:val="single" w:sz="4" w:space="0" w:color="auto"/>
            </w:tcBorders>
            <w:vAlign w:val="center"/>
          </w:tcPr>
          <w:p w14:paraId="539EB813"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3</w:t>
            </w:r>
          </w:p>
        </w:tc>
        <w:tc>
          <w:tcPr>
            <w:tcW w:w="1553" w:type="dxa"/>
            <w:tcBorders>
              <w:top w:val="single" w:sz="4" w:space="0" w:color="auto"/>
              <w:left w:val="single" w:sz="4" w:space="0" w:color="auto"/>
              <w:bottom w:val="single" w:sz="4" w:space="0" w:color="auto"/>
              <w:right w:val="single" w:sz="4" w:space="0" w:color="auto"/>
            </w:tcBorders>
            <w:vAlign w:val="center"/>
          </w:tcPr>
          <w:p w14:paraId="0B088367"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9</w:t>
            </w:r>
          </w:p>
        </w:tc>
      </w:tr>
      <w:tr w:rsidR="00DD566D" w:rsidRPr="00D430D9" w14:paraId="3C309CEF" w14:textId="77777777" w:rsidTr="00C90B56">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0C538C5"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 xml:space="preserve">2 </w:t>
            </w:r>
            <w:r w:rsidRPr="00D430D9">
              <w:rPr>
                <w:rFonts w:eastAsia="SimSun" w:cs="Times New Roman"/>
                <w:sz w:val="24"/>
                <w:szCs w:val="24"/>
                <w:lang w:eastAsia="zh-CN"/>
              </w:rPr>
              <w:t>group</w:t>
            </w:r>
          </w:p>
        </w:tc>
        <w:tc>
          <w:tcPr>
            <w:tcW w:w="981" w:type="dxa"/>
            <w:tcBorders>
              <w:top w:val="single" w:sz="4" w:space="0" w:color="auto"/>
              <w:left w:val="single" w:sz="4" w:space="0" w:color="auto"/>
              <w:bottom w:val="single" w:sz="4" w:space="0" w:color="auto"/>
              <w:right w:val="single" w:sz="4" w:space="0" w:color="auto"/>
            </w:tcBorders>
            <w:vAlign w:val="center"/>
          </w:tcPr>
          <w:p w14:paraId="391FAD71"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Women</w:t>
            </w:r>
          </w:p>
        </w:tc>
        <w:tc>
          <w:tcPr>
            <w:tcW w:w="1339" w:type="dxa"/>
            <w:tcBorders>
              <w:top w:val="single" w:sz="4" w:space="0" w:color="auto"/>
              <w:left w:val="single" w:sz="4" w:space="0" w:color="auto"/>
              <w:bottom w:val="single" w:sz="4" w:space="0" w:color="auto"/>
              <w:right w:val="single" w:sz="4" w:space="0" w:color="auto"/>
            </w:tcBorders>
            <w:vAlign w:val="center"/>
          </w:tcPr>
          <w:p w14:paraId="0F4D93A8"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2E265213"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0F2765AB"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5</w:t>
            </w:r>
          </w:p>
        </w:tc>
        <w:tc>
          <w:tcPr>
            <w:tcW w:w="1145" w:type="dxa"/>
            <w:tcBorders>
              <w:top w:val="single" w:sz="4" w:space="0" w:color="auto"/>
              <w:left w:val="single" w:sz="4" w:space="0" w:color="auto"/>
              <w:bottom w:val="single" w:sz="4" w:space="0" w:color="auto"/>
              <w:right w:val="single" w:sz="4" w:space="0" w:color="auto"/>
            </w:tcBorders>
            <w:vAlign w:val="center"/>
          </w:tcPr>
          <w:p w14:paraId="7573FE86"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1</w:t>
            </w:r>
          </w:p>
        </w:tc>
        <w:tc>
          <w:tcPr>
            <w:tcW w:w="1553" w:type="dxa"/>
            <w:tcBorders>
              <w:top w:val="single" w:sz="4" w:space="0" w:color="auto"/>
              <w:left w:val="single" w:sz="4" w:space="0" w:color="auto"/>
              <w:bottom w:val="single" w:sz="4" w:space="0" w:color="auto"/>
              <w:right w:val="single" w:sz="4" w:space="0" w:color="auto"/>
            </w:tcBorders>
            <w:vAlign w:val="center"/>
          </w:tcPr>
          <w:p w14:paraId="7DF85DBA"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9</w:t>
            </w:r>
          </w:p>
        </w:tc>
      </w:tr>
      <w:tr w:rsidR="00DD566D" w:rsidRPr="00D430D9" w14:paraId="3F9BD1D0" w14:textId="77777777" w:rsidTr="00C90B56">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0015A1C"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981" w:type="dxa"/>
            <w:tcBorders>
              <w:top w:val="single" w:sz="4" w:space="0" w:color="auto"/>
              <w:left w:val="single" w:sz="4" w:space="0" w:color="auto"/>
              <w:bottom w:val="single" w:sz="4" w:space="0" w:color="auto"/>
              <w:right w:val="single" w:sz="4" w:space="0" w:color="auto"/>
            </w:tcBorders>
            <w:vAlign w:val="center"/>
          </w:tcPr>
          <w:p w14:paraId="3EEAC37B"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Men</w:t>
            </w:r>
          </w:p>
        </w:tc>
        <w:tc>
          <w:tcPr>
            <w:tcW w:w="1339" w:type="dxa"/>
            <w:tcBorders>
              <w:top w:val="single" w:sz="4" w:space="0" w:color="auto"/>
              <w:left w:val="single" w:sz="4" w:space="0" w:color="auto"/>
              <w:bottom w:val="single" w:sz="4" w:space="0" w:color="auto"/>
              <w:right w:val="single" w:sz="4" w:space="0" w:color="auto"/>
            </w:tcBorders>
            <w:vAlign w:val="center"/>
          </w:tcPr>
          <w:p w14:paraId="4F5A2152"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0</w:t>
            </w:r>
          </w:p>
        </w:tc>
        <w:tc>
          <w:tcPr>
            <w:tcW w:w="1276" w:type="dxa"/>
            <w:tcBorders>
              <w:top w:val="single" w:sz="4" w:space="0" w:color="auto"/>
              <w:left w:val="single" w:sz="4" w:space="0" w:color="auto"/>
              <w:bottom w:val="single" w:sz="4" w:space="0" w:color="auto"/>
              <w:right w:val="single" w:sz="4" w:space="0" w:color="auto"/>
            </w:tcBorders>
            <w:vAlign w:val="center"/>
          </w:tcPr>
          <w:p w14:paraId="4FBD263F"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3</w:t>
            </w:r>
          </w:p>
        </w:tc>
        <w:tc>
          <w:tcPr>
            <w:tcW w:w="1276" w:type="dxa"/>
            <w:tcBorders>
              <w:top w:val="single" w:sz="4" w:space="0" w:color="auto"/>
              <w:left w:val="single" w:sz="4" w:space="0" w:color="auto"/>
              <w:bottom w:val="single" w:sz="4" w:space="0" w:color="auto"/>
              <w:right w:val="single" w:sz="4" w:space="0" w:color="auto"/>
            </w:tcBorders>
            <w:vAlign w:val="center"/>
          </w:tcPr>
          <w:p w14:paraId="26712876"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7</w:t>
            </w:r>
          </w:p>
        </w:tc>
        <w:tc>
          <w:tcPr>
            <w:tcW w:w="1145" w:type="dxa"/>
            <w:tcBorders>
              <w:top w:val="single" w:sz="4" w:space="0" w:color="auto"/>
              <w:left w:val="single" w:sz="4" w:space="0" w:color="auto"/>
              <w:bottom w:val="single" w:sz="4" w:space="0" w:color="auto"/>
              <w:right w:val="single" w:sz="4" w:space="0" w:color="auto"/>
            </w:tcBorders>
            <w:vAlign w:val="center"/>
          </w:tcPr>
          <w:p w14:paraId="5E2A0E15"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2</w:t>
            </w:r>
          </w:p>
        </w:tc>
        <w:tc>
          <w:tcPr>
            <w:tcW w:w="1553" w:type="dxa"/>
            <w:tcBorders>
              <w:top w:val="single" w:sz="4" w:space="0" w:color="auto"/>
              <w:left w:val="single" w:sz="4" w:space="0" w:color="auto"/>
              <w:bottom w:val="single" w:sz="4" w:space="0" w:color="auto"/>
              <w:right w:val="single" w:sz="4" w:space="0" w:color="auto"/>
            </w:tcBorders>
            <w:vAlign w:val="center"/>
          </w:tcPr>
          <w:p w14:paraId="0E6B25F5"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12</w:t>
            </w:r>
          </w:p>
        </w:tc>
      </w:tr>
      <w:tr w:rsidR="00DD566D" w:rsidRPr="00D430D9" w14:paraId="62D3A03A" w14:textId="77777777" w:rsidTr="00C90B56">
        <w:trPr>
          <w:jc w:val="center"/>
        </w:trPr>
        <w:tc>
          <w:tcPr>
            <w:tcW w:w="107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7CD000A"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eastAsia="zh-CN"/>
              </w:rPr>
              <w:t>Total</w:t>
            </w:r>
          </w:p>
        </w:tc>
        <w:tc>
          <w:tcPr>
            <w:tcW w:w="981" w:type="dxa"/>
            <w:tcBorders>
              <w:top w:val="single" w:sz="4" w:space="0" w:color="auto"/>
              <w:left w:val="single" w:sz="4" w:space="0" w:color="auto"/>
              <w:bottom w:val="single" w:sz="4" w:space="0" w:color="auto"/>
              <w:right w:val="single" w:sz="4" w:space="0" w:color="auto"/>
            </w:tcBorders>
            <w:vAlign w:val="center"/>
          </w:tcPr>
          <w:p w14:paraId="6E87538D" w14:textId="77777777" w:rsidR="00DD566D" w:rsidRPr="00D430D9" w:rsidRDefault="00DD566D" w:rsidP="00C90B56">
            <w:pPr>
              <w:spacing w:line="276" w:lineRule="auto"/>
              <w:jc w:val="center"/>
              <w:rPr>
                <w:rFonts w:eastAsia="SimSun" w:cs="Times New Roman"/>
                <w:b/>
                <w:bCs/>
                <w:sz w:val="24"/>
                <w:szCs w:val="24"/>
                <w:lang w:val="ru-RU" w:eastAsia="zh-CN"/>
              </w:rPr>
            </w:pPr>
          </w:p>
        </w:tc>
        <w:tc>
          <w:tcPr>
            <w:tcW w:w="1339" w:type="dxa"/>
            <w:tcBorders>
              <w:top w:val="single" w:sz="4" w:space="0" w:color="auto"/>
              <w:left w:val="single" w:sz="4" w:space="0" w:color="auto"/>
              <w:bottom w:val="single" w:sz="4" w:space="0" w:color="auto"/>
              <w:right w:val="single" w:sz="4" w:space="0" w:color="auto"/>
            </w:tcBorders>
            <w:vAlign w:val="center"/>
          </w:tcPr>
          <w:p w14:paraId="589D32D8"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21B47498"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4</w:t>
            </w:r>
          </w:p>
        </w:tc>
        <w:tc>
          <w:tcPr>
            <w:tcW w:w="1276" w:type="dxa"/>
            <w:tcBorders>
              <w:top w:val="single" w:sz="4" w:space="0" w:color="auto"/>
              <w:left w:val="single" w:sz="4" w:space="0" w:color="auto"/>
              <w:bottom w:val="single" w:sz="4" w:space="0" w:color="auto"/>
              <w:right w:val="single" w:sz="4" w:space="0" w:color="auto"/>
            </w:tcBorders>
            <w:vAlign w:val="center"/>
          </w:tcPr>
          <w:p w14:paraId="22E9A2D1"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19</w:t>
            </w:r>
          </w:p>
        </w:tc>
        <w:tc>
          <w:tcPr>
            <w:tcW w:w="1145" w:type="dxa"/>
            <w:tcBorders>
              <w:top w:val="single" w:sz="4" w:space="0" w:color="auto"/>
              <w:left w:val="single" w:sz="4" w:space="0" w:color="auto"/>
              <w:bottom w:val="single" w:sz="4" w:space="0" w:color="auto"/>
              <w:right w:val="single" w:sz="4" w:space="0" w:color="auto"/>
            </w:tcBorders>
            <w:vAlign w:val="center"/>
          </w:tcPr>
          <w:p w14:paraId="7817FD38"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8</w:t>
            </w:r>
          </w:p>
        </w:tc>
        <w:tc>
          <w:tcPr>
            <w:tcW w:w="1553" w:type="dxa"/>
            <w:tcBorders>
              <w:top w:val="single" w:sz="4" w:space="0" w:color="auto"/>
              <w:left w:val="single" w:sz="4" w:space="0" w:color="auto"/>
              <w:bottom w:val="single" w:sz="4" w:space="0" w:color="auto"/>
              <w:right w:val="single" w:sz="4" w:space="0" w:color="auto"/>
            </w:tcBorders>
            <w:vAlign w:val="center"/>
          </w:tcPr>
          <w:p w14:paraId="4B5A509E" w14:textId="77777777" w:rsidR="00DD566D" w:rsidRPr="00D430D9" w:rsidRDefault="00DD566D" w:rsidP="00C90B56">
            <w:pPr>
              <w:spacing w:line="276" w:lineRule="auto"/>
              <w:jc w:val="center"/>
              <w:rPr>
                <w:rFonts w:eastAsia="SimSun" w:cs="Times New Roman"/>
                <w:b/>
                <w:bCs/>
                <w:sz w:val="24"/>
                <w:szCs w:val="24"/>
                <w:lang w:val="ru-RU" w:eastAsia="zh-CN"/>
              </w:rPr>
            </w:pPr>
            <w:r w:rsidRPr="00D430D9">
              <w:rPr>
                <w:rFonts w:eastAsia="SimSun" w:cs="Times New Roman"/>
                <w:sz w:val="24"/>
                <w:szCs w:val="24"/>
                <w:lang w:val="uz-Cyrl-UZ" w:eastAsia="zh-CN"/>
              </w:rPr>
              <w:t>33</w:t>
            </w:r>
          </w:p>
        </w:tc>
      </w:tr>
    </w:tbl>
    <w:p w14:paraId="6BB6C150" w14:textId="77777777" w:rsidR="00DD566D" w:rsidRPr="00D430D9" w:rsidRDefault="00DD566D" w:rsidP="00DD566D">
      <w:pPr>
        <w:spacing w:line="276" w:lineRule="auto"/>
        <w:ind w:firstLine="567"/>
        <w:jc w:val="both"/>
        <w:rPr>
          <w:rFonts w:eastAsia="SimSun" w:cs="Times New Roman"/>
          <w:b/>
          <w:bCs/>
          <w:sz w:val="24"/>
          <w:szCs w:val="24"/>
          <w:lang w:val="ru-RU" w:eastAsia="zh-CN"/>
        </w:rPr>
      </w:pPr>
    </w:p>
    <w:p w14:paraId="5D22F7A6" w14:textId="77777777" w:rsidR="00DD566D" w:rsidRDefault="00DD566D" w:rsidP="00DD566D">
      <w:pPr>
        <w:spacing w:line="276" w:lineRule="auto"/>
        <w:ind w:firstLine="567"/>
        <w:jc w:val="both"/>
        <w:rPr>
          <w:rFonts w:eastAsia="SimSun" w:cs="Times New Roman"/>
          <w:sz w:val="24"/>
          <w:szCs w:val="24"/>
          <w:lang w:eastAsia="zh-CN"/>
        </w:rPr>
        <w:sectPr w:rsidR="00DD566D" w:rsidSect="00995DC2">
          <w:type w:val="continuous"/>
          <w:pgSz w:w="11907" w:h="16840" w:code="9"/>
          <w:pgMar w:top="1418" w:right="1134" w:bottom="1134" w:left="1134" w:header="907" w:footer="794" w:gutter="0"/>
          <w:cols w:space="708"/>
          <w:docGrid w:linePitch="381"/>
        </w:sectPr>
      </w:pPr>
    </w:p>
    <w:p w14:paraId="21837033"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In the acute phase of parenchymal hem</w:t>
      </w:r>
      <w:r>
        <w:rPr>
          <w:rFonts w:eastAsia="SimSun" w:cs="Times New Roman"/>
          <w:sz w:val="24"/>
          <w:szCs w:val="24"/>
          <w:lang w:eastAsia="zh-CN"/>
        </w:rPr>
        <w:softHyphen/>
      </w:r>
      <w:r w:rsidRPr="00D430D9">
        <w:rPr>
          <w:rFonts w:eastAsia="SimSun" w:cs="Times New Roman"/>
          <w:sz w:val="24"/>
          <w:szCs w:val="24"/>
          <w:lang w:eastAsia="zh-CN"/>
        </w:rPr>
        <w:t>orrhagic stroke, the disease recurred in 1 pa</w:t>
      </w:r>
      <w:r>
        <w:rPr>
          <w:rFonts w:eastAsia="SimSun" w:cs="Times New Roman"/>
          <w:sz w:val="24"/>
          <w:szCs w:val="24"/>
          <w:lang w:eastAsia="zh-CN"/>
        </w:rPr>
        <w:softHyphen/>
      </w:r>
      <w:r w:rsidRPr="00D430D9">
        <w:rPr>
          <w:rFonts w:eastAsia="SimSun" w:cs="Times New Roman"/>
          <w:sz w:val="24"/>
          <w:szCs w:val="24"/>
          <w:lang w:eastAsia="zh-CN"/>
        </w:rPr>
        <w:t xml:space="preserve">tient (8.3%), and another 1 patient (8.3%) died of cerebral edema. Seven of the 11 surviving patients (63.6%) were diagnosed with severe daily life disturbances and severe neurological disturbances on the Bartel and NIHSS scales, </w:t>
      </w:r>
      <w:r w:rsidRPr="00D430D9">
        <w:rPr>
          <w:rFonts w:eastAsia="SimSun" w:cs="Times New Roman"/>
          <w:sz w:val="24"/>
          <w:szCs w:val="24"/>
          <w:lang w:eastAsia="zh-CN"/>
        </w:rPr>
        <w:t>while the remaining 4 patients (36.4%) had moderate daily activity limitations and moder</w:t>
      </w:r>
      <w:r>
        <w:rPr>
          <w:rFonts w:eastAsia="SimSun" w:cs="Times New Roman"/>
          <w:sz w:val="24"/>
          <w:szCs w:val="24"/>
          <w:lang w:eastAsia="zh-CN"/>
        </w:rPr>
        <w:softHyphen/>
      </w:r>
      <w:r w:rsidRPr="00D430D9">
        <w:rPr>
          <w:rFonts w:eastAsia="SimSun" w:cs="Times New Roman"/>
          <w:sz w:val="24"/>
          <w:szCs w:val="24"/>
          <w:lang w:eastAsia="zh-CN"/>
        </w:rPr>
        <w:t>ate neurological disturbances (Fig. 1,2).</w:t>
      </w:r>
    </w:p>
    <w:p w14:paraId="4A7426A6"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Figure 1. Barthel scale summary</w:t>
      </w:r>
    </w:p>
    <w:p w14:paraId="64FB8B24"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Patients who developed parenchymal hemorrhagic stroke on the background of hy</w:t>
      </w:r>
      <w:r>
        <w:rPr>
          <w:rFonts w:eastAsia="SimSun" w:cs="Times New Roman"/>
          <w:sz w:val="24"/>
          <w:szCs w:val="24"/>
          <w:lang w:eastAsia="zh-CN"/>
        </w:rPr>
        <w:softHyphen/>
      </w:r>
      <w:r w:rsidRPr="00D430D9">
        <w:rPr>
          <w:rFonts w:eastAsia="SimSun" w:cs="Times New Roman"/>
          <w:sz w:val="24"/>
          <w:szCs w:val="24"/>
          <w:lang w:eastAsia="zh-CN"/>
        </w:rPr>
        <w:t xml:space="preserve">pertension and atherosclerosis were assessed </w:t>
      </w:r>
      <w:r w:rsidRPr="00D430D9">
        <w:rPr>
          <w:rFonts w:eastAsia="SimSun" w:cs="Times New Roman"/>
          <w:sz w:val="24"/>
          <w:szCs w:val="24"/>
          <w:lang w:eastAsia="zh-CN"/>
        </w:rPr>
        <w:lastRenderedPageBreak/>
        <w:t>on the Barthel and NIHSS scales. functional impairment and moderate neurological impair</w:t>
      </w:r>
      <w:r>
        <w:rPr>
          <w:rFonts w:eastAsia="SimSun" w:cs="Times New Roman"/>
          <w:sz w:val="24"/>
          <w:szCs w:val="24"/>
          <w:lang w:eastAsia="zh-CN"/>
        </w:rPr>
        <w:softHyphen/>
      </w:r>
      <w:r w:rsidRPr="00D430D9">
        <w:rPr>
          <w:rFonts w:eastAsia="SimSun" w:cs="Times New Roman"/>
          <w:sz w:val="24"/>
          <w:szCs w:val="24"/>
          <w:lang w:eastAsia="zh-CN"/>
        </w:rPr>
        <w:t>ment, in 7 patients (33.0%) there was a re</w:t>
      </w:r>
      <w:r>
        <w:rPr>
          <w:rFonts w:eastAsia="SimSun" w:cs="Times New Roman"/>
          <w:sz w:val="24"/>
          <w:szCs w:val="24"/>
          <w:lang w:eastAsia="zh-CN"/>
        </w:rPr>
        <w:softHyphen/>
      </w:r>
      <w:r w:rsidRPr="00D430D9">
        <w:rPr>
          <w:rFonts w:eastAsia="SimSun" w:cs="Times New Roman"/>
          <w:sz w:val="24"/>
          <w:szCs w:val="24"/>
          <w:lang w:eastAsia="zh-CN"/>
        </w:rPr>
        <w:t>striction of average daily life activity and mild neurological disorders, and in the remaining 3 (14.0%) there were mild neurological disor</w:t>
      </w:r>
      <w:r>
        <w:rPr>
          <w:rFonts w:eastAsia="SimSun" w:cs="Times New Roman"/>
          <w:sz w:val="24"/>
          <w:szCs w:val="24"/>
          <w:lang w:eastAsia="zh-CN"/>
        </w:rPr>
        <w:softHyphen/>
      </w:r>
      <w:r w:rsidRPr="00D430D9">
        <w:rPr>
          <w:rFonts w:eastAsia="SimSun" w:cs="Times New Roman"/>
          <w:sz w:val="24"/>
          <w:szCs w:val="24"/>
          <w:lang w:eastAsia="zh-CN"/>
        </w:rPr>
        <w:t>ders without impairment of daily life activities. In this group of patients, no deaths were ob</w:t>
      </w:r>
      <w:r>
        <w:rPr>
          <w:rFonts w:eastAsia="SimSun" w:cs="Times New Roman"/>
          <w:sz w:val="24"/>
          <w:szCs w:val="24"/>
          <w:lang w:eastAsia="zh-CN"/>
        </w:rPr>
        <w:softHyphen/>
      </w:r>
      <w:r w:rsidRPr="00D430D9">
        <w:rPr>
          <w:rFonts w:eastAsia="SimSun" w:cs="Times New Roman"/>
          <w:sz w:val="24"/>
          <w:szCs w:val="24"/>
          <w:lang w:eastAsia="zh-CN"/>
        </w:rPr>
        <w:t>served due to parenchymal hemorrhagic stroke during the acute, subacute, and early recovery periods of the disease.</w:t>
      </w:r>
    </w:p>
    <w:p w14:paraId="2115BFF1"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Figure 2. NIHSS scale summary</w:t>
      </w:r>
    </w:p>
    <w:p w14:paraId="5A714E8D"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When the parenchymal type of hemor</w:t>
      </w:r>
      <w:r>
        <w:rPr>
          <w:rFonts w:eastAsia="SimSun" w:cs="Times New Roman"/>
          <w:sz w:val="24"/>
          <w:szCs w:val="24"/>
          <w:lang w:eastAsia="zh-CN"/>
        </w:rPr>
        <w:softHyphen/>
      </w:r>
      <w:r w:rsidRPr="00D430D9">
        <w:rPr>
          <w:rFonts w:eastAsia="SimSun" w:cs="Times New Roman"/>
          <w:sz w:val="24"/>
          <w:szCs w:val="24"/>
          <w:lang w:eastAsia="zh-CN"/>
        </w:rPr>
        <w:t>rhagic stroke was analyzed according to the lo</w:t>
      </w:r>
      <w:r>
        <w:rPr>
          <w:rFonts w:eastAsia="SimSun" w:cs="Times New Roman"/>
          <w:sz w:val="24"/>
          <w:szCs w:val="24"/>
          <w:lang w:eastAsia="zh-CN"/>
        </w:rPr>
        <w:softHyphen/>
      </w:r>
      <w:r w:rsidRPr="00D430D9">
        <w:rPr>
          <w:rFonts w:eastAsia="SimSun" w:cs="Times New Roman"/>
          <w:sz w:val="24"/>
          <w:szCs w:val="24"/>
          <w:lang w:eastAsia="zh-CN"/>
        </w:rPr>
        <w:t>cation of the brain, parenchymatous hemor</w:t>
      </w:r>
      <w:r>
        <w:rPr>
          <w:rFonts w:eastAsia="SimSun" w:cs="Times New Roman"/>
          <w:sz w:val="24"/>
          <w:szCs w:val="24"/>
          <w:lang w:eastAsia="zh-CN"/>
        </w:rPr>
        <w:softHyphen/>
      </w:r>
      <w:r w:rsidRPr="00D430D9">
        <w:rPr>
          <w:rFonts w:eastAsia="SimSun" w:cs="Times New Roman"/>
          <w:sz w:val="24"/>
          <w:szCs w:val="24"/>
          <w:lang w:eastAsia="zh-CN"/>
        </w:rPr>
        <w:t>rhagic stroke occurred in the left hemisphere in 8 patients (66.7%) and in the right hemisphere in the remaining 4 patients (33.3%) in group 1. In group 2 patients, 14 (66.7%) were in the left hemisphere, 2 (9.5%) were in the left hemi</w:t>
      </w:r>
      <w:r>
        <w:rPr>
          <w:rFonts w:eastAsia="SimSun" w:cs="Times New Roman"/>
          <w:sz w:val="24"/>
          <w:szCs w:val="24"/>
          <w:lang w:eastAsia="zh-CN"/>
        </w:rPr>
        <w:softHyphen/>
      </w:r>
      <w:r w:rsidRPr="00D430D9">
        <w:rPr>
          <w:rFonts w:eastAsia="SimSun" w:cs="Times New Roman"/>
          <w:sz w:val="24"/>
          <w:szCs w:val="24"/>
          <w:lang w:eastAsia="zh-CN"/>
        </w:rPr>
        <w:t>sphere, 1 patient (4.8%) was in the left hemi</w:t>
      </w:r>
      <w:r>
        <w:rPr>
          <w:rFonts w:eastAsia="SimSun" w:cs="Times New Roman"/>
          <w:sz w:val="24"/>
          <w:szCs w:val="24"/>
          <w:lang w:eastAsia="zh-CN"/>
        </w:rPr>
        <w:softHyphen/>
      </w:r>
      <w:r w:rsidRPr="00D430D9">
        <w:rPr>
          <w:rFonts w:eastAsia="SimSun" w:cs="Times New Roman"/>
          <w:sz w:val="24"/>
          <w:szCs w:val="24"/>
          <w:lang w:eastAsia="zh-CN"/>
        </w:rPr>
        <w:t>sphere, and the remaining 4 (19.0%) were in the left hemisphere. parenchymal hemorrhage was detected in the right cerebral hemispheres. (Fig.2).</w:t>
      </w:r>
    </w:p>
    <w:p w14:paraId="47DF546F" w14:textId="77777777" w:rsidR="00DD566D" w:rsidRPr="00D430D9" w:rsidRDefault="00DD566D" w:rsidP="00DD566D">
      <w:pPr>
        <w:spacing w:line="276" w:lineRule="auto"/>
        <w:ind w:firstLine="567"/>
        <w:jc w:val="both"/>
        <w:rPr>
          <w:rFonts w:eastAsia="SimSun" w:cs="Times New Roman"/>
          <w:b/>
          <w:bCs/>
          <w:sz w:val="24"/>
          <w:szCs w:val="24"/>
          <w:lang w:eastAsia="zh-CN"/>
        </w:rPr>
      </w:pPr>
      <w:r w:rsidRPr="00D430D9">
        <w:rPr>
          <w:rFonts w:eastAsia="SimSun" w:cs="Times New Roman"/>
          <w:b/>
          <w:bCs/>
          <w:sz w:val="24"/>
          <w:szCs w:val="24"/>
          <w:lang w:eastAsia="zh-CN"/>
        </w:rPr>
        <w:t>Conclusion</w:t>
      </w:r>
    </w:p>
    <w:p w14:paraId="5DB6FEAA"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The study found that 8.3% of deaths were observed in patients with group 1, i.e., parenchymal hemorrhagic stroke, type 2 diabe</w:t>
      </w:r>
      <w:r>
        <w:rPr>
          <w:rFonts w:eastAsia="SimSun" w:cs="Times New Roman"/>
          <w:sz w:val="24"/>
          <w:szCs w:val="24"/>
          <w:lang w:eastAsia="zh-CN"/>
        </w:rPr>
        <w:softHyphen/>
      </w:r>
      <w:r w:rsidRPr="00D430D9">
        <w:rPr>
          <w:rFonts w:eastAsia="SimSun" w:cs="Times New Roman"/>
          <w:sz w:val="24"/>
          <w:szCs w:val="24"/>
          <w:lang w:eastAsia="zh-CN"/>
        </w:rPr>
        <w:t>tes mellitus, and hypertension, and recurrence in the acute phase of the disease in 8.3%. In all 91.7% (11) of the surviving patients, cocktail incompetence was observed. Mortality was not observed at all in patients with parenchyma</w:t>
      </w:r>
      <w:r>
        <w:rPr>
          <w:rFonts w:eastAsia="SimSun" w:cs="Times New Roman"/>
          <w:sz w:val="24"/>
          <w:szCs w:val="24"/>
          <w:lang w:eastAsia="zh-CN"/>
        </w:rPr>
        <w:softHyphen/>
      </w:r>
      <w:r w:rsidRPr="00D430D9">
        <w:rPr>
          <w:rFonts w:eastAsia="SimSun" w:cs="Times New Roman"/>
          <w:sz w:val="24"/>
          <w:szCs w:val="24"/>
          <w:lang w:eastAsia="zh-CN"/>
        </w:rPr>
        <w:t>tous hemorrhagic stroke, which developed against the background of group 2 hyperten</w:t>
      </w:r>
      <w:r>
        <w:rPr>
          <w:rFonts w:eastAsia="SimSun" w:cs="Times New Roman"/>
          <w:sz w:val="24"/>
          <w:szCs w:val="24"/>
          <w:lang w:eastAsia="zh-CN"/>
        </w:rPr>
        <w:softHyphen/>
      </w:r>
      <w:r w:rsidRPr="00D430D9">
        <w:rPr>
          <w:rFonts w:eastAsia="SimSun" w:cs="Times New Roman"/>
          <w:sz w:val="24"/>
          <w:szCs w:val="24"/>
          <w:lang w:eastAsia="zh-CN"/>
        </w:rPr>
        <w:t>sion and atherosclerosis, and 47.6% of patients returned to work as early as the period of early recovery from the disease. In both groups, male patients aged 50–65 years predominated, and the parenchymal type of hemorrhagic stroke was more common in the left cerebral hemispheres.</w:t>
      </w:r>
    </w:p>
    <w:p w14:paraId="50549F84" w14:textId="77777777" w:rsidR="00DD566D" w:rsidRDefault="00DD566D" w:rsidP="00DD566D">
      <w:pPr>
        <w:spacing w:line="276" w:lineRule="auto"/>
        <w:jc w:val="both"/>
        <w:rPr>
          <w:rFonts w:eastAsia="SimSun" w:cs="Times New Roman"/>
          <w:b/>
          <w:bCs/>
          <w:sz w:val="24"/>
          <w:szCs w:val="24"/>
          <w:lang w:eastAsia="zh-CN"/>
        </w:rPr>
      </w:pPr>
    </w:p>
    <w:p w14:paraId="59786A09" w14:textId="77777777" w:rsidR="00DD566D" w:rsidRDefault="00DD566D" w:rsidP="00DD566D">
      <w:pPr>
        <w:spacing w:line="276" w:lineRule="auto"/>
        <w:jc w:val="center"/>
        <w:rPr>
          <w:rFonts w:eastAsia="SimSun" w:cs="Times New Roman"/>
          <w:b/>
          <w:bCs/>
          <w:sz w:val="24"/>
          <w:szCs w:val="24"/>
          <w:lang w:eastAsia="zh-CN"/>
        </w:rPr>
      </w:pPr>
      <w:r w:rsidRPr="00D430D9">
        <w:rPr>
          <w:rFonts w:eastAsia="SimSun" w:cs="Times New Roman"/>
          <w:b/>
          <w:bCs/>
          <w:sz w:val="24"/>
          <w:szCs w:val="24"/>
          <w:lang w:eastAsia="zh-CN"/>
        </w:rPr>
        <w:t>REFERENCES</w:t>
      </w:r>
    </w:p>
    <w:p w14:paraId="7B88C85D" w14:textId="77777777" w:rsidR="00DD566D" w:rsidRPr="00D430D9" w:rsidRDefault="00DD566D" w:rsidP="00DD566D">
      <w:pPr>
        <w:spacing w:line="276" w:lineRule="auto"/>
        <w:jc w:val="both"/>
        <w:rPr>
          <w:rFonts w:eastAsia="SimSun" w:cs="Times New Roman"/>
          <w:b/>
          <w:bCs/>
          <w:sz w:val="24"/>
          <w:szCs w:val="24"/>
          <w:lang w:eastAsia="zh-CN"/>
        </w:rPr>
      </w:pPr>
    </w:p>
    <w:p w14:paraId="497B839B"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 Rakhimbaeva G.S., Muratov F.X., Ya</w:t>
      </w:r>
      <w:r>
        <w:rPr>
          <w:rFonts w:eastAsia="SimSun" w:cs="Times New Roman"/>
          <w:sz w:val="24"/>
          <w:szCs w:val="24"/>
          <w:lang w:eastAsia="zh-CN"/>
        </w:rPr>
        <w:softHyphen/>
      </w:r>
      <w:r w:rsidRPr="00D430D9">
        <w:rPr>
          <w:rFonts w:eastAsia="SimSun" w:cs="Times New Roman"/>
          <w:sz w:val="24"/>
          <w:szCs w:val="24"/>
          <w:lang w:eastAsia="zh-CN"/>
        </w:rPr>
        <w:t>kubova M.M., Neurology, pp. 106-115, Tash</w:t>
      </w:r>
      <w:r>
        <w:rPr>
          <w:rFonts w:eastAsia="SimSun" w:cs="Times New Roman"/>
          <w:sz w:val="24"/>
          <w:szCs w:val="24"/>
          <w:lang w:eastAsia="zh-CN"/>
        </w:rPr>
        <w:softHyphen/>
      </w:r>
      <w:r w:rsidRPr="00D430D9">
        <w:rPr>
          <w:rFonts w:eastAsia="SimSun" w:cs="Times New Roman"/>
          <w:sz w:val="24"/>
          <w:szCs w:val="24"/>
          <w:lang w:eastAsia="zh-CN"/>
        </w:rPr>
        <w:t>kent, 2020.</w:t>
      </w:r>
    </w:p>
    <w:p w14:paraId="2274B9D6"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2. Ibodullaev Z.R., Nervous diseases, pp. 75-87, Science and Technology, Tashkent, 2013.</w:t>
      </w:r>
    </w:p>
    <w:p w14:paraId="730A0920"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3. Hemorrhagic stroke in type 2 diabetes mellitus, A. I. Ermolaeva., 2009.</w:t>
      </w:r>
    </w:p>
    <w:p w14:paraId="630D0E47"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4. Acute disorders of cerebral circulation in type II diabetes mellitus, A. I. Ermolaeva, Bulletin of new medical technologies 14 (3), 132-135, 2007.</w:t>
      </w:r>
    </w:p>
    <w:p w14:paraId="06E9AB2A"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5. A method for predicting the course of hemorrhagic stroke, Antipina Yu.V., Gerasi</w:t>
      </w:r>
      <w:r>
        <w:rPr>
          <w:rFonts w:eastAsia="SimSun" w:cs="Times New Roman"/>
          <w:sz w:val="24"/>
          <w:szCs w:val="24"/>
          <w:lang w:eastAsia="zh-CN"/>
        </w:rPr>
        <w:softHyphen/>
      </w:r>
      <w:r w:rsidRPr="00D430D9">
        <w:rPr>
          <w:rFonts w:eastAsia="SimSun" w:cs="Times New Roman"/>
          <w:sz w:val="24"/>
          <w:szCs w:val="24"/>
          <w:lang w:eastAsia="zh-CN"/>
        </w:rPr>
        <w:t>mova M. M., Russia, 2002.</w:t>
      </w:r>
    </w:p>
    <w:p w14:paraId="4D5816EA"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color w:val="000000"/>
          <w:sz w:val="24"/>
          <w:szCs w:val="24"/>
          <w:lang w:eastAsia="zh-CN"/>
        </w:rPr>
        <w:t xml:space="preserve">6. </w:t>
      </w:r>
      <w:r w:rsidRPr="00D430D9">
        <w:rPr>
          <w:rFonts w:eastAsia="SimSun" w:cs="Times New Roman"/>
          <w:color w:val="000000"/>
          <w:sz w:val="24"/>
          <w:szCs w:val="24"/>
          <w:lang w:val="uz-Cyrl-UZ" w:eastAsia="zh-CN"/>
        </w:rPr>
        <w:t>Wafeek M. Elsheikh. New Stoke Prognostic factors.</w:t>
      </w:r>
      <w:r w:rsidRPr="00D430D9">
        <w:rPr>
          <w:rFonts w:eastAsia="SimSun" w:cs="Times New Roman"/>
          <w:color w:val="000000"/>
          <w:sz w:val="24"/>
          <w:szCs w:val="24"/>
          <w:lang w:eastAsia="zh-CN"/>
        </w:rPr>
        <w:t>,</w:t>
      </w:r>
      <w:r w:rsidRPr="00D430D9">
        <w:rPr>
          <w:rFonts w:eastAsia="SimSun" w:cs="Times New Roman"/>
          <w:color w:val="000000"/>
          <w:sz w:val="24"/>
          <w:szCs w:val="24"/>
          <w:lang w:val="uz-Cyrl-UZ" w:eastAsia="zh-CN"/>
        </w:rPr>
        <w:t xml:space="preserve"> </w:t>
      </w:r>
      <w:r w:rsidRPr="00D430D9">
        <w:rPr>
          <w:rFonts w:eastAsia="SimSun" w:cs="Times New Roman"/>
          <w:color w:val="000000"/>
          <w:sz w:val="24"/>
          <w:szCs w:val="24"/>
          <w:lang w:eastAsia="zh-CN"/>
        </w:rPr>
        <w:t>The Egyptian Journal of Neurology, Psychiatry and Neurosurgery</w:t>
      </w:r>
      <w:r w:rsidRPr="00D430D9">
        <w:rPr>
          <w:rFonts w:eastAsia="SimSun" w:cs="Times New Roman"/>
          <w:color w:val="000000"/>
          <w:sz w:val="24"/>
          <w:szCs w:val="24"/>
          <w:lang w:val="uz-Cyrl-UZ" w:eastAsia="zh-CN"/>
        </w:rPr>
        <w:t>,</w:t>
      </w:r>
      <w:r w:rsidRPr="00D430D9">
        <w:rPr>
          <w:rFonts w:eastAsia="SimSun" w:cs="Times New Roman"/>
          <w:color w:val="000000"/>
          <w:sz w:val="24"/>
          <w:szCs w:val="24"/>
          <w:lang w:eastAsia="zh-CN"/>
        </w:rPr>
        <w:t xml:space="preserve"> 2020</w:t>
      </w:r>
      <w:r w:rsidRPr="00D430D9">
        <w:rPr>
          <w:rFonts w:eastAsia="SimSun" w:cs="Times New Roman"/>
          <w:color w:val="000000"/>
          <w:sz w:val="24"/>
          <w:szCs w:val="24"/>
          <w:lang w:val="uz-Cyrl-UZ" w:eastAsia="zh-CN"/>
        </w:rPr>
        <w:t>.</w:t>
      </w:r>
    </w:p>
    <w:p w14:paraId="4773F2BD"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7. Chapter 19 Stoke and Diabetes., Ale</w:t>
      </w:r>
      <w:r>
        <w:rPr>
          <w:rFonts w:eastAsia="SimSun" w:cs="Times New Roman"/>
          <w:sz w:val="24"/>
          <w:szCs w:val="24"/>
          <w:lang w:eastAsia="zh-CN"/>
        </w:rPr>
        <w:softHyphen/>
      </w:r>
      <w:r w:rsidRPr="00D430D9">
        <w:rPr>
          <w:rFonts w:eastAsia="SimSun" w:cs="Times New Roman"/>
          <w:sz w:val="24"/>
          <w:szCs w:val="24"/>
          <w:lang w:eastAsia="zh-CN"/>
        </w:rPr>
        <w:t>ksandra Pikula,MD, USA, 2015</w:t>
      </w:r>
      <w:r w:rsidRPr="00D430D9">
        <w:rPr>
          <w:rFonts w:eastAsia="SimSun" w:cs="Times New Roman"/>
          <w:sz w:val="24"/>
          <w:szCs w:val="24"/>
          <w:lang w:val="uz-Cyrl-UZ" w:eastAsia="zh-CN"/>
        </w:rPr>
        <w:t>.</w:t>
      </w:r>
    </w:p>
    <w:p w14:paraId="46340D6F"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8. Complications as poor prognostic fac</w:t>
      </w:r>
      <w:r>
        <w:rPr>
          <w:rFonts w:eastAsia="SimSun" w:cs="Times New Roman"/>
          <w:sz w:val="24"/>
          <w:szCs w:val="24"/>
          <w:lang w:eastAsia="zh-CN"/>
        </w:rPr>
        <w:softHyphen/>
      </w:r>
      <w:r w:rsidRPr="00D430D9">
        <w:rPr>
          <w:rFonts w:eastAsia="SimSun" w:cs="Times New Roman"/>
          <w:sz w:val="24"/>
          <w:szCs w:val="24"/>
          <w:lang w:eastAsia="zh-CN"/>
        </w:rPr>
        <w:t>tor in patients with hemorrhagic stroke: A hos</w:t>
      </w:r>
      <w:r>
        <w:rPr>
          <w:rFonts w:eastAsia="SimSun" w:cs="Times New Roman"/>
          <w:sz w:val="24"/>
          <w:szCs w:val="24"/>
          <w:lang w:eastAsia="zh-CN"/>
        </w:rPr>
        <w:softHyphen/>
      </w:r>
      <w:r w:rsidRPr="00D430D9">
        <w:rPr>
          <w:rFonts w:eastAsia="SimSun" w:cs="Times New Roman"/>
          <w:sz w:val="24"/>
          <w:szCs w:val="24"/>
          <w:lang w:eastAsia="zh-CN"/>
        </w:rPr>
        <w:t>pital-based stroke registry., RT Pinzon, VO Wijaya, Int J Neurol Neurother 7, 096, 2020.</w:t>
      </w:r>
    </w:p>
    <w:p w14:paraId="55F42DD2"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9. Does this patient have a hemorrhagic stroke?: clinical findings distinguishing hem</w:t>
      </w:r>
      <w:r>
        <w:rPr>
          <w:rFonts w:eastAsia="SimSun" w:cs="Times New Roman"/>
          <w:sz w:val="24"/>
          <w:szCs w:val="24"/>
          <w:lang w:eastAsia="zh-CN"/>
        </w:rPr>
        <w:softHyphen/>
      </w:r>
      <w:r w:rsidRPr="00D430D9">
        <w:rPr>
          <w:rFonts w:eastAsia="SimSun" w:cs="Times New Roman"/>
          <w:sz w:val="24"/>
          <w:szCs w:val="24"/>
          <w:lang w:eastAsia="zh-CN"/>
        </w:rPr>
        <w:t>orrhagic stroke from ischemic stroke., Shauna Runchey, Steven McGee, Jama 303 (22), 2280-2286, 2010.</w:t>
      </w:r>
    </w:p>
    <w:p w14:paraId="138EAA9B"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10. Hemorrhagic stroke in the stroke pre</w:t>
      </w:r>
      <w:r>
        <w:rPr>
          <w:rFonts w:eastAsia="SimSun" w:cs="Times New Roman"/>
          <w:sz w:val="24"/>
          <w:szCs w:val="24"/>
          <w:lang w:eastAsia="zh-CN"/>
        </w:rPr>
        <w:softHyphen/>
      </w:r>
      <w:r w:rsidRPr="00D430D9">
        <w:rPr>
          <w:rFonts w:eastAsia="SimSun" w:cs="Times New Roman"/>
          <w:sz w:val="24"/>
          <w:szCs w:val="24"/>
          <w:lang w:eastAsia="zh-CN"/>
        </w:rPr>
        <w:t>vention by aggressive reduction in cholesterol levels study., LB Goldstein, P Amarenco, M Szarek, A 3rd Callahan, M Hennerici, H Sil</w:t>
      </w:r>
      <w:r>
        <w:rPr>
          <w:rFonts w:eastAsia="SimSun" w:cs="Times New Roman"/>
          <w:sz w:val="24"/>
          <w:szCs w:val="24"/>
          <w:lang w:eastAsia="zh-CN"/>
        </w:rPr>
        <w:softHyphen/>
      </w:r>
      <w:r w:rsidRPr="00D430D9">
        <w:rPr>
          <w:rFonts w:eastAsia="SimSun" w:cs="Times New Roman"/>
          <w:sz w:val="24"/>
          <w:szCs w:val="24"/>
          <w:lang w:eastAsia="zh-CN"/>
        </w:rPr>
        <w:t>lesen, JA Zivin, KMA Welch Neurology 70 (24 Part 2), 2364-2370, 2008.</w:t>
      </w:r>
    </w:p>
    <w:p w14:paraId="6333C390"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11. Hemorrhagic Stroke., Unnithan AKA1, Mehta P, Book from StatPearls Pub</w:t>
      </w:r>
      <w:r>
        <w:rPr>
          <w:rFonts w:eastAsia="SimSun" w:cs="Times New Roman"/>
          <w:sz w:val="24"/>
          <w:szCs w:val="24"/>
          <w:lang w:eastAsia="zh-CN"/>
        </w:rPr>
        <w:softHyphen/>
      </w:r>
      <w:r w:rsidRPr="00D430D9">
        <w:rPr>
          <w:rFonts w:eastAsia="SimSun" w:cs="Times New Roman"/>
          <w:sz w:val="24"/>
          <w:szCs w:val="24"/>
          <w:lang w:eastAsia="zh-CN"/>
        </w:rPr>
        <w:t>lishing, Treasure Island (FL), 10 Jul 2020.</w:t>
      </w:r>
    </w:p>
    <w:p w14:paraId="53E2618C"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12. Hemorrhagic Stroke., Ajaya Kumar A Unnithan, Parth Mehta, StatPearls [Internet], 2021.</w:t>
      </w:r>
    </w:p>
    <w:p w14:paraId="2EC529D4"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 xml:space="preserve">13. Effect of untreated hypertension on hemorrhagic stroke., Daniel Woo, Mary </w:t>
      </w:r>
      <w:r w:rsidRPr="00D430D9">
        <w:rPr>
          <w:rFonts w:eastAsia="SimSun" w:cs="Times New Roman"/>
          <w:sz w:val="24"/>
          <w:szCs w:val="24"/>
          <w:lang w:eastAsia="zh-CN"/>
        </w:rPr>
        <w:lastRenderedPageBreak/>
        <w:t>Haverbusch, Padmini Sekar., Stroke 35 (7), 1703-1708, 2004.</w:t>
      </w:r>
    </w:p>
    <w:p w14:paraId="5CE2680E"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14. Hemorrhagic stroke., Eric E Smith, Jonathan Rosand, Steven M Greenberg., Neu</w:t>
      </w:r>
      <w:r>
        <w:rPr>
          <w:rFonts w:eastAsia="SimSun" w:cs="Times New Roman"/>
          <w:sz w:val="24"/>
          <w:szCs w:val="24"/>
          <w:lang w:eastAsia="zh-CN"/>
        </w:rPr>
        <w:softHyphen/>
      </w:r>
      <w:r w:rsidRPr="00D430D9">
        <w:rPr>
          <w:rFonts w:eastAsia="SimSun" w:cs="Times New Roman"/>
          <w:sz w:val="24"/>
          <w:szCs w:val="24"/>
          <w:lang w:eastAsia="zh-CN"/>
        </w:rPr>
        <w:t>roimaging Clinics 15 (2), 259-272, 2005.</w:t>
      </w:r>
    </w:p>
    <w:p w14:paraId="74BECA35" w14:textId="77777777" w:rsidR="00DD566D" w:rsidRPr="00D430D9" w:rsidRDefault="00DD566D" w:rsidP="00DD566D">
      <w:pPr>
        <w:spacing w:line="276" w:lineRule="auto"/>
        <w:ind w:firstLine="567"/>
        <w:jc w:val="both"/>
        <w:rPr>
          <w:rFonts w:eastAsia="SimSun" w:cs="Times New Roman"/>
          <w:sz w:val="24"/>
          <w:szCs w:val="24"/>
          <w:lang w:eastAsia="zh-CN"/>
        </w:rPr>
      </w:pPr>
      <w:r w:rsidRPr="00D430D9">
        <w:rPr>
          <w:rFonts w:eastAsia="SimSun" w:cs="Times New Roman"/>
          <w:sz w:val="24"/>
          <w:szCs w:val="24"/>
          <w:lang w:eastAsia="zh-CN"/>
        </w:rPr>
        <w:t>15. Imaging of hemorrhagic stroke., Eric E Smith, Jonathan Rosand, Steven M Green</w:t>
      </w:r>
      <w:r>
        <w:rPr>
          <w:rFonts w:eastAsia="SimSun" w:cs="Times New Roman"/>
          <w:sz w:val="24"/>
          <w:szCs w:val="24"/>
          <w:lang w:eastAsia="zh-CN"/>
        </w:rPr>
        <w:softHyphen/>
      </w:r>
      <w:r w:rsidRPr="00D430D9">
        <w:rPr>
          <w:rFonts w:eastAsia="SimSun" w:cs="Times New Roman"/>
          <w:sz w:val="24"/>
          <w:szCs w:val="24"/>
          <w:lang w:eastAsia="zh-CN"/>
        </w:rPr>
        <w:t>berg., Magnetic Resonance Imaging Clinics 14 (2), 127-140, 2006.</w:t>
      </w:r>
    </w:p>
    <w:p w14:paraId="56604D63" w14:textId="77777777" w:rsidR="00DD566D" w:rsidRDefault="00DD566D" w:rsidP="00DD566D">
      <w:pPr>
        <w:spacing w:line="276" w:lineRule="auto"/>
        <w:ind w:firstLine="567"/>
        <w:jc w:val="both"/>
        <w:rPr>
          <w:rFonts w:eastAsia="SimSun" w:cs="Times New Roman"/>
          <w:sz w:val="24"/>
          <w:szCs w:val="24"/>
          <w:lang w:eastAsia="zh-CN"/>
        </w:rPr>
        <w:sectPr w:rsidR="00DD566D" w:rsidSect="00B30BB8">
          <w:type w:val="continuous"/>
          <w:pgSz w:w="11907" w:h="16840" w:code="9"/>
          <w:pgMar w:top="1418" w:right="1134" w:bottom="1134" w:left="1134" w:header="907" w:footer="794" w:gutter="0"/>
          <w:cols w:num="2" w:space="708"/>
          <w:docGrid w:linePitch="381"/>
        </w:sectPr>
      </w:pPr>
      <w:r w:rsidRPr="00D430D9">
        <w:rPr>
          <w:rFonts w:eastAsia="SimSun" w:cs="Times New Roman"/>
          <w:sz w:val="24"/>
          <w:szCs w:val="24"/>
          <w:lang w:eastAsia="zh-CN"/>
        </w:rPr>
        <w:t>16. Influence of hypertension, lipome</w:t>
      </w:r>
      <w:r>
        <w:rPr>
          <w:rFonts w:eastAsia="SimSun" w:cs="Times New Roman"/>
          <w:sz w:val="24"/>
          <w:szCs w:val="24"/>
          <w:lang w:eastAsia="zh-CN"/>
        </w:rPr>
        <w:softHyphen/>
      </w:r>
      <w:r w:rsidRPr="00D430D9">
        <w:rPr>
          <w:rFonts w:eastAsia="SimSun" w:cs="Times New Roman"/>
          <w:sz w:val="24"/>
          <w:szCs w:val="24"/>
          <w:lang w:eastAsia="zh-CN"/>
        </w:rPr>
        <w:t>tabolism disorders, obesity and other lifestyles on spontaneous intracerebral hemorrhage., Jun-Fu Zhou, Ji-Yue Wang, Yan-Er Luo, Huai-Hong Chen., Biomedical and environ</w:t>
      </w:r>
      <w:r>
        <w:rPr>
          <w:rFonts w:eastAsia="SimSun" w:cs="Times New Roman"/>
          <w:sz w:val="24"/>
          <w:szCs w:val="24"/>
          <w:lang w:eastAsia="zh-CN"/>
        </w:rPr>
        <w:softHyphen/>
      </w:r>
      <w:r w:rsidRPr="00D430D9">
        <w:rPr>
          <w:rFonts w:eastAsia="SimSun" w:cs="Times New Roman"/>
          <w:sz w:val="24"/>
          <w:szCs w:val="24"/>
          <w:lang w:eastAsia="zh-CN"/>
        </w:rPr>
        <w:t>mental sciences: BES 16 (3), 295-303, 2003.</w:t>
      </w:r>
    </w:p>
    <w:p w14:paraId="4785ABCD" w14:textId="77777777" w:rsidR="00DD566D" w:rsidRPr="00D430D9" w:rsidRDefault="00DD566D" w:rsidP="00DD566D">
      <w:pPr>
        <w:spacing w:line="276" w:lineRule="auto"/>
        <w:ind w:firstLine="567"/>
        <w:jc w:val="both"/>
        <w:rPr>
          <w:rFonts w:eastAsia="SimSun" w:cs="Times New Roman"/>
          <w:sz w:val="24"/>
          <w:szCs w:val="24"/>
          <w:lang w:eastAsia="zh-CN"/>
        </w:rPr>
      </w:pPr>
    </w:p>
    <w:p w14:paraId="6E1CB355" w14:textId="77777777" w:rsidR="00DD566D" w:rsidRPr="00DA21C8" w:rsidRDefault="00DD566D" w:rsidP="00DD566D">
      <w:pPr>
        <w:pStyle w:val="1"/>
        <w:rPr>
          <w:rFonts w:eastAsia="Calibri"/>
          <w:lang w:val="uz-Cyrl-UZ"/>
        </w:rPr>
      </w:pPr>
      <w:bookmarkStart w:id="9" w:name="_Toc104745754"/>
      <w:r w:rsidRPr="00DA21C8">
        <w:rPr>
          <w:rFonts w:eastAsia="Calibri"/>
        </w:rPr>
        <w:t>THE EFFECTIVENESS OF ANTICOAGULANT THERAPY IN COVID-19 ASSOCIATED ISCHEMIC STROKE</w:t>
      </w:r>
      <w:bookmarkEnd w:id="9"/>
    </w:p>
    <w:p w14:paraId="5E18B83E" w14:textId="77777777" w:rsidR="00DD566D" w:rsidRPr="00DA21C8" w:rsidRDefault="00DD566D" w:rsidP="00DD566D">
      <w:pPr>
        <w:ind w:firstLine="567"/>
        <w:jc w:val="both"/>
        <w:rPr>
          <w:rFonts w:eastAsia="Calibri" w:cs="Times New Roman"/>
          <w:i/>
          <w:sz w:val="24"/>
          <w:szCs w:val="24"/>
          <w:lang w:val="uz-Cyrl-UZ"/>
        </w:rPr>
      </w:pPr>
    </w:p>
    <w:p w14:paraId="7560FFCE" w14:textId="77777777" w:rsidR="00DD566D" w:rsidRPr="00DA21C8" w:rsidRDefault="00DD566D" w:rsidP="00DD566D">
      <w:pPr>
        <w:jc w:val="center"/>
        <w:rPr>
          <w:rFonts w:eastAsia="Calibri" w:cs="Times New Roman"/>
          <w:b/>
          <w:bCs/>
          <w:iCs/>
          <w:sz w:val="24"/>
          <w:szCs w:val="24"/>
          <w:lang w:val="uz-Cyrl-UZ"/>
        </w:rPr>
      </w:pPr>
      <w:r w:rsidRPr="00DA21C8">
        <w:rPr>
          <w:rFonts w:eastAsia="Calibri" w:cs="Times New Roman"/>
          <w:b/>
          <w:bCs/>
          <w:iCs/>
          <w:sz w:val="24"/>
          <w:szCs w:val="24"/>
          <w:lang w:val="uz-Cyrl-UZ"/>
        </w:rPr>
        <w:t>Ataniyazov Makhsudjan</w:t>
      </w:r>
    </w:p>
    <w:p w14:paraId="25428783" w14:textId="77777777" w:rsidR="00DD566D" w:rsidRPr="00DA21C8" w:rsidRDefault="00DD566D" w:rsidP="00DD566D">
      <w:pPr>
        <w:jc w:val="center"/>
        <w:rPr>
          <w:rFonts w:eastAsia="Calibri" w:cs="Times New Roman"/>
          <w:b/>
          <w:bCs/>
          <w:iCs/>
          <w:sz w:val="24"/>
          <w:szCs w:val="24"/>
          <w:lang w:val="uz-Cyrl-UZ"/>
        </w:rPr>
      </w:pPr>
      <w:r w:rsidRPr="00DA21C8">
        <w:rPr>
          <w:rFonts w:eastAsia="Calibri" w:cs="Times New Roman"/>
          <w:b/>
          <w:bCs/>
          <w:iCs/>
          <w:sz w:val="24"/>
          <w:szCs w:val="24"/>
          <w:lang w:val="uz-Cyrl-UZ"/>
        </w:rPr>
        <w:t>Khamidov Abdulakhad</w:t>
      </w:r>
    </w:p>
    <w:p w14:paraId="045561DE" w14:textId="77777777" w:rsidR="00DD566D" w:rsidRPr="00DA21C8" w:rsidRDefault="00DD566D" w:rsidP="00DD566D">
      <w:pPr>
        <w:jc w:val="center"/>
        <w:rPr>
          <w:rFonts w:eastAsia="Calibri" w:cs="Times New Roman"/>
          <w:iCs/>
          <w:sz w:val="24"/>
          <w:szCs w:val="24"/>
          <w:lang w:val="uz-Cyrl-UZ"/>
        </w:rPr>
      </w:pPr>
      <w:r w:rsidRPr="00DA21C8">
        <w:rPr>
          <w:rFonts w:eastAsia="Calibri" w:cs="Times New Roman"/>
          <w:iCs/>
          <w:sz w:val="24"/>
          <w:szCs w:val="24"/>
          <w:lang w:val="uz-Cyrl-UZ"/>
        </w:rPr>
        <w:t xml:space="preserve">Department of neurology </w:t>
      </w:r>
      <w:r w:rsidRPr="00DA21C8">
        <w:rPr>
          <w:rFonts w:eastAsia="Calibri" w:cs="Times New Roman"/>
          <w:iCs/>
          <w:sz w:val="24"/>
          <w:szCs w:val="24"/>
        </w:rPr>
        <w:t>a</w:t>
      </w:r>
      <w:r w:rsidRPr="00DA21C8">
        <w:rPr>
          <w:rFonts w:eastAsia="Calibri" w:cs="Times New Roman"/>
          <w:iCs/>
          <w:sz w:val="24"/>
          <w:szCs w:val="24"/>
          <w:lang w:val="uz-Cyrl-UZ"/>
        </w:rPr>
        <w:t>nd medical psychology</w:t>
      </w:r>
    </w:p>
    <w:p w14:paraId="5A983ABE" w14:textId="77777777" w:rsidR="00DD566D" w:rsidRPr="00DA21C8" w:rsidRDefault="00DD566D" w:rsidP="00DD566D">
      <w:pPr>
        <w:jc w:val="center"/>
        <w:rPr>
          <w:rFonts w:eastAsia="Calibri" w:cs="Times New Roman"/>
          <w:iCs/>
          <w:sz w:val="24"/>
          <w:szCs w:val="24"/>
          <w:lang w:val="uz-Cyrl-UZ"/>
        </w:rPr>
      </w:pPr>
      <w:r w:rsidRPr="00DA21C8">
        <w:rPr>
          <w:rFonts w:eastAsia="Calibri" w:cs="Times New Roman"/>
          <w:iCs/>
          <w:sz w:val="24"/>
          <w:szCs w:val="24"/>
          <w:lang w:val="uz-Cyrl-UZ"/>
        </w:rPr>
        <w:t>Tashkent medical academy, Uzbekistan, Tashkent</w:t>
      </w:r>
    </w:p>
    <w:p w14:paraId="1D12749A" w14:textId="77777777" w:rsidR="00DD566D" w:rsidRPr="00DA21C8" w:rsidRDefault="00DD566D" w:rsidP="00DD566D">
      <w:pPr>
        <w:ind w:firstLine="567"/>
        <w:jc w:val="both"/>
        <w:rPr>
          <w:rFonts w:eastAsia="Calibri" w:cs="Times New Roman"/>
          <w:i/>
          <w:sz w:val="24"/>
          <w:szCs w:val="24"/>
          <w:lang w:val="uz-Cyrl-UZ"/>
        </w:rPr>
      </w:pPr>
    </w:p>
    <w:p w14:paraId="680FE8CC" w14:textId="77777777" w:rsidR="00DD566D" w:rsidRPr="00DA21C8" w:rsidRDefault="00DD566D" w:rsidP="00DD566D">
      <w:pPr>
        <w:ind w:firstLine="567"/>
        <w:jc w:val="both"/>
        <w:rPr>
          <w:rFonts w:eastAsia="Calibri" w:cs="Times New Roman"/>
          <w:i/>
          <w:sz w:val="24"/>
          <w:szCs w:val="24"/>
        </w:rPr>
      </w:pPr>
      <w:r w:rsidRPr="00DA21C8">
        <w:rPr>
          <w:rFonts w:eastAsia="Calibri" w:cs="Times New Roman"/>
          <w:i/>
          <w:sz w:val="24"/>
          <w:szCs w:val="24"/>
          <w:lang w:val="uz-Cyrl-UZ"/>
        </w:rPr>
        <w:t xml:space="preserve">This article analyzes the effects and efficacy of various anticoagulant agents on </w:t>
      </w:r>
      <w:r w:rsidRPr="00DA21C8">
        <w:rPr>
          <w:rFonts w:eastAsia="Calibri" w:cs="Times New Roman"/>
          <w:i/>
          <w:sz w:val="24"/>
          <w:szCs w:val="24"/>
        </w:rPr>
        <w:t>hemorheological</w:t>
      </w:r>
      <w:r w:rsidRPr="00DA21C8">
        <w:rPr>
          <w:rFonts w:eastAsia="Calibri" w:cs="Times New Roman"/>
          <w:i/>
          <w:sz w:val="24"/>
          <w:szCs w:val="24"/>
          <w:lang w:val="uz-Cyrl-UZ"/>
        </w:rPr>
        <w:t xml:space="preserve"> indicators used in Covid-19 associated ischemic stroke </w:t>
      </w:r>
      <w:r w:rsidRPr="00DA21C8">
        <w:rPr>
          <w:rFonts w:eastAsia="Calibri" w:cs="Times New Roman"/>
          <w:i/>
          <w:sz w:val="24"/>
          <w:szCs w:val="24"/>
        </w:rPr>
        <w:t>and post treatment results in the early stages of the disease are presented.</w:t>
      </w:r>
    </w:p>
    <w:p w14:paraId="4562C46F" w14:textId="77777777" w:rsidR="00DD566D" w:rsidRPr="00DA21C8" w:rsidRDefault="00DD566D" w:rsidP="00DD566D">
      <w:pPr>
        <w:ind w:firstLine="567"/>
        <w:jc w:val="both"/>
        <w:rPr>
          <w:rFonts w:eastAsia="Calibri" w:cs="Times New Roman"/>
          <w:i/>
          <w:sz w:val="24"/>
          <w:szCs w:val="24"/>
          <w:lang w:val="uz-Cyrl-UZ"/>
        </w:rPr>
      </w:pPr>
      <w:r w:rsidRPr="00DA21C8">
        <w:rPr>
          <w:rFonts w:eastAsia="Calibri" w:cs="Times New Roman"/>
          <w:i/>
          <w:sz w:val="24"/>
          <w:szCs w:val="24"/>
          <w:lang w:val="uz-Cyrl-UZ"/>
        </w:rPr>
        <w:t xml:space="preserve">    </w:t>
      </w:r>
      <w:r w:rsidRPr="00DA21C8">
        <w:rPr>
          <w:rFonts w:eastAsia="Calibri" w:cs="Times New Roman"/>
          <w:b/>
          <w:bCs/>
          <w:i/>
          <w:sz w:val="24"/>
          <w:szCs w:val="24"/>
          <w:lang w:val="uz-Cyrl-UZ"/>
        </w:rPr>
        <w:t>Keywords</w:t>
      </w:r>
      <w:r w:rsidRPr="00DA21C8">
        <w:rPr>
          <w:rFonts w:eastAsia="Calibri" w:cs="Times New Roman"/>
          <w:b/>
          <w:bCs/>
          <w:i/>
          <w:sz w:val="24"/>
          <w:szCs w:val="24"/>
        </w:rPr>
        <w:t>:</w:t>
      </w:r>
      <w:r w:rsidRPr="00DA21C8">
        <w:rPr>
          <w:rFonts w:eastAsia="Calibri" w:cs="Times New Roman"/>
          <w:b/>
          <w:bCs/>
          <w:i/>
          <w:sz w:val="24"/>
          <w:szCs w:val="24"/>
          <w:lang w:val="uz-Cyrl-UZ"/>
        </w:rPr>
        <w:t xml:space="preserve"> </w:t>
      </w:r>
      <w:r w:rsidRPr="00DA21C8">
        <w:rPr>
          <w:rFonts w:eastAsia="Calibri" w:cs="Times New Roman"/>
          <w:i/>
          <w:sz w:val="24"/>
          <w:szCs w:val="24"/>
          <w:lang w:val="uz-Cyrl-UZ"/>
        </w:rPr>
        <w:t xml:space="preserve">Covid-19, </w:t>
      </w:r>
      <w:r w:rsidRPr="00DA21C8">
        <w:rPr>
          <w:rFonts w:eastAsia="Calibri" w:cs="Times New Roman"/>
          <w:bCs/>
          <w:i/>
          <w:sz w:val="24"/>
          <w:szCs w:val="24"/>
          <w:lang w:val="uz-Cyrl-UZ"/>
        </w:rPr>
        <w:t xml:space="preserve">SARS-CoV-2, ischemic stroke, activated </w:t>
      </w:r>
      <w:r w:rsidRPr="00DA21C8">
        <w:rPr>
          <w:rFonts w:eastAsia="Calibri" w:cs="Times New Roman"/>
          <w:bCs/>
          <w:i/>
          <w:sz w:val="24"/>
          <w:szCs w:val="24"/>
        </w:rPr>
        <w:t>p</w:t>
      </w:r>
      <w:r w:rsidRPr="00DA21C8">
        <w:rPr>
          <w:rFonts w:eastAsia="Calibri" w:cs="Times New Roman"/>
          <w:bCs/>
          <w:i/>
          <w:sz w:val="24"/>
          <w:szCs w:val="24"/>
          <w:lang w:val="uz-Cyrl-UZ"/>
        </w:rPr>
        <w:t xml:space="preserve">artial </w:t>
      </w:r>
      <w:r w:rsidRPr="00DA21C8">
        <w:rPr>
          <w:rFonts w:eastAsia="Calibri" w:cs="Times New Roman"/>
          <w:bCs/>
          <w:i/>
          <w:sz w:val="24"/>
          <w:szCs w:val="24"/>
        </w:rPr>
        <w:t>t</w:t>
      </w:r>
      <w:r w:rsidRPr="00DA21C8">
        <w:rPr>
          <w:rFonts w:eastAsia="Calibri" w:cs="Times New Roman"/>
          <w:bCs/>
          <w:i/>
          <w:sz w:val="24"/>
          <w:szCs w:val="24"/>
          <w:lang w:val="uz-Cyrl-UZ"/>
        </w:rPr>
        <w:t xml:space="preserve">hromboplastin </w:t>
      </w:r>
      <w:r w:rsidRPr="00DA21C8">
        <w:rPr>
          <w:rFonts w:eastAsia="Calibri" w:cs="Times New Roman"/>
          <w:bCs/>
          <w:i/>
          <w:sz w:val="24"/>
          <w:szCs w:val="24"/>
        </w:rPr>
        <w:t>t</w:t>
      </w:r>
      <w:r w:rsidRPr="00DA21C8">
        <w:rPr>
          <w:rFonts w:eastAsia="Calibri" w:cs="Times New Roman"/>
          <w:bCs/>
          <w:i/>
          <w:sz w:val="24"/>
          <w:szCs w:val="24"/>
          <w:lang w:val="uz-Cyrl-UZ"/>
        </w:rPr>
        <w:t xml:space="preserve">ime, D-dimer, fibrinogen, prothrombin time, </w:t>
      </w:r>
      <w:r w:rsidRPr="00DA21C8">
        <w:rPr>
          <w:rFonts w:eastAsia="Calibri" w:cs="Times New Roman"/>
          <w:i/>
          <w:sz w:val="24"/>
          <w:szCs w:val="24"/>
          <w:lang w:val="uz-Cyrl-UZ"/>
        </w:rPr>
        <w:t>heparin, enoxiparin, rivaroxaban.</w:t>
      </w:r>
    </w:p>
    <w:p w14:paraId="7916A67F" w14:textId="77777777" w:rsidR="00DD566D" w:rsidRPr="00DA21C8" w:rsidRDefault="00DD566D" w:rsidP="00DD566D">
      <w:pPr>
        <w:ind w:firstLine="567"/>
        <w:jc w:val="both"/>
        <w:rPr>
          <w:rFonts w:eastAsia="Calibri" w:cs="Times New Roman"/>
          <w:sz w:val="24"/>
          <w:szCs w:val="24"/>
          <w:lang w:val="uz-Cyrl-UZ"/>
        </w:rPr>
      </w:pPr>
    </w:p>
    <w:p w14:paraId="74FE3D9C" w14:textId="77777777" w:rsidR="00DD566D" w:rsidRDefault="00DD566D" w:rsidP="00DD566D">
      <w:pPr>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588E8407" w14:textId="77777777" w:rsidR="00DD566D" w:rsidRPr="00DA21C8" w:rsidRDefault="00DD566D" w:rsidP="00DD566D">
      <w:pPr>
        <w:ind w:firstLine="567"/>
        <w:jc w:val="both"/>
        <w:rPr>
          <w:rFonts w:eastAsia="Calibri" w:cs="Times New Roman"/>
          <w:color w:val="FF0000"/>
          <w:sz w:val="24"/>
          <w:szCs w:val="24"/>
        </w:rPr>
      </w:pPr>
      <w:r w:rsidRPr="00DA21C8">
        <w:rPr>
          <w:rFonts w:eastAsia="Calibri" w:cs="Times New Roman"/>
          <w:sz w:val="24"/>
          <w:szCs w:val="24"/>
        </w:rPr>
        <w:t>It is known that the SARS-CoV-2 virus can infect the central nervous system [1–2], and COVID-19 can cause a prothrombotic state [3]. Since the start of the SARS-CoV-2 pandemic in 2019, there has been growing ev</w:t>
      </w:r>
      <w:r>
        <w:rPr>
          <w:rFonts w:eastAsia="Calibri" w:cs="Times New Roman"/>
          <w:sz w:val="24"/>
          <w:szCs w:val="24"/>
        </w:rPr>
        <w:softHyphen/>
      </w:r>
      <w:r w:rsidRPr="00DA21C8">
        <w:rPr>
          <w:rFonts w:eastAsia="Calibri" w:cs="Times New Roman"/>
          <w:sz w:val="24"/>
          <w:szCs w:val="24"/>
        </w:rPr>
        <w:t>idence of neurological complications associ</w:t>
      </w:r>
      <w:r>
        <w:rPr>
          <w:rFonts w:eastAsia="Calibri" w:cs="Times New Roman"/>
          <w:sz w:val="24"/>
          <w:szCs w:val="24"/>
        </w:rPr>
        <w:softHyphen/>
      </w:r>
      <w:r w:rsidRPr="00DA21C8">
        <w:rPr>
          <w:rFonts w:eastAsia="Calibri" w:cs="Times New Roman"/>
          <w:sz w:val="24"/>
          <w:szCs w:val="24"/>
        </w:rPr>
        <w:t>ated with COVID-19. Although SARS-Cov-2 predominantly causes acute respiratory syn</w:t>
      </w:r>
      <w:r>
        <w:rPr>
          <w:rFonts w:eastAsia="Calibri" w:cs="Times New Roman"/>
          <w:sz w:val="24"/>
          <w:szCs w:val="24"/>
        </w:rPr>
        <w:softHyphen/>
      </w:r>
      <w:r w:rsidRPr="00DA21C8">
        <w:rPr>
          <w:rFonts w:eastAsia="Calibri" w:cs="Times New Roman"/>
          <w:sz w:val="24"/>
          <w:szCs w:val="24"/>
        </w:rPr>
        <w:t>drome, it can present with a variety of symp</w:t>
      </w:r>
      <w:r>
        <w:rPr>
          <w:rFonts w:eastAsia="Calibri" w:cs="Times New Roman"/>
          <w:sz w:val="24"/>
          <w:szCs w:val="24"/>
        </w:rPr>
        <w:softHyphen/>
      </w:r>
      <w:r w:rsidRPr="00DA21C8">
        <w:rPr>
          <w:rFonts w:eastAsia="Calibri" w:cs="Times New Roman"/>
          <w:sz w:val="24"/>
          <w:szCs w:val="24"/>
        </w:rPr>
        <w:t>toms. Neurological symptoms, including head</w:t>
      </w:r>
      <w:r>
        <w:rPr>
          <w:rFonts w:eastAsia="Calibri" w:cs="Times New Roman"/>
          <w:sz w:val="24"/>
          <w:szCs w:val="24"/>
        </w:rPr>
        <w:softHyphen/>
      </w:r>
      <w:r w:rsidRPr="00DA21C8">
        <w:rPr>
          <w:rFonts w:eastAsia="Calibri" w:cs="Times New Roman"/>
          <w:sz w:val="24"/>
          <w:szCs w:val="24"/>
        </w:rPr>
        <w:t>ache, dizziness, cranial nerve injury (anosmia), cerebrovascular disease, and encephalopathy may develop alone or in parallel with respira</w:t>
      </w:r>
      <w:r>
        <w:rPr>
          <w:rFonts w:eastAsia="Calibri" w:cs="Times New Roman"/>
          <w:sz w:val="24"/>
          <w:szCs w:val="24"/>
        </w:rPr>
        <w:softHyphen/>
      </w:r>
      <w:r w:rsidRPr="00DA21C8">
        <w:rPr>
          <w:rFonts w:eastAsia="Calibri" w:cs="Times New Roman"/>
          <w:sz w:val="24"/>
          <w:szCs w:val="24"/>
        </w:rPr>
        <w:t>tory distress in the early stages of COVID-19 infection [4].</w:t>
      </w:r>
      <w:r w:rsidRPr="00DA21C8">
        <w:rPr>
          <w:rFonts w:eastAsia="Calibri" w:cs="Times New Roman"/>
          <w:color w:val="FF0000"/>
          <w:sz w:val="24"/>
          <w:szCs w:val="24"/>
        </w:rPr>
        <w:t xml:space="preserve"> </w:t>
      </w:r>
      <w:r w:rsidRPr="00DA21C8">
        <w:rPr>
          <w:rFonts w:eastAsia="Calibri" w:cs="Times New Roman"/>
          <w:sz w:val="24"/>
          <w:szCs w:val="24"/>
        </w:rPr>
        <w:t>The association of cerebrovascu</w:t>
      </w:r>
      <w:r>
        <w:rPr>
          <w:rFonts w:eastAsia="Calibri" w:cs="Times New Roman"/>
          <w:sz w:val="24"/>
          <w:szCs w:val="24"/>
        </w:rPr>
        <w:softHyphen/>
      </w:r>
      <w:r w:rsidRPr="00DA21C8">
        <w:rPr>
          <w:rFonts w:eastAsia="Calibri" w:cs="Times New Roman"/>
          <w:sz w:val="24"/>
          <w:szCs w:val="24"/>
        </w:rPr>
        <w:t>lar accident with severe COVID-19 was first studied in a retrospective study conducted in China with 214 patients with COVID-19; four ischemic strokes (IS) were registered [5]. In a meta-analysis of 18 groups of studies involv</w:t>
      </w:r>
      <w:r>
        <w:rPr>
          <w:rFonts w:eastAsia="Calibri" w:cs="Times New Roman"/>
          <w:sz w:val="24"/>
          <w:szCs w:val="24"/>
        </w:rPr>
        <w:softHyphen/>
      </w:r>
      <w:r w:rsidRPr="00DA21C8">
        <w:rPr>
          <w:rFonts w:eastAsia="Calibri" w:cs="Times New Roman"/>
          <w:sz w:val="24"/>
          <w:szCs w:val="24"/>
        </w:rPr>
        <w:t>ing 67,845 patients with COVID-19 infection, cases of ischemic stroke were registered in 1.1% of patients [3,6,8]. Increased prothrom</w:t>
      </w:r>
      <w:r>
        <w:rPr>
          <w:rFonts w:eastAsia="Calibri" w:cs="Times New Roman"/>
          <w:sz w:val="24"/>
          <w:szCs w:val="24"/>
        </w:rPr>
        <w:softHyphen/>
      </w:r>
      <w:r w:rsidRPr="00DA21C8">
        <w:rPr>
          <w:rFonts w:eastAsia="Calibri" w:cs="Times New Roman"/>
          <w:sz w:val="24"/>
          <w:szCs w:val="24"/>
        </w:rPr>
        <w:t xml:space="preserve">bin and </w:t>
      </w:r>
      <w:r w:rsidRPr="00DA21C8">
        <w:rPr>
          <w:rFonts w:eastAsia="Calibri" w:cs="Times New Roman"/>
          <w:bCs/>
          <w:sz w:val="24"/>
          <w:szCs w:val="24"/>
        </w:rPr>
        <w:t>activated partial thrombo</w:t>
      </w:r>
      <w:r w:rsidRPr="002B68EB">
        <w:rPr>
          <w:rFonts w:eastAsia="Calibri" w:cs="Times New Roman"/>
          <w:bCs/>
          <w:sz w:val="24"/>
          <w:szCs w:val="24"/>
        </w:rPr>
        <w:softHyphen/>
      </w:r>
      <w:r w:rsidRPr="00DA21C8">
        <w:rPr>
          <w:rFonts w:eastAsia="Calibri" w:cs="Times New Roman"/>
          <w:bCs/>
          <w:sz w:val="24"/>
          <w:szCs w:val="24"/>
        </w:rPr>
        <w:t>plastin time</w:t>
      </w:r>
      <w:r w:rsidRPr="00DA21C8">
        <w:rPr>
          <w:rFonts w:eastAsia="Calibri" w:cs="Times New Roman"/>
          <w:sz w:val="24"/>
          <w:szCs w:val="24"/>
        </w:rPr>
        <w:t xml:space="preserve"> (APTT) in COVID-19 infection increase the risk of IS [9]. The pathophysiol</w:t>
      </w:r>
      <w:r w:rsidRPr="002B68EB">
        <w:rPr>
          <w:rFonts w:eastAsia="Calibri" w:cs="Times New Roman"/>
          <w:sz w:val="24"/>
          <w:szCs w:val="24"/>
        </w:rPr>
        <w:softHyphen/>
      </w:r>
      <w:r w:rsidRPr="00DA21C8">
        <w:rPr>
          <w:rFonts w:eastAsia="Calibri" w:cs="Times New Roman"/>
          <w:sz w:val="24"/>
          <w:szCs w:val="24"/>
        </w:rPr>
        <w:t>ogy of IS in COVID-19 is explained by the classical Vir</w:t>
      </w:r>
      <w:r>
        <w:rPr>
          <w:rFonts w:eastAsia="Calibri" w:cs="Times New Roman"/>
          <w:sz w:val="24"/>
          <w:szCs w:val="24"/>
        </w:rPr>
        <w:softHyphen/>
      </w:r>
      <w:r w:rsidRPr="00DA21C8">
        <w:rPr>
          <w:rFonts w:eastAsia="Calibri" w:cs="Times New Roman"/>
          <w:sz w:val="24"/>
          <w:szCs w:val="24"/>
        </w:rPr>
        <w:t>chow triad [7]: 1) damage by viral interactions with enzyme type 2 receptors that convert en</w:t>
      </w:r>
      <w:r>
        <w:rPr>
          <w:rFonts w:eastAsia="Calibri" w:cs="Times New Roman"/>
          <w:sz w:val="24"/>
          <w:szCs w:val="24"/>
        </w:rPr>
        <w:softHyphen/>
      </w:r>
      <w:r w:rsidRPr="00DA21C8">
        <w:rPr>
          <w:rFonts w:eastAsia="Calibri" w:cs="Times New Roman"/>
          <w:sz w:val="24"/>
          <w:szCs w:val="24"/>
        </w:rPr>
        <w:t>dothelium to angiotensin 2) endocytosis of the virus leads to the release of anti-inflammatory cytokines - "cytokine storm", hypercoagula</w:t>
      </w:r>
      <w:r>
        <w:rPr>
          <w:rFonts w:eastAsia="Calibri" w:cs="Times New Roman"/>
          <w:sz w:val="24"/>
          <w:szCs w:val="24"/>
        </w:rPr>
        <w:softHyphen/>
      </w:r>
      <w:r w:rsidRPr="00DA21C8">
        <w:rPr>
          <w:rFonts w:eastAsia="Calibri" w:cs="Times New Roman"/>
          <w:sz w:val="24"/>
          <w:szCs w:val="24"/>
        </w:rPr>
        <w:t>tion is observed 3) hyperfibrinogenemia leads to an increase in the blood coagulation system. The presence of cerebrovascular disease is a high risk factor for poor prognosis in patients with severe COVID-19.</w:t>
      </w:r>
      <w:r w:rsidRPr="00DA21C8">
        <w:rPr>
          <w:rFonts w:eastAsia="Calibri" w:cs="Times New Roman"/>
          <w:color w:val="FF0000"/>
          <w:sz w:val="24"/>
          <w:szCs w:val="24"/>
        </w:rPr>
        <w:t xml:space="preserve"> </w:t>
      </w:r>
      <w:r w:rsidRPr="00DA21C8">
        <w:rPr>
          <w:rFonts w:eastAsia="Calibri" w:cs="Times New Roman"/>
          <w:sz w:val="24"/>
          <w:szCs w:val="24"/>
        </w:rPr>
        <w:t>Preliminary research evidence suggests that SARS-CoV-2 infection can induce IS through viremia, hypercoagula</w:t>
      </w:r>
      <w:r>
        <w:rPr>
          <w:rFonts w:eastAsia="Calibri" w:cs="Times New Roman"/>
          <w:sz w:val="24"/>
          <w:szCs w:val="24"/>
        </w:rPr>
        <w:softHyphen/>
      </w:r>
      <w:r w:rsidRPr="00DA21C8">
        <w:rPr>
          <w:rFonts w:eastAsia="Calibri" w:cs="Times New Roman"/>
          <w:sz w:val="24"/>
          <w:szCs w:val="24"/>
        </w:rPr>
        <w:t>bility, endothelial dysfunction, and cardio</w:t>
      </w:r>
      <w:r>
        <w:rPr>
          <w:rFonts w:eastAsia="Calibri" w:cs="Times New Roman"/>
          <w:sz w:val="24"/>
          <w:szCs w:val="24"/>
        </w:rPr>
        <w:softHyphen/>
      </w:r>
      <w:r w:rsidRPr="00DA21C8">
        <w:rPr>
          <w:rFonts w:eastAsia="Calibri" w:cs="Times New Roman"/>
          <w:sz w:val="24"/>
          <w:szCs w:val="24"/>
        </w:rPr>
        <w:t>genic embolism associated with local and sys</w:t>
      </w:r>
      <w:r>
        <w:rPr>
          <w:rFonts w:eastAsia="Calibri" w:cs="Times New Roman"/>
          <w:sz w:val="24"/>
          <w:szCs w:val="24"/>
        </w:rPr>
        <w:softHyphen/>
      </w:r>
      <w:r w:rsidRPr="00DA21C8">
        <w:rPr>
          <w:rFonts w:eastAsia="Calibri" w:cs="Times New Roman"/>
          <w:sz w:val="24"/>
          <w:szCs w:val="24"/>
        </w:rPr>
        <w:t>temic immune-inflammatory processes.</w:t>
      </w:r>
      <w:r w:rsidRPr="00DA21C8">
        <w:rPr>
          <w:rFonts w:eastAsia="Calibri" w:cs="Times New Roman"/>
          <w:color w:val="FF0000"/>
          <w:sz w:val="24"/>
          <w:szCs w:val="24"/>
        </w:rPr>
        <w:t xml:space="preserve"> </w:t>
      </w:r>
      <w:r w:rsidRPr="00DA21C8">
        <w:rPr>
          <w:rFonts w:eastAsia="Calibri" w:cs="Times New Roman"/>
          <w:sz w:val="24"/>
          <w:szCs w:val="24"/>
        </w:rPr>
        <w:t>In this case, anticoagulant drugs in patients with COVID-19 are an important part of the treat</w:t>
      </w:r>
      <w:r>
        <w:rPr>
          <w:rFonts w:eastAsia="Calibri" w:cs="Times New Roman"/>
          <w:sz w:val="24"/>
          <w:szCs w:val="24"/>
        </w:rPr>
        <w:softHyphen/>
      </w:r>
      <w:r w:rsidRPr="00DA21C8">
        <w:rPr>
          <w:rFonts w:eastAsia="Calibri" w:cs="Times New Roman"/>
          <w:sz w:val="24"/>
          <w:szCs w:val="24"/>
        </w:rPr>
        <w:t>ment process.</w:t>
      </w:r>
    </w:p>
    <w:p w14:paraId="6E6BF235" w14:textId="77777777" w:rsidR="00DD566D" w:rsidRPr="00DA21C8" w:rsidRDefault="00DD566D" w:rsidP="00DD566D">
      <w:pPr>
        <w:ind w:firstLine="567"/>
        <w:jc w:val="both"/>
        <w:rPr>
          <w:rFonts w:eastAsia="Calibri" w:cs="Times New Roman"/>
          <w:color w:val="FF0000"/>
          <w:sz w:val="24"/>
          <w:szCs w:val="24"/>
        </w:rPr>
      </w:pPr>
      <w:r w:rsidRPr="00DA21C8">
        <w:rPr>
          <w:rFonts w:eastAsia="Calibri" w:cs="Times New Roman"/>
          <w:b/>
          <w:bCs/>
          <w:sz w:val="24"/>
          <w:szCs w:val="24"/>
        </w:rPr>
        <w:t>The purpose of the study</w:t>
      </w:r>
      <w:r w:rsidRPr="00DA21C8">
        <w:rPr>
          <w:rFonts w:eastAsia="Calibri" w:cs="Times New Roman"/>
          <w:b/>
          <w:sz w:val="24"/>
          <w:szCs w:val="24"/>
        </w:rPr>
        <w:t>:</w:t>
      </w:r>
      <w:r w:rsidRPr="00DA21C8">
        <w:rPr>
          <w:rFonts w:eastAsia="Calibri" w:cs="Times New Roman"/>
          <w:b/>
          <w:i/>
          <w:color w:val="FF0000"/>
          <w:sz w:val="24"/>
          <w:szCs w:val="24"/>
        </w:rPr>
        <w:t xml:space="preserve"> </w:t>
      </w:r>
      <w:r w:rsidRPr="00DA21C8">
        <w:rPr>
          <w:rFonts w:eastAsia="Calibri" w:cs="Times New Roman"/>
          <w:sz w:val="24"/>
          <w:szCs w:val="24"/>
        </w:rPr>
        <w:t>To study the effect of various anticoagulant agents used in Covid-19 associated ischemic stroke on hem</w:t>
      </w:r>
      <w:r w:rsidRPr="002B68EB">
        <w:rPr>
          <w:rFonts w:eastAsia="Calibri" w:cs="Times New Roman"/>
          <w:sz w:val="24"/>
          <w:szCs w:val="24"/>
        </w:rPr>
        <w:softHyphen/>
      </w:r>
      <w:r w:rsidRPr="00DA21C8">
        <w:rPr>
          <w:rFonts w:eastAsia="Calibri" w:cs="Times New Roman"/>
          <w:sz w:val="24"/>
          <w:szCs w:val="24"/>
        </w:rPr>
        <w:t xml:space="preserve">orheological parameters, as well as to analyze the results of treatment in the early stages of the disease. </w:t>
      </w:r>
    </w:p>
    <w:p w14:paraId="3E37CA26" w14:textId="77777777" w:rsidR="00DD566D" w:rsidRPr="00DA21C8" w:rsidRDefault="00DD566D" w:rsidP="00DD566D">
      <w:pPr>
        <w:ind w:firstLine="567"/>
        <w:jc w:val="both"/>
        <w:rPr>
          <w:rFonts w:eastAsia="Calibri" w:cs="Times New Roman"/>
          <w:sz w:val="24"/>
          <w:szCs w:val="24"/>
        </w:rPr>
      </w:pPr>
      <w:r w:rsidRPr="00DA21C8">
        <w:rPr>
          <w:rFonts w:eastAsia="Calibri" w:cs="Times New Roman"/>
          <w:b/>
          <w:bCs/>
          <w:sz w:val="24"/>
          <w:szCs w:val="24"/>
        </w:rPr>
        <w:t>Research material and methods of study</w:t>
      </w:r>
      <w:r w:rsidRPr="00DA21C8">
        <w:rPr>
          <w:rFonts w:eastAsia="Calibri" w:cs="Times New Roman"/>
          <w:b/>
          <w:sz w:val="24"/>
          <w:szCs w:val="24"/>
        </w:rPr>
        <w:t>:</w:t>
      </w:r>
      <w:r w:rsidRPr="00DA21C8">
        <w:rPr>
          <w:rFonts w:eastAsia="Calibri" w:cs="Times New Roman"/>
          <w:sz w:val="24"/>
          <w:szCs w:val="24"/>
        </w:rPr>
        <w:t xml:space="preserve"> The criteria for inclusion of 62 patients selected for the study were: рositive result of </w:t>
      </w:r>
      <w:r w:rsidRPr="00DA21C8">
        <w:rPr>
          <w:rFonts w:eastAsia="Calibri" w:cs="Times New Roman"/>
          <w:color w:val="333333"/>
          <w:sz w:val="24"/>
          <w:szCs w:val="24"/>
          <w:shd w:val="clear" w:color="auto" w:fill="FFFFFF"/>
        </w:rPr>
        <w:lastRenderedPageBreak/>
        <w:t>polymerase chain reaction</w:t>
      </w:r>
      <w:r w:rsidRPr="00DA21C8">
        <w:rPr>
          <w:rFonts w:eastAsia="Calibri" w:cs="Times New Roman"/>
          <w:sz w:val="24"/>
          <w:szCs w:val="24"/>
        </w:rPr>
        <w:t xml:space="preserve"> confirming COVID-19 infection, the presence of signs of interstitial pneumonia on computerized tomog</w:t>
      </w:r>
      <w:r>
        <w:rPr>
          <w:rFonts w:eastAsia="Calibri" w:cs="Times New Roman"/>
          <w:sz w:val="24"/>
          <w:szCs w:val="24"/>
        </w:rPr>
        <w:softHyphen/>
      </w:r>
      <w:r w:rsidRPr="00DA21C8">
        <w:rPr>
          <w:rFonts w:eastAsia="Calibri" w:cs="Times New Roman"/>
          <w:sz w:val="24"/>
          <w:szCs w:val="24"/>
        </w:rPr>
        <w:t>raphy examination of lung tissue, confirmation of infarct-specific symptoms in brain tissue by computerized tomography examination, and the presence of clinical signs specific to COVID-19 infection was consid</w:t>
      </w:r>
      <w:r w:rsidRPr="002B68EB">
        <w:rPr>
          <w:rFonts w:eastAsia="Calibri" w:cs="Times New Roman"/>
          <w:sz w:val="24"/>
          <w:szCs w:val="24"/>
        </w:rPr>
        <w:softHyphen/>
      </w:r>
      <w:r w:rsidRPr="00DA21C8">
        <w:rPr>
          <w:rFonts w:eastAsia="Calibri" w:cs="Times New Roman"/>
          <w:sz w:val="24"/>
          <w:szCs w:val="24"/>
        </w:rPr>
        <w:t>ered.These patients (n = 62) were conditionally divided into three groups. In the group A,  n = 33 (53.12%) patients who received heparin as an anticoagulant therapy at 24000-36000 ED per day for 2 weeks, n = 17 (27.4%) patients in the group B received enoxiparin 1 mg / kg / day for 2 weeks, and group C consisted of n = 12 (19.4%) patients received rivaroxaban 15-20 mg per day</w:t>
      </w:r>
      <w:r w:rsidRPr="00DA21C8">
        <w:rPr>
          <w:rFonts w:eastAsia="Calibri" w:cs="Times New Roman"/>
          <w:color w:val="FF0000"/>
          <w:sz w:val="24"/>
          <w:szCs w:val="24"/>
        </w:rPr>
        <w:t xml:space="preserve">.  </w:t>
      </w:r>
      <w:r w:rsidRPr="00DA21C8">
        <w:rPr>
          <w:rFonts w:eastAsia="Calibri" w:cs="Times New Roman"/>
          <w:sz w:val="24"/>
          <w:szCs w:val="24"/>
        </w:rPr>
        <w:t xml:space="preserve">Hemorheological parameters (D-demir, INR, fibrinogen, prothrombin time, </w:t>
      </w:r>
      <w:r w:rsidRPr="002B68EB">
        <w:rPr>
          <w:rFonts w:eastAsia="Calibri" w:cs="Times New Roman"/>
          <w:sz w:val="24"/>
          <w:szCs w:val="24"/>
        </w:rPr>
        <w:t>APTT)</w:t>
      </w:r>
      <w:r w:rsidRPr="00DA21C8">
        <w:rPr>
          <w:rFonts w:eastAsia="Calibri" w:cs="Times New Roman"/>
          <w:sz w:val="24"/>
          <w:szCs w:val="24"/>
        </w:rPr>
        <w:t xml:space="preserve"> </w:t>
      </w:r>
      <w:r w:rsidRPr="00DA21C8">
        <w:rPr>
          <w:rFonts w:eastAsia="Calibri" w:cs="Times New Roman"/>
          <w:bCs/>
          <w:sz w:val="24"/>
          <w:szCs w:val="24"/>
        </w:rPr>
        <w:t xml:space="preserve">were examined </w:t>
      </w:r>
      <w:r w:rsidRPr="00DA21C8">
        <w:rPr>
          <w:rFonts w:eastAsia="Calibri" w:cs="Times New Roman"/>
          <w:sz w:val="24"/>
          <w:szCs w:val="24"/>
        </w:rPr>
        <w:t>in all patients selected for the study on the day and 2 weeks after ap</w:t>
      </w:r>
      <w:r>
        <w:rPr>
          <w:rFonts w:eastAsia="Calibri" w:cs="Times New Roman"/>
          <w:sz w:val="24"/>
          <w:szCs w:val="24"/>
        </w:rPr>
        <w:softHyphen/>
      </w:r>
      <w:r w:rsidRPr="00DA21C8">
        <w:rPr>
          <w:rFonts w:eastAsia="Calibri" w:cs="Times New Roman"/>
          <w:sz w:val="24"/>
          <w:szCs w:val="24"/>
        </w:rPr>
        <w:t>plication and monitored for 1 month.</w:t>
      </w:r>
    </w:p>
    <w:p w14:paraId="7D52E70C" w14:textId="77777777" w:rsidR="00DD566D" w:rsidRPr="00DA21C8" w:rsidRDefault="00DD566D" w:rsidP="00DD566D">
      <w:pPr>
        <w:ind w:firstLine="567"/>
        <w:jc w:val="both"/>
        <w:rPr>
          <w:rFonts w:eastAsia="Calibri" w:cs="Times New Roman"/>
          <w:sz w:val="24"/>
          <w:szCs w:val="24"/>
        </w:rPr>
      </w:pPr>
      <w:r w:rsidRPr="00DA21C8">
        <w:rPr>
          <w:rFonts w:eastAsia="Calibri" w:cs="Times New Roman"/>
          <w:b/>
          <w:sz w:val="24"/>
          <w:szCs w:val="24"/>
        </w:rPr>
        <w:t>The results of the study</w:t>
      </w:r>
      <w:r w:rsidRPr="00DA21C8">
        <w:rPr>
          <w:rFonts w:eastAsia="Calibri" w:cs="Times New Roman"/>
          <w:sz w:val="24"/>
          <w:szCs w:val="24"/>
        </w:rPr>
        <w:t>: When analyz</w:t>
      </w:r>
      <w:r>
        <w:rPr>
          <w:rFonts w:eastAsia="Calibri" w:cs="Times New Roman"/>
          <w:sz w:val="24"/>
          <w:szCs w:val="24"/>
        </w:rPr>
        <w:softHyphen/>
      </w:r>
      <w:r w:rsidRPr="00DA21C8">
        <w:rPr>
          <w:rFonts w:eastAsia="Calibri" w:cs="Times New Roman"/>
          <w:sz w:val="24"/>
          <w:szCs w:val="24"/>
        </w:rPr>
        <w:t xml:space="preserve">ing the age and sex of all 62 patients in the study, the average age was 64.2±2.1, of which </w:t>
      </w:r>
      <w:r w:rsidRPr="00DA21C8">
        <w:rPr>
          <w:rFonts w:eastAsia="Calibri" w:cs="Times New Roman"/>
          <w:sz w:val="24"/>
          <w:szCs w:val="24"/>
        </w:rPr>
        <w:t>the proportion of men and women were  59.7% (n=37); 40.3% (n=25) respectively. As a result of anticoagulant therapy, D-dimer parameters regression was found, in group A patients from 581.4±1.6 ng / ml to 334.8±2.1 ng/ml, and in group B patients from 628.6±1.4 ng / ml to 336.7±2.3 ng / ml, and in group C patients from 541.1±1.9 ng/ml to 496.6±1.4 ng/ml (p&lt;0.001). Fibrin degradation product parame</w:t>
      </w:r>
      <w:r>
        <w:rPr>
          <w:rFonts w:eastAsia="Calibri" w:cs="Times New Roman"/>
          <w:sz w:val="24"/>
          <w:szCs w:val="24"/>
        </w:rPr>
        <w:softHyphen/>
      </w:r>
      <w:r w:rsidRPr="00DA21C8">
        <w:rPr>
          <w:rFonts w:eastAsia="Calibri" w:cs="Times New Roman"/>
          <w:sz w:val="24"/>
          <w:szCs w:val="24"/>
        </w:rPr>
        <w:t>ters regressed from 7.71±1.1 μg/ml to 3.6±1.3 μg / ml in group A patients and from 7.42±0.9 μg/ml to 3.8±1.19 μg/ml in group B patients, from 7.52±1.2 μg/ml to 3.71±1.3 μg/ml in group C patients (p&lt;0.005). Prothrombin time parameters in group A patients reduced from 15.2±1.1 sec to 9.4±0.8 sec, in group B patients from 14.9±1.1 sec to 9.6±0.8 sec, and in group C patients from 15.6±1.1 sec to 9.2±0.8 sec (p&lt;0.001).</w:t>
      </w:r>
      <w:r w:rsidRPr="00DA21C8">
        <w:rPr>
          <w:rFonts w:eastAsia="Calibri" w:cs="Times New Roman"/>
          <w:color w:val="FF0000"/>
          <w:sz w:val="24"/>
          <w:szCs w:val="24"/>
        </w:rPr>
        <w:t xml:space="preserve"> </w:t>
      </w:r>
      <w:r w:rsidRPr="00DA21C8">
        <w:rPr>
          <w:rFonts w:eastAsia="Calibri" w:cs="Times New Roman"/>
          <w:sz w:val="24"/>
          <w:szCs w:val="24"/>
        </w:rPr>
        <w:t>APTT parameters decreased from 31.51±1.29 sec to 24.16±0.8 sec in group A pa</w:t>
      </w:r>
      <w:r>
        <w:rPr>
          <w:rFonts w:eastAsia="Calibri" w:cs="Times New Roman"/>
          <w:sz w:val="24"/>
          <w:szCs w:val="24"/>
        </w:rPr>
        <w:softHyphen/>
      </w:r>
      <w:r w:rsidRPr="00DA21C8">
        <w:rPr>
          <w:rFonts w:eastAsia="Calibri" w:cs="Times New Roman"/>
          <w:sz w:val="24"/>
          <w:szCs w:val="24"/>
        </w:rPr>
        <w:t>tients, from 28.2±1.71 sec to 26.9±1.65 sec in group B patients, and from 29.76±1.13 sec to 25.21±1.26 sec in group C patients. (p&lt;0.001).  (Table 1).</w:t>
      </w:r>
    </w:p>
    <w:p w14:paraId="7076AFFE" w14:textId="77777777" w:rsidR="00DD566D" w:rsidRDefault="00DD566D" w:rsidP="00DD566D">
      <w:pPr>
        <w:ind w:firstLine="567"/>
        <w:jc w:val="both"/>
        <w:rPr>
          <w:rFonts w:eastAsia="Calibri" w:cs="Times New Roman"/>
          <w:color w:val="FF0000"/>
          <w:sz w:val="24"/>
          <w:szCs w:val="24"/>
          <w:lang w:val="uz-Cyrl-UZ"/>
        </w:rPr>
        <w:sectPr w:rsidR="00DD566D" w:rsidSect="002B68EB">
          <w:type w:val="continuous"/>
          <w:pgSz w:w="11907" w:h="16840" w:code="9"/>
          <w:pgMar w:top="1418" w:right="1134" w:bottom="1134" w:left="1134" w:header="907" w:footer="794" w:gutter="0"/>
          <w:cols w:num="2" w:space="708"/>
          <w:docGrid w:linePitch="381"/>
        </w:sectPr>
      </w:pPr>
    </w:p>
    <w:p w14:paraId="144A8E33" w14:textId="77777777" w:rsidR="00DD566D" w:rsidRPr="00DA21C8" w:rsidRDefault="00DD566D" w:rsidP="00DD566D">
      <w:pPr>
        <w:ind w:firstLine="567"/>
        <w:jc w:val="both"/>
        <w:rPr>
          <w:rFonts w:eastAsia="Calibri" w:cs="Times New Roman"/>
          <w:color w:val="FF0000"/>
          <w:sz w:val="24"/>
          <w:szCs w:val="24"/>
          <w:lang w:val="uz-Cyrl-UZ"/>
        </w:rPr>
      </w:pPr>
    </w:p>
    <w:tbl>
      <w:tblPr>
        <w:tblStyle w:val="21"/>
        <w:tblW w:w="9986" w:type="dxa"/>
        <w:jc w:val="center"/>
        <w:shd w:val="clear" w:color="auto" w:fill="E7E6E6"/>
        <w:tblLook w:val="04A0" w:firstRow="1" w:lastRow="0" w:firstColumn="1" w:lastColumn="0" w:noHBand="0" w:noVBand="1"/>
      </w:tblPr>
      <w:tblGrid>
        <w:gridCol w:w="445"/>
        <w:gridCol w:w="1883"/>
        <w:gridCol w:w="1351"/>
        <w:gridCol w:w="1222"/>
        <w:gridCol w:w="1221"/>
        <w:gridCol w:w="1222"/>
        <w:gridCol w:w="1308"/>
        <w:gridCol w:w="1334"/>
      </w:tblGrid>
      <w:tr w:rsidR="00DD566D" w:rsidRPr="00DA21C8" w14:paraId="630B6095" w14:textId="77777777" w:rsidTr="00C90B56">
        <w:trPr>
          <w:trHeight w:val="513"/>
          <w:jc w:val="center"/>
        </w:trPr>
        <w:tc>
          <w:tcPr>
            <w:tcW w:w="9986" w:type="dxa"/>
            <w:gridSpan w:val="8"/>
            <w:shd w:val="clear" w:color="auto" w:fill="FBE4D5"/>
            <w:noWrap/>
            <w:vAlign w:val="center"/>
            <w:hideMark/>
          </w:tcPr>
          <w:p w14:paraId="0B3DF5CD"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eastAsia="ru-RU"/>
              </w:rPr>
              <w:t>Intergroup changes of</w:t>
            </w:r>
            <w:r w:rsidRPr="00DA21C8">
              <w:rPr>
                <w:rFonts w:ascii="Times New Roman" w:eastAsia="Times New Roman" w:hAnsi="Times New Roman" w:cs="Times New Roman"/>
                <w:b/>
                <w:sz w:val="24"/>
                <w:szCs w:val="24"/>
                <w:lang w:eastAsia="ru-RU"/>
              </w:rPr>
              <w:t xml:space="preserve"> </w:t>
            </w:r>
            <w:r w:rsidRPr="00DA21C8">
              <w:rPr>
                <w:rFonts w:ascii="Times New Roman" w:eastAsia="Calibri" w:hAnsi="Times New Roman" w:cs="Times New Roman"/>
                <w:sz w:val="24"/>
                <w:szCs w:val="24"/>
              </w:rPr>
              <w:t>hemorheological</w:t>
            </w:r>
            <w:r w:rsidRPr="00DA21C8">
              <w:rPr>
                <w:rFonts w:ascii="Times New Roman" w:eastAsia="Calibri" w:hAnsi="Times New Roman" w:cs="Times New Roman"/>
                <w:sz w:val="24"/>
                <w:szCs w:val="24"/>
                <w:lang w:val="uz-Cyrl-UZ"/>
              </w:rPr>
              <w:t xml:space="preserve"> parameters</w:t>
            </w:r>
          </w:p>
        </w:tc>
      </w:tr>
      <w:tr w:rsidR="00DD566D" w:rsidRPr="00DA21C8" w14:paraId="789BAC61" w14:textId="77777777" w:rsidTr="00C90B56">
        <w:trPr>
          <w:trHeight w:val="268"/>
          <w:jc w:val="center"/>
        </w:trPr>
        <w:tc>
          <w:tcPr>
            <w:tcW w:w="445" w:type="dxa"/>
            <w:vMerge w:val="restart"/>
            <w:shd w:val="clear" w:color="auto" w:fill="FBE4D5"/>
            <w:noWrap/>
            <w:vAlign w:val="center"/>
            <w:hideMark/>
          </w:tcPr>
          <w:p w14:paraId="46852D4A"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w:t>
            </w:r>
          </w:p>
        </w:tc>
        <w:tc>
          <w:tcPr>
            <w:tcW w:w="1883" w:type="dxa"/>
            <w:vMerge w:val="restart"/>
            <w:shd w:val="clear" w:color="auto" w:fill="FBE4D5"/>
            <w:noWrap/>
            <w:vAlign w:val="center"/>
            <w:hideMark/>
          </w:tcPr>
          <w:p w14:paraId="7E273EB4"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Calibri" w:hAnsi="Times New Roman" w:cs="Times New Roman"/>
                <w:sz w:val="24"/>
                <w:szCs w:val="24"/>
              </w:rPr>
              <w:t>Hemorheological</w:t>
            </w:r>
            <w:r w:rsidRPr="00DA21C8">
              <w:rPr>
                <w:rFonts w:ascii="Times New Roman" w:eastAsia="Calibri" w:hAnsi="Times New Roman" w:cs="Times New Roman"/>
                <w:sz w:val="24"/>
                <w:szCs w:val="24"/>
                <w:lang w:val="uz-Cyrl-UZ"/>
              </w:rPr>
              <w:t xml:space="preserve"> indicators</w:t>
            </w:r>
          </w:p>
        </w:tc>
        <w:tc>
          <w:tcPr>
            <w:tcW w:w="2573" w:type="dxa"/>
            <w:gridSpan w:val="2"/>
            <w:shd w:val="clear" w:color="auto" w:fill="FBE4D5"/>
            <w:noWrap/>
            <w:vAlign w:val="center"/>
            <w:hideMark/>
          </w:tcPr>
          <w:p w14:paraId="429D82E4"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eastAsia="ru-RU"/>
              </w:rPr>
              <w:t>Group A</w:t>
            </w:r>
            <w:r w:rsidRPr="00DA21C8">
              <w:rPr>
                <w:rFonts w:ascii="Times New Roman" w:eastAsia="Times New Roman" w:hAnsi="Times New Roman" w:cs="Times New Roman"/>
                <w:sz w:val="24"/>
                <w:szCs w:val="24"/>
                <w:lang w:val="uz-Cyrl-UZ" w:eastAsia="ru-RU"/>
              </w:rPr>
              <w:t>:</w:t>
            </w:r>
            <w:r>
              <w:rPr>
                <w:rFonts w:ascii="Times New Roman" w:eastAsia="Times New Roman" w:hAnsi="Times New Roman" w:cs="Times New Roman"/>
                <w:sz w:val="24"/>
                <w:szCs w:val="24"/>
                <w:lang w:val="uz-Cyrl-UZ" w:eastAsia="ru-RU"/>
              </w:rPr>
              <w:t xml:space="preserve"> </w:t>
            </w:r>
            <w:r w:rsidRPr="00DA21C8">
              <w:rPr>
                <w:rFonts w:ascii="Times New Roman" w:eastAsia="Times New Roman" w:hAnsi="Times New Roman" w:cs="Times New Roman"/>
                <w:sz w:val="24"/>
                <w:szCs w:val="24"/>
                <w:lang w:val="uz-Cyrl-UZ" w:eastAsia="ru-RU"/>
              </w:rPr>
              <w:t>Heparin</w:t>
            </w:r>
          </w:p>
        </w:tc>
        <w:tc>
          <w:tcPr>
            <w:tcW w:w="2443" w:type="dxa"/>
            <w:gridSpan w:val="2"/>
            <w:shd w:val="clear" w:color="auto" w:fill="FBE4D5"/>
            <w:noWrap/>
            <w:vAlign w:val="center"/>
            <w:hideMark/>
          </w:tcPr>
          <w:p w14:paraId="2FB33647"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eastAsia="ru-RU"/>
              </w:rPr>
              <w:t>Group B</w:t>
            </w:r>
            <w:r w:rsidRPr="00DA21C8">
              <w:rPr>
                <w:rFonts w:ascii="Times New Roman" w:eastAsia="Times New Roman" w:hAnsi="Times New Roman" w:cs="Times New Roman"/>
                <w:sz w:val="24"/>
                <w:szCs w:val="24"/>
                <w:lang w:val="uz-Cyrl-UZ" w:eastAsia="ru-RU"/>
              </w:rPr>
              <w:t>:</w:t>
            </w:r>
            <w:r>
              <w:rPr>
                <w:rFonts w:ascii="Times New Roman" w:eastAsia="Times New Roman" w:hAnsi="Times New Roman" w:cs="Times New Roman"/>
                <w:sz w:val="24"/>
                <w:szCs w:val="24"/>
                <w:lang w:val="uz-Cyrl-UZ" w:eastAsia="ru-RU"/>
              </w:rPr>
              <w:t xml:space="preserve"> </w:t>
            </w:r>
            <w:r w:rsidRPr="00DA21C8">
              <w:rPr>
                <w:rFonts w:ascii="Times New Roman" w:eastAsia="Times New Roman" w:hAnsi="Times New Roman" w:cs="Times New Roman"/>
                <w:sz w:val="24"/>
                <w:szCs w:val="24"/>
                <w:lang w:val="uz-Cyrl-UZ" w:eastAsia="ru-RU"/>
              </w:rPr>
              <w:t>Enoxiparin</w:t>
            </w:r>
          </w:p>
        </w:tc>
        <w:tc>
          <w:tcPr>
            <w:tcW w:w="2642" w:type="dxa"/>
            <w:gridSpan w:val="2"/>
            <w:shd w:val="clear" w:color="auto" w:fill="FBE4D5"/>
            <w:noWrap/>
            <w:vAlign w:val="center"/>
            <w:hideMark/>
          </w:tcPr>
          <w:p w14:paraId="09360648"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eastAsia="ru-RU"/>
              </w:rPr>
              <w:t>Group C</w:t>
            </w:r>
            <w:r w:rsidRPr="00DA21C8">
              <w:rPr>
                <w:rFonts w:ascii="Times New Roman" w:eastAsia="Times New Roman" w:hAnsi="Times New Roman" w:cs="Times New Roman"/>
                <w:sz w:val="24"/>
                <w:szCs w:val="24"/>
                <w:lang w:val="uz-Cyrl-UZ" w:eastAsia="ru-RU"/>
              </w:rPr>
              <w:t>:</w:t>
            </w:r>
            <w:r w:rsidRPr="00DA21C8">
              <w:rPr>
                <w:rFonts w:ascii="Times New Roman" w:eastAsia="Calibri" w:hAnsi="Times New Roman" w:cs="Times New Roman"/>
                <w:sz w:val="24"/>
                <w:szCs w:val="24"/>
                <w:lang w:val="uz-Cyrl-UZ"/>
              </w:rPr>
              <w:t xml:space="preserve"> Rivaroxaban</w:t>
            </w:r>
          </w:p>
        </w:tc>
      </w:tr>
      <w:tr w:rsidR="00DD566D" w:rsidRPr="00DA21C8" w14:paraId="0D5DD044" w14:textId="77777777" w:rsidTr="00C90B56">
        <w:trPr>
          <w:trHeight w:val="552"/>
          <w:jc w:val="center"/>
        </w:trPr>
        <w:tc>
          <w:tcPr>
            <w:tcW w:w="445" w:type="dxa"/>
            <w:vMerge/>
            <w:shd w:val="clear" w:color="auto" w:fill="FBE4D5"/>
            <w:vAlign w:val="center"/>
            <w:hideMark/>
          </w:tcPr>
          <w:p w14:paraId="0730F63C" w14:textId="77777777" w:rsidR="00DD566D" w:rsidRPr="00DA21C8" w:rsidRDefault="00DD566D" w:rsidP="00C90B56">
            <w:pPr>
              <w:jc w:val="center"/>
              <w:rPr>
                <w:rFonts w:ascii="Times New Roman" w:eastAsia="Times New Roman" w:hAnsi="Times New Roman" w:cs="Times New Roman"/>
                <w:sz w:val="24"/>
                <w:szCs w:val="24"/>
                <w:lang w:eastAsia="ru-RU"/>
              </w:rPr>
            </w:pPr>
          </w:p>
        </w:tc>
        <w:tc>
          <w:tcPr>
            <w:tcW w:w="1883" w:type="dxa"/>
            <w:vMerge/>
            <w:shd w:val="clear" w:color="auto" w:fill="FBE4D5"/>
            <w:vAlign w:val="center"/>
            <w:hideMark/>
          </w:tcPr>
          <w:p w14:paraId="7C630BF9" w14:textId="77777777" w:rsidR="00DD566D" w:rsidRPr="00DA21C8" w:rsidRDefault="00DD566D" w:rsidP="00C90B56">
            <w:pPr>
              <w:jc w:val="center"/>
              <w:rPr>
                <w:rFonts w:ascii="Times New Roman" w:eastAsia="Times New Roman" w:hAnsi="Times New Roman" w:cs="Times New Roman"/>
                <w:sz w:val="24"/>
                <w:szCs w:val="24"/>
                <w:lang w:eastAsia="ru-RU"/>
              </w:rPr>
            </w:pPr>
          </w:p>
        </w:tc>
        <w:tc>
          <w:tcPr>
            <w:tcW w:w="1351" w:type="dxa"/>
            <w:shd w:val="clear" w:color="auto" w:fill="FBE4D5"/>
            <w:noWrap/>
            <w:vAlign w:val="center"/>
            <w:hideMark/>
          </w:tcPr>
          <w:p w14:paraId="7ECF47CA"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Initially</w:t>
            </w:r>
          </w:p>
        </w:tc>
        <w:tc>
          <w:tcPr>
            <w:tcW w:w="1222" w:type="dxa"/>
            <w:shd w:val="clear" w:color="auto" w:fill="FBE4D5"/>
            <w:noWrap/>
            <w:vAlign w:val="center"/>
            <w:hideMark/>
          </w:tcPr>
          <w:p w14:paraId="710205CB"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After</w:t>
            </w:r>
          </w:p>
          <w:p w14:paraId="75A52ED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 weeks</w:t>
            </w:r>
          </w:p>
        </w:tc>
        <w:tc>
          <w:tcPr>
            <w:tcW w:w="1221" w:type="dxa"/>
            <w:shd w:val="clear" w:color="auto" w:fill="FBE4D5"/>
            <w:noWrap/>
            <w:vAlign w:val="center"/>
            <w:hideMark/>
          </w:tcPr>
          <w:p w14:paraId="5D03A056"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Initially</w:t>
            </w:r>
          </w:p>
        </w:tc>
        <w:tc>
          <w:tcPr>
            <w:tcW w:w="1222" w:type="dxa"/>
            <w:shd w:val="clear" w:color="auto" w:fill="FBE4D5"/>
            <w:noWrap/>
            <w:vAlign w:val="center"/>
            <w:hideMark/>
          </w:tcPr>
          <w:p w14:paraId="6F2AEB2A"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After</w:t>
            </w:r>
          </w:p>
          <w:p w14:paraId="5C8CA7F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 weeks</w:t>
            </w:r>
          </w:p>
        </w:tc>
        <w:tc>
          <w:tcPr>
            <w:tcW w:w="1308" w:type="dxa"/>
            <w:shd w:val="clear" w:color="auto" w:fill="FBE4D5"/>
            <w:noWrap/>
            <w:vAlign w:val="center"/>
            <w:hideMark/>
          </w:tcPr>
          <w:p w14:paraId="1B1566F6"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Initially</w:t>
            </w:r>
          </w:p>
        </w:tc>
        <w:tc>
          <w:tcPr>
            <w:tcW w:w="1334" w:type="dxa"/>
            <w:shd w:val="clear" w:color="auto" w:fill="FBE4D5"/>
            <w:noWrap/>
            <w:vAlign w:val="center"/>
            <w:hideMark/>
          </w:tcPr>
          <w:p w14:paraId="1F1B9AE0" w14:textId="77777777" w:rsidR="00DD566D" w:rsidRPr="00DA21C8" w:rsidRDefault="00DD566D" w:rsidP="00C90B56">
            <w:pPr>
              <w:jc w:val="center"/>
              <w:rPr>
                <w:rFonts w:ascii="Times New Roman" w:eastAsia="Times New Roman" w:hAnsi="Times New Roman" w:cs="Times New Roman"/>
                <w:sz w:val="24"/>
                <w:szCs w:val="24"/>
                <w:shd w:val="clear" w:color="auto" w:fill="FBE4D5"/>
                <w:lang w:eastAsia="ru-RU"/>
              </w:rPr>
            </w:pPr>
            <w:r w:rsidRPr="00DA21C8">
              <w:rPr>
                <w:rFonts w:ascii="Times New Roman" w:eastAsia="Times New Roman" w:hAnsi="Times New Roman" w:cs="Times New Roman"/>
                <w:sz w:val="24"/>
                <w:szCs w:val="24"/>
                <w:shd w:val="clear" w:color="auto" w:fill="FBE4D5"/>
                <w:lang w:eastAsia="ru-RU"/>
              </w:rPr>
              <w:t>After</w:t>
            </w:r>
          </w:p>
          <w:p w14:paraId="01113D00"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shd w:val="clear" w:color="auto" w:fill="FBE4D5"/>
                <w:lang w:eastAsia="ru-RU"/>
              </w:rPr>
              <w:t xml:space="preserve">2 </w:t>
            </w:r>
            <w:r w:rsidRPr="00DA21C8">
              <w:rPr>
                <w:rFonts w:ascii="Times New Roman" w:eastAsia="Times New Roman" w:hAnsi="Times New Roman" w:cs="Times New Roman"/>
                <w:sz w:val="24"/>
                <w:szCs w:val="24"/>
                <w:lang w:eastAsia="ru-RU"/>
              </w:rPr>
              <w:t>weeks</w:t>
            </w:r>
          </w:p>
        </w:tc>
      </w:tr>
      <w:tr w:rsidR="00DD566D" w:rsidRPr="00DA21C8" w14:paraId="5C967D1E" w14:textId="77777777" w:rsidTr="00C90B56">
        <w:trPr>
          <w:trHeight w:val="560"/>
          <w:jc w:val="center"/>
        </w:trPr>
        <w:tc>
          <w:tcPr>
            <w:tcW w:w="445" w:type="dxa"/>
            <w:shd w:val="clear" w:color="auto" w:fill="F2F2F2"/>
            <w:noWrap/>
            <w:vAlign w:val="center"/>
            <w:hideMark/>
          </w:tcPr>
          <w:p w14:paraId="630B7B12" w14:textId="77777777" w:rsidR="00DD566D" w:rsidRPr="00DA21C8" w:rsidRDefault="00DD566D" w:rsidP="00C90B56">
            <w:pPr>
              <w:jc w:val="center"/>
              <w:rPr>
                <w:rFonts w:ascii="Times New Roman" w:eastAsia="Times New Roman" w:hAnsi="Times New Roman" w:cs="Times New Roman"/>
                <w:sz w:val="24"/>
                <w:szCs w:val="24"/>
                <w:lang w:eastAsia="ru-RU"/>
              </w:rPr>
            </w:pPr>
          </w:p>
          <w:p w14:paraId="4A7D59F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1</w:t>
            </w:r>
          </w:p>
        </w:tc>
        <w:tc>
          <w:tcPr>
            <w:tcW w:w="1883" w:type="dxa"/>
            <w:shd w:val="clear" w:color="auto" w:fill="F2F2F2"/>
            <w:noWrap/>
            <w:vAlign w:val="center"/>
            <w:hideMark/>
          </w:tcPr>
          <w:p w14:paraId="45F2050B" w14:textId="77777777" w:rsidR="00DD566D" w:rsidRPr="00DA21C8" w:rsidRDefault="00DD566D" w:rsidP="00C90B56">
            <w:pP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D-dimer</w:t>
            </w:r>
          </w:p>
        </w:tc>
        <w:tc>
          <w:tcPr>
            <w:tcW w:w="1351" w:type="dxa"/>
            <w:shd w:val="clear" w:color="auto" w:fill="F2F2F2"/>
            <w:noWrap/>
            <w:vAlign w:val="center"/>
            <w:hideMark/>
          </w:tcPr>
          <w:p w14:paraId="70B8516F"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581.4 ± 1.6 ng / ml</w:t>
            </w:r>
          </w:p>
        </w:tc>
        <w:tc>
          <w:tcPr>
            <w:tcW w:w="1222" w:type="dxa"/>
            <w:shd w:val="clear" w:color="auto" w:fill="F2F2F2"/>
            <w:noWrap/>
            <w:vAlign w:val="center"/>
            <w:hideMark/>
          </w:tcPr>
          <w:p w14:paraId="6A18F261"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334.8 ± 2.1</w:t>
            </w:r>
            <w:r>
              <w:rPr>
                <w:rFonts w:ascii="Times New Roman" w:eastAsia="Times New Roman" w:hAnsi="Times New Roman" w:cs="Times New Roman"/>
                <w:sz w:val="24"/>
                <w:szCs w:val="24"/>
                <w:lang w:val="ru-RU" w:eastAsia="ru-RU"/>
              </w:rPr>
              <w:t xml:space="preserve"> </w:t>
            </w:r>
            <w:r w:rsidRPr="00DA21C8">
              <w:rPr>
                <w:rFonts w:ascii="Times New Roman" w:eastAsia="Times New Roman" w:hAnsi="Times New Roman" w:cs="Times New Roman"/>
                <w:sz w:val="24"/>
                <w:szCs w:val="24"/>
                <w:lang w:eastAsia="ru-RU"/>
              </w:rPr>
              <w:t>ng / ml</w:t>
            </w:r>
          </w:p>
        </w:tc>
        <w:tc>
          <w:tcPr>
            <w:tcW w:w="1221" w:type="dxa"/>
            <w:shd w:val="clear" w:color="auto" w:fill="F2F2F2"/>
            <w:noWrap/>
            <w:vAlign w:val="center"/>
            <w:hideMark/>
          </w:tcPr>
          <w:p w14:paraId="5A17522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628.6 ± 1.4 ng / ml</w:t>
            </w:r>
          </w:p>
        </w:tc>
        <w:tc>
          <w:tcPr>
            <w:tcW w:w="1222" w:type="dxa"/>
            <w:shd w:val="clear" w:color="auto" w:fill="F2F2F2"/>
            <w:noWrap/>
            <w:vAlign w:val="center"/>
            <w:hideMark/>
          </w:tcPr>
          <w:p w14:paraId="4BB84125"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336.7 ± 2.3</w:t>
            </w:r>
            <w:r>
              <w:rPr>
                <w:rFonts w:ascii="Times New Roman" w:eastAsia="Times New Roman" w:hAnsi="Times New Roman" w:cs="Times New Roman"/>
                <w:sz w:val="24"/>
                <w:szCs w:val="24"/>
                <w:lang w:val="ru-RU" w:eastAsia="ru-RU"/>
              </w:rPr>
              <w:t xml:space="preserve"> </w:t>
            </w:r>
            <w:r w:rsidRPr="00DA21C8">
              <w:rPr>
                <w:rFonts w:ascii="Times New Roman" w:eastAsia="Times New Roman" w:hAnsi="Times New Roman" w:cs="Times New Roman"/>
                <w:sz w:val="24"/>
                <w:szCs w:val="24"/>
                <w:lang w:eastAsia="ru-RU"/>
              </w:rPr>
              <w:t>ng / ml</w:t>
            </w:r>
          </w:p>
        </w:tc>
        <w:tc>
          <w:tcPr>
            <w:tcW w:w="1308" w:type="dxa"/>
            <w:shd w:val="clear" w:color="auto" w:fill="F2F2F2"/>
            <w:noWrap/>
            <w:vAlign w:val="center"/>
            <w:hideMark/>
          </w:tcPr>
          <w:p w14:paraId="76A7F624"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541.1 ± 1.9 ng / ml</w:t>
            </w:r>
          </w:p>
        </w:tc>
        <w:tc>
          <w:tcPr>
            <w:tcW w:w="1334" w:type="dxa"/>
            <w:shd w:val="clear" w:color="auto" w:fill="F2F2F2"/>
            <w:noWrap/>
            <w:vAlign w:val="center"/>
            <w:hideMark/>
          </w:tcPr>
          <w:p w14:paraId="249AAAC8"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496.6 ± 1.4 ng / ml</w:t>
            </w:r>
          </w:p>
        </w:tc>
      </w:tr>
      <w:tr w:rsidR="00DD566D" w:rsidRPr="00DA21C8" w14:paraId="2F3208B3" w14:textId="77777777" w:rsidTr="00C90B56">
        <w:trPr>
          <w:trHeight w:val="559"/>
          <w:jc w:val="center"/>
        </w:trPr>
        <w:tc>
          <w:tcPr>
            <w:tcW w:w="445" w:type="dxa"/>
            <w:shd w:val="clear" w:color="auto" w:fill="F2F2F2"/>
            <w:noWrap/>
            <w:vAlign w:val="center"/>
            <w:hideMark/>
          </w:tcPr>
          <w:p w14:paraId="144AC629" w14:textId="77777777" w:rsidR="00DD566D" w:rsidRPr="00DA21C8" w:rsidRDefault="00DD566D" w:rsidP="00C90B56">
            <w:pPr>
              <w:jc w:val="center"/>
              <w:rPr>
                <w:rFonts w:ascii="Times New Roman" w:eastAsia="Times New Roman" w:hAnsi="Times New Roman" w:cs="Times New Roman"/>
                <w:sz w:val="24"/>
                <w:szCs w:val="24"/>
                <w:lang w:eastAsia="ru-RU"/>
              </w:rPr>
            </w:pPr>
          </w:p>
          <w:p w14:paraId="13A0D9B4"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w:t>
            </w:r>
          </w:p>
        </w:tc>
        <w:tc>
          <w:tcPr>
            <w:tcW w:w="1883" w:type="dxa"/>
            <w:shd w:val="clear" w:color="auto" w:fill="F2F2F2"/>
            <w:noWrap/>
            <w:vAlign w:val="center"/>
            <w:hideMark/>
          </w:tcPr>
          <w:p w14:paraId="1CCC9AD2" w14:textId="77777777" w:rsidR="00DD566D" w:rsidRPr="00DA21C8" w:rsidRDefault="00DD566D" w:rsidP="00C90B56">
            <w:pP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Fibrinogen</w:t>
            </w:r>
          </w:p>
        </w:tc>
        <w:tc>
          <w:tcPr>
            <w:tcW w:w="1351" w:type="dxa"/>
            <w:shd w:val="clear" w:color="auto" w:fill="F2F2F2"/>
            <w:noWrap/>
            <w:vAlign w:val="center"/>
            <w:hideMark/>
          </w:tcPr>
          <w:p w14:paraId="705C2841"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7.71 ± 1.1 μg / ml</w:t>
            </w:r>
          </w:p>
        </w:tc>
        <w:tc>
          <w:tcPr>
            <w:tcW w:w="1222" w:type="dxa"/>
            <w:shd w:val="clear" w:color="auto" w:fill="F2F2F2"/>
            <w:noWrap/>
            <w:vAlign w:val="center"/>
            <w:hideMark/>
          </w:tcPr>
          <w:p w14:paraId="1A8127C6"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3.6 ± 1.3</w:t>
            </w:r>
          </w:p>
          <w:p w14:paraId="67DF889B"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μg / ml</w:t>
            </w:r>
          </w:p>
        </w:tc>
        <w:tc>
          <w:tcPr>
            <w:tcW w:w="1221" w:type="dxa"/>
            <w:shd w:val="clear" w:color="auto" w:fill="F2F2F2"/>
            <w:noWrap/>
            <w:vAlign w:val="center"/>
            <w:hideMark/>
          </w:tcPr>
          <w:p w14:paraId="05888C90"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7.42 ± 0.9 μg / ml</w:t>
            </w:r>
          </w:p>
        </w:tc>
        <w:tc>
          <w:tcPr>
            <w:tcW w:w="1222" w:type="dxa"/>
            <w:shd w:val="clear" w:color="auto" w:fill="F2F2F2"/>
            <w:noWrap/>
            <w:vAlign w:val="center"/>
            <w:hideMark/>
          </w:tcPr>
          <w:p w14:paraId="62851327"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3.8 ± 1.19</w:t>
            </w:r>
          </w:p>
          <w:p w14:paraId="263CAAC4"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μg / ml</w:t>
            </w:r>
          </w:p>
        </w:tc>
        <w:tc>
          <w:tcPr>
            <w:tcW w:w="1308" w:type="dxa"/>
            <w:shd w:val="clear" w:color="auto" w:fill="F2F2F2"/>
            <w:noWrap/>
            <w:vAlign w:val="center"/>
            <w:hideMark/>
          </w:tcPr>
          <w:p w14:paraId="006FF4C1"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7.52 ± 1.2 μg / ml</w:t>
            </w:r>
          </w:p>
        </w:tc>
        <w:tc>
          <w:tcPr>
            <w:tcW w:w="1334" w:type="dxa"/>
            <w:shd w:val="clear" w:color="auto" w:fill="F2F2F2"/>
            <w:noWrap/>
            <w:vAlign w:val="center"/>
            <w:hideMark/>
          </w:tcPr>
          <w:p w14:paraId="620D3188"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3.71 ± 1.3 μg / ml</w:t>
            </w:r>
          </w:p>
        </w:tc>
      </w:tr>
      <w:tr w:rsidR="00DD566D" w:rsidRPr="00DA21C8" w14:paraId="71BFFF22" w14:textId="77777777" w:rsidTr="00C90B56">
        <w:trPr>
          <w:trHeight w:val="553"/>
          <w:jc w:val="center"/>
        </w:trPr>
        <w:tc>
          <w:tcPr>
            <w:tcW w:w="445" w:type="dxa"/>
            <w:shd w:val="clear" w:color="auto" w:fill="F2F2F2"/>
            <w:noWrap/>
            <w:vAlign w:val="center"/>
            <w:hideMark/>
          </w:tcPr>
          <w:p w14:paraId="2D847540" w14:textId="77777777" w:rsidR="00DD566D" w:rsidRPr="00DA21C8" w:rsidRDefault="00DD566D" w:rsidP="00C90B56">
            <w:pPr>
              <w:jc w:val="center"/>
              <w:rPr>
                <w:rFonts w:ascii="Times New Roman" w:eastAsia="Times New Roman" w:hAnsi="Times New Roman" w:cs="Times New Roman"/>
                <w:sz w:val="24"/>
                <w:szCs w:val="24"/>
                <w:lang w:eastAsia="ru-RU"/>
              </w:rPr>
            </w:pPr>
          </w:p>
          <w:p w14:paraId="4D92D0E5"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3</w:t>
            </w:r>
          </w:p>
        </w:tc>
        <w:tc>
          <w:tcPr>
            <w:tcW w:w="1883" w:type="dxa"/>
            <w:shd w:val="clear" w:color="auto" w:fill="F2F2F2"/>
            <w:noWrap/>
            <w:vAlign w:val="center"/>
            <w:hideMark/>
          </w:tcPr>
          <w:p w14:paraId="1464C752" w14:textId="77777777" w:rsidR="00DD566D" w:rsidRPr="00DA21C8" w:rsidRDefault="00DD566D" w:rsidP="00C90B56">
            <w:pP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Prothrombin time</w:t>
            </w:r>
          </w:p>
        </w:tc>
        <w:tc>
          <w:tcPr>
            <w:tcW w:w="1351" w:type="dxa"/>
            <w:shd w:val="clear" w:color="auto" w:fill="F2F2F2"/>
            <w:noWrap/>
            <w:vAlign w:val="center"/>
            <w:hideMark/>
          </w:tcPr>
          <w:p w14:paraId="793F5E5E"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val="uz-Cyrl-UZ" w:eastAsia="ru-RU"/>
              </w:rPr>
              <w:t>15.2 ± 1.1</w:t>
            </w:r>
          </w:p>
          <w:p w14:paraId="0F14243A"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s</w:t>
            </w:r>
            <w:r w:rsidRPr="00DA21C8">
              <w:rPr>
                <w:rFonts w:ascii="Times New Roman" w:eastAsia="Times New Roman" w:hAnsi="Times New Roman" w:cs="Times New Roman"/>
                <w:sz w:val="24"/>
                <w:szCs w:val="24"/>
                <w:lang w:val="uz-Cyrl-UZ" w:eastAsia="ru-RU"/>
              </w:rPr>
              <w:t>ec</w:t>
            </w:r>
          </w:p>
        </w:tc>
        <w:tc>
          <w:tcPr>
            <w:tcW w:w="1222" w:type="dxa"/>
            <w:shd w:val="clear" w:color="auto" w:fill="F2F2F2"/>
            <w:noWrap/>
            <w:vAlign w:val="center"/>
            <w:hideMark/>
          </w:tcPr>
          <w:p w14:paraId="12BE8417"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9.4 ± 0.8</w:t>
            </w:r>
          </w:p>
          <w:p w14:paraId="31DE109E"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sec</w:t>
            </w:r>
          </w:p>
        </w:tc>
        <w:tc>
          <w:tcPr>
            <w:tcW w:w="1221" w:type="dxa"/>
            <w:shd w:val="clear" w:color="auto" w:fill="F2F2F2"/>
            <w:noWrap/>
            <w:vAlign w:val="center"/>
            <w:hideMark/>
          </w:tcPr>
          <w:p w14:paraId="2F3041F6"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val="uz-Cyrl-UZ" w:eastAsia="ru-RU"/>
              </w:rPr>
              <w:t>14.9 ± 1.1</w:t>
            </w:r>
          </w:p>
          <w:p w14:paraId="695F358F"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sec</w:t>
            </w:r>
          </w:p>
        </w:tc>
        <w:tc>
          <w:tcPr>
            <w:tcW w:w="1222" w:type="dxa"/>
            <w:shd w:val="clear" w:color="auto" w:fill="F2F2F2"/>
            <w:noWrap/>
            <w:vAlign w:val="center"/>
            <w:hideMark/>
          </w:tcPr>
          <w:p w14:paraId="04969BD3"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9.6 ± 0.8</w:t>
            </w:r>
          </w:p>
          <w:p w14:paraId="20E49E35"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sec</w:t>
            </w:r>
          </w:p>
        </w:tc>
        <w:tc>
          <w:tcPr>
            <w:tcW w:w="1308" w:type="dxa"/>
            <w:shd w:val="clear" w:color="auto" w:fill="F2F2F2"/>
            <w:noWrap/>
            <w:vAlign w:val="center"/>
            <w:hideMark/>
          </w:tcPr>
          <w:p w14:paraId="7D9625B3" w14:textId="77777777" w:rsidR="00DD566D" w:rsidRPr="00DA21C8" w:rsidRDefault="00DD566D" w:rsidP="00C90B56">
            <w:pPr>
              <w:jc w:val="center"/>
              <w:rPr>
                <w:rFonts w:ascii="Times New Roman" w:eastAsia="Times New Roman" w:hAnsi="Times New Roman" w:cs="Times New Roman"/>
                <w:sz w:val="24"/>
                <w:szCs w:val="24"/>
                <w:lang w:val="uz-Cyrl-UZ" w:eastAsia="ru-RU"/>
              </w:rPr>
            </w:pPr>
            <w:r w:rsidRPr="00DA21C8">
              <w:rPr>
                <w:rFonts w:ascii="Times New Roman" w:eastAsia="Times New Roman" w:hAnsi="Times New Roman" w:cs="Times New Roman"/>
                <w:sz w:val="24"/>
                <w:szCs w:val="24"/>
                <w:lang w:val="uz-Cyrl-UZ" w:eastAsia="ru-RU"/>
              </w:rPr>
              <w:t>15.6 ± 1.1</w:t>
            </w:r>
          </w:p>
          <w:p w14:paraId="04314B0D"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sec</w:t>
            </w:r>
          </w:p>
        </w:tc>
        <w:tc>
          <w:tcPr>
            <w:tcW w:w="1334" w:type="dxa"/>
            <w:shd w:val="clear" w:color="auto" w:fill="F2F2F2"/>
            <w:noWrap/>
            <w:vAlign w:val="center"/>
            <w:hideMark/>
          </w:tcPr>
          <w:p w14:paraId="7218F17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9.2 ± 0.8</w:t>
            </w:r>
          </w:p>
          <w:p w14:paraId="41F511FD"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sec</w:t>
            </w:r>
          </w:p>
        </w:tc>
      </w:tr>
      <w:tr w:rsidR="00DD566D" w:rsidRPr="00DA21C8" w14:paraId="55227194" w14:textId="77777777" w:rsidTr="00C90B56">
        <w:trPr>
          <w:trHeight w:val="703"/>
          <w:jc w:val="center"/>
        </w:trPr>
        <w:tc>
          <w:tcPr>
            <w:tcW w:w="445" w:type="dxa"/>
            <w:shd w:val="clear" w:color="auto" w:fill="F2F2F2"/>
            <w:noWrap/>
            <w:vAlign w:val="center"/>
            <w:hideMark/>
          </w:tcPr>
          <w:p w14:paraId="6DABAE97" w14:textId="77777777" w:rsidR="00DD566D" w:rsidRPr="00DA21C8" w:rsidRDefault="00DD566D" w:rsidP="00C90B56">
            <w:pPr>
              <w:jc w:val="center"/>
              <w:rPr>
                <w:rFonts w:ascii="Times New Roman" w:eastAsia="Times New Roman" w:hAnsi="Times New Roman" w:cs="Times New Roman"/>
                <w:sz w:val="24"/>
                <w:szCs w:val="24"/>
                <w:lang w:eastAsia="ru-RU"/>
              </w:rPr>
            </w:pPr>
          </w:p>
          <w:p w14:paraId="6E55BEC7"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4</w:t>
            </w:r>
          </w:p>
        </w:tc>
        <w:tc>
          <w:tcPr>
            <w:tcW w:w="1883" w:type="dxa"/>
            <w:shd w:val="clear" w:color="auto" w:fill="F2F2F2"/>
            <w:noWrap/>
            <w:vAlign w:val="center"/>
            <w:hideMark/>
          </w:tcPr>
          <w:p w14:paraId="6A84D618" w14:textId="77777777" w:rsidR="00DD566D" w:rsidRPr="00DA21C8" w:rsidRDefault="00DD566D" w:rsidP="00C90B56">
            <w:pPr>
              <w:rPr>
                <w:rFonts w:ascii="Times New Roman" w:eastAsia="Times New Roman" w:hAnsi="Times New Roman" w:cs="Times New Roman"/>
                <w:sz w:val="24"/>
                <w:szCs w:val="24"/>
                <w:lang w:eastAsia="ru-RU"/>
              </w:rPr>
            </w:pPr>
            <w:r w:rsidRPr="00DA21C8">
              <w:rPr>
                <w:rFonts w:ascii="Times New Roman" w:eastAsia="Calibri" w:hAnsi="Times New Roman" w:cs="Times New Roman"/>
                <w:sz w:val="24"/>
                <w:szCs w:val="24"/>
              </w:rPr>
              <w:t>APTT</w:t>
            </w:r>
          </w:p>
        </w:tc>
        <w:tc>
          <w:tcPr>
            <w:tcW w:w="1351" w:type="dxa"/>
            <w:shd w:val="clear" w:color="auto" w:fill="F2F2F2"/>
            <w:noWrap/>
            <w:vAlign w:val="center"/>
            <w:hideMark/>
          </w:tcPr>
          <w:p w14:paraId="05165607"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31.51 ±</w:t>
            </w:r>
            <w:r w:rsidRPr="00DA21C8">
              <w:rPr>
                <w:rFonts w:ascii="Times New Roman" w:eastAsia="Times New Roman" w:hAnsi="Times New Roman" w:cs="Times New Roman"/>
                <w:sz w:val="24"/>
                <w:szCs w:val="24"/>
                <w:lang w:eastAsia="ru-RU"/>
              </w:rPr>
              <w:t xml:space="preserve"> </w:t>
            </w:r>
            <w:r w:rsidRPr="00DA21C8">
              <w:rPr>
                <w:rFonts w:ascii="Times New Roman" w:eastAsia="Times New Roman" w:hAnsi="Times New Roman" w:cs="Times New Roman"/>
                <w:sz w:val="24"/>
                <w:szCs w:val="24"/>
                <w:lang w:val="uz-Cyrl-UZ" w:eastAsia="ru-RU"/>
              </w:rPr>
              <w:t>1.29</w:t>
            </w:r>
            <w:r>
              <w:rPr>
                <w:rFonts w:ascii="Times New Roman" w:eastAsia="Times New Roman" w:hAnsi="Times New Roman" w:cs="Times New Roman"/>
                <w:sz w:val="24"/>
                <w:szCs w:val="24"/>
                <w:lang w:val="uz-Cyrl-UZ" w:eastAsia="ru-RU"/>
              </w:rPr>
              <w:t xml:space="preserve"> </w:t>
            </w:r>
            <w:r w:rsidRPr="00DA21C8">
              <w:rPr>
                <w:rFonts w:ascii="Times New Roman" w:eastAsia="Times New Roman" w:hAnsi="Times New Roman" w:cs="Times New Roman"/>
                <w:sz w:val="24"/>
                <w:szCs w:val="24"/>
                <w:lang w:val="uz-Cyrl-UZ" w:eastAsia="ru-RU"/>
              </w:rPr>
              <w:t>sec</w:t>
            </w:r>
          </w:p>
        </w:tc>
        <w:tc>
          <w:tcPr>
            <w:tcW w:w="1222" w:type="dxa"/>
            <w:shd w:val="clear" w:color="auto" w:fill="F2F2F2"/>
            <w:noWrap/>
            <w:vAlign w:val="center"/>
            <w:hideMark/>
          </w:tcPr>
          <w:p w14:paraId="44EEEEF5"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24.16 ± 0.8 sec</w:t>
            </w:r>
          </w:p>
        </w:tc>
        <w:tc>
          <w:tcPr>
            <w:tcW w:w="1221" w:type="dxa"/>
            <w:shd w:val="clear" w:color="auto" w:fill="F2F2F2"/>
            <w:noWrap/>
            <w:vAlign w:val="center"/>
            <w:hideMark/>
          </w:tcPr>
          <w:p w14:paraId="1D52117C"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28.2 ± 1.71 sec</w:t>
            </w:r>
          </w:p>
        </w:tc>
        <w:tc>
          <w:tcPr>
            <w:tcW w:w="1222" w:type="dxa"/>
            <w:shd w:val="clear" w:color="auto" w:fill="F2F2F2"/>
            <w:noWrap/>
            <w:vAlign w:val="center"/>
            <w:hideMark/>
          </w:tcPr>
          <w:p w14:paraId="70758BC6"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26.9 ± 1.65</w:t>
            </w:r>
            <w:r>
              <w:rPr>
                <w:rFonts w:ascii="Times New Roman" w:eastAsia="Times New Roman" w:hAnsi="Times New Roman" w:cs="Times New Roman"/>
                <w:sz w:val="24"/>
                <w:szCs w:val="24"/>
                <w:lang w:val="ru-RU" w:eastAsia="ru-RU"/>
              </w:rPr>
              <w:t xml:space="preserve"> </w:t>
            </w:r>
            <w:r w:rsidRPr="00DA21C8">
              <w:rPr>
                <w:rFonts w:ascii="Times New Roman" w:eastAsia="Times New Roman" w:hAnsi="Times New Roman" w:cs="Times New Roman"/>
                <w:sz w:val="24"/>
                <w:szCs w:val="24"/>
                <w:lang w:eastAsia="ru-RU"/>
              </w:rPr>
              <w:t>sec</w:t>
            </w:r>
          </w:p>
        </w:tc>
        <w:tc>
          <w:tcPr>
            <w:tcW w:w="1308" w:type="dxa"/>
            <w:shd w:val="clear" w:color="auto" w:fill="F2F2F2"/>
            <w:noWrap/>
            <w:vAlign w:val="center"/>
            <w:hideMark/>
          </w:tcPr>
          <w:p w14:paraId="688020F1"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val="uz-Cyrl-UZ" w:eastAsia="ru-RU"/>
              </w:rPr>
              <w:t>29.76 ±1.13</w:t>
            </w:r>
            <w:r>
              <w:rPr>
                <w:rFonts w:ascii="Times New Roman" w:eastAsia="Times New Roman" w:hAnsi="Times New Roman" w:cs="Times New Roman"/>
                <w:sz w:val="24"/>
                <w:szCs w:val="24"/>
                <w:lang w:val="uz-Cyrl-UZ" w:eastAsia="ru-RU"/>
              </w:rPr>
              <w:t xml:space="preserve"> </w:t>
            </w:r>
            <w:r w:rsidRPr="00DA21C8">
              <w:rPr>
                <w:rFonts w:ascii="Times New Roman" w:eastAsia="Times New Roman" w:hAnsi="Times New Roman" w:cs="Times New Roman"/>
                <w:sz w:val="24"/>
                <w:szCs w:val="24"/>
                <w:lang w:val="uz-Cyrl-UZ" w:eastAsia="ru-RU"/>
              </w:rPr>
              <w:t>sec</w:t>
            </w:r>
          </w:p>
        </w:tc>
        <w:tc>
          <w:tcPr>
            <w:tcW w:w="1334" w:type="dxa"/>
            <w:shd w:val="clear" w:color="auto" w:fill="F2F2F2"/>
            <w:noWrap/>
            <w:vAlign w:val="center"/>
            <w:hideMark/>
          </w:tcPr>
          <w:p w14:paraId="167C9AB1"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25.21±1.26</w:t>
            </w:r>
          </w:p>
          <w:p w14:paraId="4547234F" w14:textId="77777777" w:rsidR="00DD566D" w:rsidRPr="00DA21C8" w:rsidRDefault="00DD566D" w:rsidP="00C90B56">
            <w:pPr>
              <w:jc w:val="center"/>
              <w:rPr>
                <w:rFonts w:ascii="Times New Roman" w:eastAsia="Times New Roman" w:hAnsi="Times New Roman" w:cs="Times New Roman"/>
                <w:sz w:val="24"/>
                <w:szCs w:val="24"/>
                <w:lang w:eastAsia="ru-RU"/>
              </w:rPr>
            </w:pPr>
            <w:r w:rsidRPr="00DA21C8">
              <w:rPr>
                <w:rFonts w:ascii="Times New Roman" w:eastAsia="Times New Roman" w:hAnsi="Times New Roman" w:cs="Times New Roman"/>
                <w:sz w:val="24"/>
                <w:szCs w:val="24"/>
                <w:lang w:eastAsia="ru-RU"/>
              </w:rPr>
              <w:t>sec</w:t>
            </w:r>
          </w:p>
        </w:tc>
      </w:tr>
    </w:tbl>
    <w:p w14:paraId="256C197A" w14:textId="77777777" w:rsidR="00DD566D" w:rsidRPr="00DA21C8" w:rsidRDefault="00DD566D" w:rsidP="00DD566D">
      <w:pPr>
        <w:ind w:firstLine="567"/>
        <w:jc w:val="both"/>
        <w:rPr>
          <w:rFonts w:eastAsia="Calibri" w:cs="Times New Roman"/>
          <w:color w:val="FF0000"/>
          <w:sz w:val="24"/>
          <w:szCs w:val="24"/>
          <w:lang w:val="uz-Cyrl-UZ"/>
        </w:rPr>
      </w:pPr>
    </w:p>
    <w:p w14:paraId="3F1A2793" w14:textId="77777777" w:rsidR="00DD566D" w:rsidRDefault="00DD566D" w:rsidP="00DD566D">
      <w:pPr>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696D0C77" w14:textId="77777777" w:rsidR="00DD566D" w:rsidRPr="00DA21C8" w:rsidRDefault="00DD566D" w:rsidP="00DD566D">
      <w:pPr>
        <w:ind w:firstLine="567"/>
        <w:jc w:val="both"/>
        <w:rPr>
          <w:rFonts w:eastAsia="Calibri" w:cs="Times New Roman"/>
          <w:sz w:val="24"/>
          <w:szCs w:val="24"/>
        </w:rPr>
      </w:pPr>
      <w:r w:rsidRPr="00DA21C8">
        <w:rPr>
          <w:rFonts w:eastAsia="Calibri" w:cs="Times New Roman"/>
          <w:sz w:val="24"/>
          <w:szCs w:val="24"/>
        </w:rPr>
        <w:t>The table shows that when we compared with pre-treatment hemorheological parame</w:t>
      </w:r>
      <w:r w:rsidRPr="002B68EB">
        <w:rPr>
          <w:rFonts w:eastAsia="Calibri" w:cs="Times New Roman"/>
          <w:sz w:val="24"/>
          <w:szCs w:val="24"/>
        </w:rPr>
        <w:softHyphen/>
      </w:r>
      <w:r w:rsidRPr="00DA21C8">
        <w:rPr>
          <w:rFonts w:eastAsia="Calibri" w:cs="Times New Roman"/>
          <w:sz w:val="24"/>
          <w:szCs w:val="24"/>
        </w:rPr>
        <w:t xml:space="preserve">ters after 2 weeks, the following percentages decreased in groups A, B, and C: D-dimer  42.4%; 46.4%; 8.2%; respectively (p&lt;0.001), </w:t>
      </w:r>
      <w:r w:rsidRPr="00DA21C8">
        <w:rPr>
          <w:rFonts w:eastAsia="Calibri" w:cs="Times New Roman"/>
          <w:sz w:val="24"/>
          <w:szCs w:val="24"/>
        </w:rPr>
        <w:t xml:space="preserve">fibrin degradation products 53.3%;  48.8%; 50.7%; respectively (p&lt;0.001), prothrombin time 38.1%; 35.6%; 41.1%;  respectively (p&lt;0.001), </w:t>
      </w:r>
      <w:r w:rsidRPr="00DA21C8">
        <w:rPr>
          <w:rFonts w:eastAsia="Calibri" w:cs="Times New Roman"/>
          <w:bCs/>
          <w:sz w:val="24"/>
          <w:szCs w:val="24"/>
        </w:rPr>
        <w:t xml:space="preserve">APTT </w:t>
      </w:r>
      <w:r w:rsidRPr="00DA21C8">
        <w:rPr>
          <w:rFonts w:eastAsia="Calibri" w:cs="Times New Roman"/>
          <w:sz w:val="24"/>
          <w:szCs w:val="24"/>
        </w:rPr>
        <w:t>23.3%; 4.6%; 15.3%; respectively (p&lt;0.001). (Table 2).</w:t>
      </w:r>
    </w:p>
    <w:p w14:paraId="178417CF" w14:textId="77777777" w:rsidR="00DD566D" w:rsidRPr="002B68EB" w:rsidRDefault="00DD566D" w:rsidP="00DD566D">
      <w:pPr>
        <w:ind w:firstLine="567"/>
        <w:jc w:val="both"/>
        <w:rPr>
          <w:rFonts w:eastAsia="Calibri" w:cs="Times New Roman"/>
          <w:color w:val="FF0000"/>
          <w:sz w:val="24"/>
          <w:szCs w:val="24"/>
        </w:rPr>
        <w:sectPr w:rsidR="00DD566D" w:rsidRPr="002B68EB" w:rsidSect="002B68EB">
          <w:type w:val="continuous"/>
          <w:pgSz w:w="11907" w:h="16840" w:code="9"/>
          <w:pgMar w:top="1418" w:right="1134" w:bottom="1134" w:left="1134" w:header="907" w:footer="794" w:gutter="0"/>
          <w:cols w:num="2" w:space="708"/>
          <w:docGrid w:linePitch="381"/>
        </w:sectPr>
      </w:pPr>
    </w:p>
    <w:p w14:paraId="41922D3A" w14:textId="77777777" w:rsidR="00DD566D" w:rsidRPr="00DA21C8" w:rsidRDefault="00DD566D" w:rsidP="00DD566D">
      <w:pPr>
        <w:ind w:firstLine="567"/>
        <w:jc w:val="both"/>
        <w:rPr>
          <w:rFonts w:eastAsia="Calibri" w:cs="Times New Roman"/>
          <w:color w:val="FF0000"/>
          <w:sz w:val="24"/>
          <w:szCs w:val="24"/>
        </w:rPr>
      </w:pPr>
    </w:p>
    <w:tbl>
      <w:tblPr>
        <w:tblStyle w:val="111"/>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852"/>
        <w:gridCol w:w="2178"/>
        <w:gridCol w:w="2407"/>
        <w:gridCol w:w="1843"/>
      </w:tblGrid>
      <w:tr w:rsidR="00DD566D" w:rsidRPr="002B68EB" w14:paraId="1CEAC56D" w14:textId="77777777" w:rsidTr="00C90B56">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BE4D5"/>
            <w:noWrap/>
            <w:vAlign w:val="center"/>
            <w:hideMark/>
          </w:tcPr>
          <w:p w14:paraId="1FDDD96C"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 xml:space="preserve">Percentage changes in </w:t>
            </w:r>
            <w:r w:rsidRPr="00DA21C8">
              <w:rPr>
                <w:rFonts w:ascii="Times New Roman" w:eastAsia="Calibri" w:hAnsi="Times New Roman" w:cs="Times New Roman"/>
                <w:sz w:val="24"/>
                <w:szCs w:val="24"/>
                <w:lang w:val="en-US"/>
              </w:rPr>
              <w:t>hemorheological indicators</w:t>
            </w:r>
            <w:r w:rsidRPr="00DA21C8">
              <w:rPr>
                <w:rFonts w:ascii="Times New Roman" w:eastAsia="Times New Roman" w:hAnsi="Times New Roman" w:cs="Times New Roman"/>
                <w:sz w:val="24"/>
                <w:szCs w:val="24"/>
                <w:lang w:val="en-US" w:eastAsia="ru-RU"/>
              </w:rPr>
              <w:t xml:space="preserve"> in groups</w:t>
            </w:r>
          </w:p>
        </w:tc>
      </w:tr>
      <w:tr w:rsidR="00DD566D" w:rsidRPr="002B68EB" w14:paraId="7B5822E2" w14:textId="77777777" w:rsidTr="00C90B56">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496" w:type="dxa"/>
            <w:shd w:val="clear" w:color="auto" w:fill="FBE4D5"/>
            <w:noWrap/>
            <w:vAlign w:val="center"/>
            <w:hideMark/>
          </w:tcPr>
          <w:p w14:paraId="75A49B1F"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w:t>
            </w:r>
          </w:p>
        </w:tc>
        <w:tc>
          <w:tcPr>
            <w:tcW w:w="2852" w:type="dxa"/>
            <w:shd w:val="clear" w:color="auto" w:fill="FBE4D5"/>
            <w:noWrap/>
            <w:vAlign w:val="center"/>
            <w:hideMark/>
          </w:tcPr>
          <w:p w14:paraId="46DFDAC3"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Calibri" w:hAnsi="Times New Roman" w:cs="Times New Roman"/>
                <w:sz w:val="24"/>
                <w:szCs w:val="24"/>
                <w:lang w:val="en-US"/>
              </w:rPr>
              <w:t>Hemorheological indicators</w:t>
            </w:r>
          </w:p>
        </w:tc>
        <w:tc>
          <w:tcPr>
            <w:tcW w:w="2178" w:type="dxa"/>
            <w:shd w:val="clear" w:color="auto" w:fill="FBE4D5"/>
            <w:noWrap/>
            <w:vAlign w:val="center"/>
            <w:hideMark/>
          </w:tcPr>
          <w:p w14:paraId="14D85744"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Group A:</w:t>
            </w:r>
          </w:p>
          <w:p w14:paraId="4A9878CF"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Heparin</w:t>
            </w:r>
          </w:p>
        </w:tc>
        <w:tc>
          <w:tcPr>
            <w:tcW w:w="2407" w:type="dxa"/>
            <w:shd w:val="clear" w:color="auto" w:fill="FBE4D5"/>
            <w:noWrap/>
            <w:vAlign w:val="center"/>
            <w:hideMark/>
          </w:tcPr>
          <w:p w14:paraId="565F8460"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Group B:</w:t>
            </w:r>
          </w:p>
          <w:p w14:paraId="29663549"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Enoxiparin</w:t>
            </w:r>
          </w:p>
        </w:tc>
        <w:tc>
          <w:tcPr>
            <w:tcW w:w="1843" w:type="dxa"/>
            <w:shd w:val="clear" w:color="auto" w:fill="FBE4D5"/>
            <w:noWrap/>
            <w:vAlign w:val="center"/>
            <w:hideMark/>
          </w:tcPr>
          <w:p w14:paraId="51170643"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Group C: Riva</w:t>
            </w:r>
            <w:r w:rsidRPr="002B68EB">
              <w:rPr>
                <w:rFonts w:ascii="Times New Roman" w:eastAsia="Times New Roman" w:hAnsi="Times New Roman" w:cs="Times New Roman"/>
                <w:sz w:val="24"/>
                <w:szCs w:val="24"/>
                <w:lang w:val="en-US" w:eastAsia="ru-RU"/>
              </w:rPr>
              <w:softHyphen/>
            </w:r>
            <w:r w:rsidRPr="00DA21C8">
              <w:rPr>
                <w:rFonts w:ascii="Times New Roman" w:eastAsia="Times New Roman" w:hAnsi="Times New Roman" w:cs="Times New Roman"/>
                <w:sz w:val="24"/>
                <w:szCs w:val="24"/>
                <w:lang w:val="en-US" w:eastAsia="ru-RU"/>
              </w:rPr>
              <w:t>roxaban</w:t>
            </w:r>
          </w:p>
        </w:tc>
      </w:tr>
      <w:tr w:rsidR="00DD566D" w:rsidRPr="002B68EB" w14:paraId="2118B8C1" w14:textId="77777777" w:rsidTr="00C90B56">
        <w:trPr>
          <w:trHeight w:val="417"/>
          <w:jc w:val="center"/>
        </w:trPr>
        <w:tc>
          <w:tcPr>
            <w:cnfStyle w:val="001000000000" w:firstRow="0" w:lastRow="0" w:firstColumn="1" w:lastColumn="0" w:oddVBand="0" w:evenVBand="0" w:oddHBand="0" w:evenHBand="0" w:firstRowFirstColumn="0" w:firstRowLastColumn="0" w:lastRowFirstColumn="0" w:lastRowLastColumn="0"/>
            <w:tcW w:w="496" w:type="dxa"/>
            <w:shd w:val="clear" w:color="auto" w:fill="F2F2F2"/>
            <w:noWrap/>
            <w:vAlign w:val="center"/>
            <w:hideMark/>
          </w:tcPr>
          <w:p w14:paraId="7F3F438A"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lastRenderedPageBreak/>
              <w:t>1</w:t>
            </w:r>
          </w:p>
        </w:tc>
        <w:tc>
          <w:tcPr>
            <w:tcW w:w="2852" w:type="dxa"/>
            <w:shd w:val="clear" w:color="auto" w:fill="F2F2F2"/>
            <w:noWrap/>
            <w:vAlign w:val="center"/>
            <w:hideMark/>
          </w:tcPr>
          <w:p w14:paraId="390F06AF"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D-dimer</w:t>
            </w:r>
          </w:p>
        </w:tc>
        <w:tc>
          <w:tcPr>
            <w:tcW w:w="2178" w:type="dxa"/>
            <w:shd w:val="clear" w:color="auto" w:fill="F2F2F2"/>
            <w:noWrap/>
            <w:vAlign w:val="center"/>
            <w:hideMark/>
          </w:tcPr>
          <w:p w14:paraId="108043AA"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42.40%</w:t>
            </w:r>
          </w:p>
        </w:tc>
        <w:tc>
          <w:tcPr>
            <w:tcW w:w="2407" w:type="dxa"/>
            <w:shd w:val="clear" w:color="auto" w:fill="F2F2F2"/>
            <w:noWrap/>
            <w:vAlign w:val="center"/>
            <w:hideMark/>
          </w:tcPr>
          <w:p w14:paraId="23B08D4D"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46.40%</w:t>
            </w:r>
          </w:p>
        </w:tc>
        <w:tc>
          <w:tcPr>
            <w:tcW w:w="1843" w:type="dxa"/>
            <w:shd w:val="clear" w:color="auto" w:fill="F2F2F2"/>
            <w:noWrap/>
            <w:vAlign w:val="center"/>
            <w:hideMark/>
          </w:tcPr>
          <w:p w14:paraId="472993D2"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8.20%</w:t>
            </w:r>
          </w:p>
        </w:tc>
      </w:tr>
      <w:tr w:rsidR="00DD566D" w:rsidRPr="002B68EB" w14:paraId="10652BB3" w14:textId="77777777" w:rsidTr="00C90B5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96" w:type="dxa"/>
            <w:noWrap/>
            <w:vAlign w:val="center"/>
            <w:hideMark/>
          </w:tcPr>
          <w:p w14:paraId="4C74994E"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w:t>
            </w:r>
          </w:p>
        </w:tc>
        <w:tc>
          <w:tcPr>
            <w:tcW w:w="2852" w:type="dxa"/>
            <w:noWrap/>
            <w:vAlign w:val="center"/>
            <w:hideMark/>
          </w:tcPr>
          <w:p w14:paraId="302A3355"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Fibrinogen</w:t>
            </w:r>
          </w:p>
        </w:tc>
        <w:tc>
          <w:tcPr>
            <w:tcW w:w="2178" w:type="dxa"/>
            <w:noWrap/>
            <w:vAlign w:val="center"/>
            <w:hideMark/>
          </w:tcPr>
          <w:p w14:paraId="5E00103B"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53.30%</w:t>
            </w:r>
          </w:p>
        </w:tc>
        <w:tc>
          <w:tcPr>
            <w:tcW w:w="2407" w:type="dxa"/>
            <w:noWrap/>
            <w:vAlign w:val="center"/>
            <w:hideMark/>
          </w:tcPr>
          <w:p w14:paraId="437B84CB"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48.80%</w:t>
            </w:r>
          </w:p>
        </w:tc>
        <w:tc>
          <w:tcPr>
            <w:tcW w:w="1843" w:type="dxa"/>
            <w:noWrap/>
            <w:vAlign w:val="center"/>
            <w:hideMark/>
          </w:tcPr>
          <w:p w14:paraId="74A24605"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50.70%</w:t>
            </w:r>
          </w:p>
        </w:tc>
      </w:tr>
      <w:tr w:rsidR="00DD566D" w:rsidRPr="002B68EB" w14:paraId="66779BB4" w14:textId="77777777" w:rsidTr="00C90B56">
        <w:trPr>
          <w:trHeight w:val="417"/>
          <w:jc w:val="center"/>
        </w:trPr>
        <w:tc>
          <w:tcPr>
            <w:cnfStyle w:val="001000000000" w:firstRow="0" w:lastRow="0" w:firstColumn="1" w:lastColumn="0" w:oddVBand="0" w:evenVBand="0" w:oddHBand="0" w:evenHBand="0" w:firstRowFirstColumn="0" w:firstRowLastColumn="0" w:lastRowFirstColumn="0" w:lastRowLastColumn="0"/>
            <w:tcW w:w="496" w:type="dxa"/>
            <w:shd w:val="clear" w:color="auto" w:fill="F2F2F2"/>
            <w:noWrap/>
            <w:vAlign w:val="center"/>
            <w:hideMark/>
          </w:tcPr>
          <w:p w14:paraId="144A2B80"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3</w:t>
            </w:r>
          </w:p>
        </w:tc>
        <w:tc>
          <w:tcPr>
            <w:tcW w:w="2852" w:type="dxa"/>
            <w:shd w:val="clear" w:color="auto" w:fill="F2F2F2"/>
            <w:noWrap/>
            <w:vAlign w:val="center"/>
            <w:hideMark/>
          </w:tcPr>
          <w:p w14:paraId="7C738D30"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Prothrombin time</w:t>
            </w:r>
          </w:p>
        </w:tc>
        <w:tc>
          <w:tcPr>
            <w:tcW w:w="2178" w:type="dxa"/>
            <w:shd w:val="clear" w:color="auto" w:fill="F2F2F2"/>
            <w:noWrap/>
            <w:vAlign w:val="center"/>
            <w:hideMark/>
          </w:tcPr>
          <w:p w14:paraId="77FC5369"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38.10%</w:t>
            </w:r>
          </w:p>
        </w:tc>
        <w:tc>
          <w:tcPr>
            <w:tcW w:w="2407" w:type="dxa"/>
            <w:shd w:val="clear" w:color="auto" w:fill="F2F2F2"/>
            <w:noWrap/>
            <w:vAlign w:val="center"/>
            <w:hideMark/>
          </w:tcPr>
          <w:p w14:paraId="2618CF6B"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35.60%</w:t>
            </w:r>
          </w:p>
        </w:tc>
        <w:tc>
          <w:tcPr>
            <w:tcW w:w="1843" w:type="dxa"/>
            <w:shd w:val="clear" w:color="auto" w:fill="F2F2F2"/>
            <w:noWrap/>
            <w:vAlign w:val="center"/>
            <w:hideMark/>
          </w:tcPr>
          <w:p w14:paraId="20DA017B"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41.10%</w:t>
            </w:r>
          </w:p>
        </w:tc>
      </w:tr>
      <w:tr w:rsidR="00DD566D" w:rsidRPr="002B68EB" w14:paraId="2EFEBE19" w14:textId="77777777" w:rsidTr="00C90B5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96" w:type="dxa"/>
            <w:noWrap/>
            <w:vAlign w:val="center"/>
            <w:hideMark/>
          </w:tcPr>
          <w:p w14:paraId="159D484C"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w:t>
            </w:r>
          </w:p>
        </w:tc>
        <w:tc>
          <w:tcPr>
            <w:tcW w:w="2852" w:type="dxa"/>
            <w:noWrap/>
            <w:vAlign w:val="center"/>
            <w:hideMark/>
          </w:tcPr>
          <w:p w14:paraId="4DEB4168"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Calibri" w:hAnsi="Times New Roman" w:cs="Times New Roman"/>
                <w:sz w:val="24"/>
                <w:szCs w:val="24"/>
                <w:lang w:val="en-US"/>
              </w:rPr>
              <w:t>APTT</w:t>
            </w:r>
          </w:p>
        </w:tc>
        <w:tc>
          <w:tcPr>
            <w:tcW w:w="2178" w:type="dxa"/>
            <w:noWrap/>
            <w:vAlign w:val="center"/>
            <w:hideMark/>
          </w:tcPr>
          <w:p w14:paraId="55391CA7"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23.30%</w:t>
            </w:r>
          </w:p>
        </w:tc>
        <w:tc>
          <w:tcPr>
            <w:tcW w:w="2407" w:type="dxa"/>
            <w:noWrap/>
            <w:vAlign w:val="center"/>
            <w:hideMark/>
          </w:tcPr>
          <w:p w14:paraId="0B0D25C3"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4.60%</w:t>
            </w:r>
          </w:p>
        </w:tc>
        <w:tc>
          <w:tcPr>
            <w:tcW w:w="1843" w:type="dxa"/>
            <w:noWrap/>
            <w:vAlign w:val="center"/>
            <w:hideMark/>
          </w:tcPr>
          <w:p w14:paraId="126E5D52"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15.30%</w:t>
            </w:r>
          </w:p>
        </w:tc>
      </w:tr>
    </w:tbl>
    <w:p w14:paraId="7DCF9E78" w14:textId="77777777" w:rsidR="00DD566D" w:rsidRPr="00DA21C8" w:rsidRDefault="00DD566D" w:rsidP="00DD566D">
      <w:pPr>
        <w:ind w:firstLine="567"/>
        <w:jc w:val="both"/>
        <w:rPr>
          <w:rFonts w:eastAsia="Calibri" w:cs="Times New Roman"/>
          <w:sz w:val="24"/>
          <w:szCs w:val="24"/>
        </w:rPr>
      </w:pPr>
    </w:p>
    <w:p w14:paraId="20FF562F" w14:textId="77777777" w:rsidR="00DD566D" w:rsidRPr="00DA21C8" w:rsidRDefault="00DD566D" w:rsidP="00DD566D">
      <w:pPr>
        <w:ind w:firstLine="567"/>
        <w:jc w:val="both"/>
        <w:rPr>
          <w:rFonts w:eastAsia="Calibri" w:cs="Times New Roman"/>
          <w:color w:val="FF0000"/>
          <w:sz w:val="24"/>
          <w:szCs w:val="24"/>
        </w:rPr>
      </w:pPr>
      <w:r w:rsidRPr="00DA21C8">
        <w:rPr>
          <w:rFonts w:eastAsia="Calibri" w:cs="Times New Roman"/>
          <w:sz w:val="24"/>
          <w:szCs w:val="24"/>
        </w:rPr>
        <w:t xml:space="preserve">The results of our study showed that among all patients (n = 62) mortality was observed in 22.5% (n = 14) due to </w:t>
      </w:r>
      <w:r w:rsidRPr="00DA21C8">
        <w:rPr>
          <w:rFonts w:eastAsia="Calibri" w:cs="Times New Roman"/>
          <w:bCs/>
          <w:color w:val="202122"/>
          <w:sz w:val="24"/>
          <w:szCs w:val="24"/>
          <w:shd w:val="clear" w:color="auto" w:fill="FFFFFF"/>
        </w:rPr>
        <w:t>acute respiratory distress syndrome</w:t>
      </w:r>
      <w:r w:rsidRPr="00DA21C8">
        <w:rPr>
          <w:rFonts w:eastAsia="Calibri" w:cs="Times New Roman"/>
          <w:color w:val="202122"/>
          <w:sz w:val="24"/>
          <w:szCs w:val="24"/>
          <w:shd w:val="clear" w:color="auto" w:fill="FFFFFF"/>
        </w:rPr>
        <w:t> (</w:t>
      </w:r>
      <w:r w:rsidRPr="00DA21C8">
        <w:rPr>
          <w:rFonts w:eastAsia="Calibri" w:cs="Times New Roman"/>
          <w:bCs/>
          <w:color w:val="202122"/>
          <w:sz w:val="24"/>
          <w:szCs w:val="24"/>
          <w:shd w:val="clear" w:color="auto" w:fill="FFFFFF"/>
        </w:rPr>
        <w:t>ARDS</w:t>
      </w:r>
      <w:r w:rsidRPr="00DA21C8">
        <w:rPr>
          <w:rFonts w:eastAsia="Calibri" w:cs="Times New Roman"/>
          <w:color w:val="202122"/>
          <w:sz w:val="24"/>
          <w:szCs w:val="24"/>
          <w:shd w:val="clear" w:color="auto" w:fill="FFFFFF"/>
        </w:rPr>
        <w:t>)</w:t>
      </w:r>
      <w:r w:rsidRPr="00DA21C8">
        <w:rPr>
          <w:rFonts w:eastAsia="Calibri" w:cs="Times New Roman"/>
          <w:sz w:val="24"/>
          <w:szCs w:val="24"/>
        </w:rPr>
        <w:t>, the incidence of disability was 45.2% (n = 28) and 32.3% (n = 20) patients were discharged from the hospital with positive results (Table 3).</w:t>
      </w:r>
      <w:r w:rsidRPr="00DA21C8">
        <w:rPr>
          <w:rFonts w:eastAsia="Calibri" w:cs="Times New Roman"/>
          <w:color w:val="FF0000"/>
          <w:sz w:val="24"/>
          <w:szCs w:val="24"/>
        </w:rPr>
        <w:t xml:space="preserve"> </w:t>
      </w:r>
    </w:p>
    <w:p w14:paraId="7E9A14D3" w14:textId="77777777" w:rsidR="00DD566D" w:rsidRPr="00DA21C8" w:rsidRDefault="00DD566D" w:rsidP="00DD566D">
      <w:pPr>
        <w:ind w:firstLine="567"/>
        <w:jc w:val="both"/>
        <w:rPr>
          <w:rFonts w:eastAsia="Calibri" w:cs="Times New Roman"/>
          <w:color w:val="FF0000"/>
          <w:sz w:val="24"/>
          <w:szCs w:val="24"/>
        </w:rPr>
      </w:pPr>
    </w:p>
    <w:tbl>
      <w:tblPr>
        <w:tblStyle w:val="111"/>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535"/>
        <w:gridCol w:w="1843"/>
        <w:gridCol w:w="1878"/>
      </w:tblGrid>
      <w:tr w:rsidR="00DD566D" w:rsidRPr="002B68EB" w14:paraId="2B80F54F" w14:textId="77777777" w:rsidTr="00C90B56">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754" w:type="dxa"/>
            <w:gridSpan w:val="4"/>
            <w:tcBorders>
              <w:bottom w:val="nil"/>
            </w:tcBorders>
            <w:shd w:val="clear" w:color="auto" w:fill="FBE4D5"/>
            <w:noWrap/>
            <w:hideMark/>
          </w:tcPr>
          <w:p w14:paraId="781DD4FD" w14:textId="77777777" w:rsidR="00DD566D" w:rsidRPr="00DA21C8" w:rsidRDefault="00DD566D" w:rsidP="00C90B56">
            <w:pPr>
              <w:jc w:val="center"/>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Early catamnestic outcomes of treatment</w:t>
            </w:r>
          </w:p>
        </w:tc>
      </w:tr>
      <w:tr w:rsidR="00DD566D" w:rsidRPr="002B68EB" w14:paraId="3445A03E" w14:textId="77777777" w:rsidTr="00C90B56">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FBE4D5"/>
            <w:noWrap/>
            <w:hideMark/>
          </w:tcPr>
          <w:p w14:paraId="0D4F93DF" w14:textId="77777777" w:rsidR="00DD566D" w:rsidRPr="00DA21C8" w:rsidRDefault="00DD566D" w:rsidP="00C90B56">
            <w:pPr>
              <w:jc w:val="both"/>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w:t>
            </w:r>
          </w:p>
        </w:tc>
        <w:tc>
          <w:tcPr>
            <w:tcW w:w="5535" w:type="dxa"/>
            <w:tcBorders>
              <w:top w:val="single" w:sz="4" w:space="0" w:color="auto"/>
            </w:tcBorders>
            <w:shd w:val="clear" w:color="auto" w:fill="FBE4D5"/>
            <w:noWrap/>
            <w:hideMark/>
          </w:tcPr>
          <w:p w14:paraId="40E88005"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p>
        </w:tc>
        <w:tc>
          <w:tcPr>
            <w:tcW w:w="1843" w:type="dxa"/>
            <w:shd w:val="clear" w:color="auto" w:fill="FBE4D5"/>
            <w:noWrap/>
            <w:hideMark/>
          </w:tcPr>
          <w:p w14:paraId="32840786"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Number</w:t>
            </w:r>
          </w:p>
        </w:tc>
        <w:tc>
          <w:tcPr>
            <w:tcW w:w="1878" w:type="dxa"/>
            <w:tcBorders>
              <w:right w:val="single" w:sz="4" w:space="0" w:color="auto"/>
            </w:tcBorders>
            <w:shd w:val="clear" w:color="auto" w:fill="FBE4D5"/>
            <w:noWrap/>
            <w:hideMark/>
          </w:tcPr>
          <w:p w14:paraId="0E217301"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percentage</w:t>
            </w:r>
          </w:p>
        </w:tc>
      </w:tr>
      <w:tr w:rsidR="00DD566D" w:rsidRPr="002B68EB" w14:paraId="782612AF" w14:textId="77777777" w:rsidTr="00C90B56">
        <w:trPr>
          <w:trHeight w:val="423"/>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noWrap/>
            <w:hideMark/>
          </w:tcPr>
          <w:p w14:paraId="6E212ACF" w14:textId="77777777" w:rsidR="00DD566D" w:rsidRPr="00DA21C8" w:rsidRDefault="00DD566D" w:rsidP="00C90B56">
            <w:pPr>
              <w:jc w:val="both"/>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1</w:t>
            </w:r>
          </w:p>
        </w:tc>
        <w:tc>
          <w:tcPr>
            <w:tcW w:w="5535" w:type="dxa"/>
            <w:shd w:val="clear" w:color="auto" w:fill="EDEDED"/>
            <w:noWrap/>
            <w:hideMark/>
          </w:tcPr>
          <w:p w14:paraId="09744190" w14:textId="77777777" w:rsidR="00DD566D" w:rsidRPr="00DA21C8" w:rsidRDefault="00DD566D" w:rsidP="00C90B56">
            <w:pPr>
              <w:tabs>
                <w:tab w:val="left" w:pos="1055"/>
                <w:tab w:val="center" w:pos="265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shd w:val="clear" w:color="auto" w:fill="EDEDED"/>
                <w:lang w:val="en-US" w:eastAsia="ru-RU"/>
              </w:rPr>
              <w:t xml:space="preserve">Deaths </w:t>
            </w:r>
            <w:r w:rsidRPr="00DA21C8">
              <w:rPr>
                <w:rFonts w:ascii="Times New Roman" w:eastAsia="Calibri" w:hAnsi="Times New Roman" w:cs="Times New Roman"/>
                <w:sz w:val="24"/>
                <w:szCs w:val="24"/>
                <w:shd w:val="clear" w:color="auto" w:fill="EDEDED"/>
                <w:lang w:val="en-US"/>
              </w:rPr>
              <w:t>(</w:t>
            </w:r>
            <w:r w:rsidRPr="00DA21C8">
              <w:rPr>
                <w:rFonts w:ascii="Times New Roman" w:eastAsia="Calibri" w:hAnsi="Times New Roman" w:cs="Times New Roman"/>
                <w:bCs/>
                <w:sz w:val="24"/>
                <w:szCs w:val="24"/>
                <w:shd w:val="clear" w:color="auto" w:fill="EDEDED"/>
                <w:lang w:val="en-US"/>
              </w:rPr>
              <w:t>ARDS</w:t>
            </w:r>
            <w:r w:rsidRPr="00DA21C8">
              <w:rPr>
                <w:rFonts w:ascii="Times New Roman" w:eastAsia="Calibri" w:hAnsi="Times New Roman" w:cs="Times New Roman"/>
                <w:sz w:val="24"/>
                <w:szCs w:val="24"/>
                <w:shd w:val="clear" w:color="auto" w:fill="EDEDED"/>
                <w:lang w:val="en-US"/>
              </w:rPr>
              <w:t>)</w:t>
            </w:r>
          </w:p>
        </w:tc>
        <w:tc>
          <w:tcPr>
            <w:tcW w:w="1843" w:type="dxa"/>
            <w:shd w:val="clear" w:color="auto" w:fill="F2F2F2"/>
            <w:noWrap/>
            <w:hideMark/>
          </w:tcPr>
          <w:p w14:paraId="4C03D640"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14</w:t>
            </w:r>
          </w:p>
        </w:tc>
        <w:tc>
          <w:tcPr>
            <w:tcW w:w="1878" w:type="dxa"/>
            <w:tcBorders>
              <w:right w:val="single" w:sz="4" w:space="0" w:color="auto"/>
            </w:tcBorders>
            <w:shd w:val="clear" w:color="auto" w:fill="F2F2F2"/>
            <w:noWrap/>
            <w:hideMark/>
          </w:tcPr>
          <w:p w14:paraId="4A3F4425"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22.5%</w:t>
            </w:r>
          </w:p>
        </w:tc>
      </w:tr>
      <w:tr w:rsidR="00DD566D" w:rsidRPr="002B68EB" w14:paraId="2D93DD4D" w14:textId="77777777" w:rsidTr="00C90B56">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498" w:type="dxa"/>
            <w:noWrap/>
            <w:hideMark/>
          </w:tcPr>
          <w:p w14:paraId="67A7BC35" w14:textId="77777777" w:rsidR="00DD566D" w:rsidRPr="00DA21C8" w:rsidRDefault="00DD566D" w:rsidP="00C90B56">
            <w:pPr>
              <w:jc w:val="both"/>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w:t>
            </w:r>
          </w:p>
        </w:tc>
        <w:tc>
          <w:tcPr>
            <w:tcW w:w="5535" w:type="dxa"/>
            <w:noWrap/>
            <w:hideMark/>
          </w:tcPr>
          <w:p w14:paraId="28EC282E"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Disability status</w:t>
            </w:r>
          </w:p>
        </w:tc>
        <w:tc>
          <w:tcPr>
            <w:tcW w:w="1843" w:type="dxa"/>
            <w:noWrap/>
            <w:hideMark/>
          </w:tcPr>
          <w:p w14:paraId="06CE27E8"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28</w:t>
            </w:r>
          </w:p>
        </w:tc>
        <w:tc>
          <w:tcPr>
            <w:tcW w:w="1878" w:type="dxa"/>
            <w:noWrap/>
            <w:hideMark/>
          </w:tcPr>
          <w:p w14:paraId="2DDDB5CA" w14:textId="77777777" w:rsidR="00DD566D" w:rsidRPr="00DA21C8" w:rsidRDefault="00DD566D" w:rsidP="00C90B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45.2%</w:t>
            </w:r>
          </w:p>
        </w:tc>
      </w:tr>
      <w:tr w:rsidR="00DD566D" w:rsidRPr="002B68EB" w14:paraId="0016346D" w14:textId="77777777" w:rsidTr="00C90B56">
        <w:trPr>
          <w:trHeight w:val="423"/>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noWrap/>
            <w:hideMark/>
          </w:tcPr>
          <w:p w14:paraId="1C9DA16D" w14:textId="77777777" w:rsidR="00DD566D" w:rsidRPr="00DA21C8" w:rsidRDefault="00DD566D" w:rsidP="00C90B56">
            <w:pPr>
              <w:jc w:val="both"/>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3</w:t>
            </w:r>
          </w:p>
        </w:tc>
        <w:tc>
          <w:tcPr>
            <w:tcW w:w="5535" w:type="dxa"/>
            <w:shd w:val="clear" w:color="auto" w:fill="F2F2F2"/>
            <w:noWrap/>
            <w:hideMark/>
          </w:tcPr>
          <w:p w14:paraId="66468CE4"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Positive indicators</w:t>
            </w:r>
          </w:p>
        </w:tc>
        <w:tc>
          <w:tcPr>
            <w:tcW w:w="1843" w:type="dxa"/>
            <w:shd w:val="clear" w:color="auto" w:fill="F2F2F2"/>
            <w:noWrap/>
            <w:hideMark/>
          </w:tcPr>
          <w:p w14:paraId="3B97ECCE"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20</w:t>
            </w:r>
          </w:p>
        </w:tc>
        <w:tc>
          <w:tcPr>
            <w:tcW w:w="1878" w:type="dxa"/>
            <w:shd w:val="clear" w:color="auto" w:fill="F2F2F2"/>
            <w:noWrap/>
            <w:hideMark/>
          </w:tcPr>
          <w:p w14:paraId="4E647CD7" w14:textId="77777777" w:rsidR="00DD566D" w:rsidRPr="00DA21C8" w:rsidRDefault="00DD566D" w:rsidP="00C90B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A21C8">
              <w:rPr>
                <w:rFonts w:ascii="Times New Roman" w:eastAsia="Times New Roman" w:hAnsi="Times New Roman" w:cs="Times New Roman"/>
                <w:sz w:val="24"/>
                <w:szCs w:val="24"/>
                <w:lang w:val="en-US" w:eastAsia="ru-RU"/>
              </w:rPr>
              <w:t>32.3%</w:t>
            </w:r>
          </w:p>
        </w:tc>
      </w:tr>
    </w:tbl>
    <w:p w14:paraId="6EE5F7C9" w14:textId="77777777" w:rsidR="00DD566D" w:rsidRPr="00DA21C8" w:rsidRDefault="00DD566D" w:rsidP="00DD566D">
      <w:pPr>
        <w:ind w:firstLine="567"/>
        <w:jc w:val="both"/>
        <w:rPr>
          <w:rFonts w:eastAsia="Calibri" w:cs="Times New Roman"/>
          <w:b/>
          <w:color w:val="FF0000"/>
          <w:sz w:val="24"/>
          <w:szCs w:val="24"/>
        </w:rPr>
      </w:pPr>
    </w:p>
    <w:p w14:paraId="075FD116" w14:textId="77777777" w:rsidR="00DD566D" w:rsidRDefault="00DD566D" w:rsidP="00DD566D">
      <w:pPr>
        <w:ind w:firstLine="567"/>
        <w:jc w:val="both"/>
        <w:rPr>
          <w:rFonts w:eastAsia="Calibri" w:cs="Times New Roman"/>
          <w:b/>
          <w:sz w:val="24"/>
          <w:szCs w:val="24"/>
        </w:rPr>
        <w:sectPr w:rsidR="00DD566D" w:rsidSect="00995DC2">
          <w:type w:val="continuous"/>
          <w:pgSz w:w="11907" w:h="16840" w:code="9"/>
          <w:pgMar w:top="1418" w:right="1134" w:bottom="1134" w:left="1134" w:header="907" w:footer="794" w:gutter="0"/>
          <w:cols w:space="708"/>
          <w:docGrid w:linePitch="381"/>
        </w:sectPr>
      </w:pPr>
    </w:p>
    <w:p w14:paraId="01E4EBDF" w14:textId="77777777" w:rsidR="00DD566D" w:rsidRPr="00D430D9" w:rsidRDefault="00DD566D" w:rsidP="00DD566D">
      <w:pPr>
        <w:ind w:firstLine="567"/>
        <w:jc w:val="both"/>
        <w:rPr>
          <w:rFonts w:eastAsia="SimSun" w:cs="Times New Roman"/>
          <w:sz w:val="24"/>
          <w:szCs w:val="24"/>
          <w:lang w:eastAsia="zh-CN"/>
        </w:rPr>
      </w:pPr>
      <w:r w:rsidRPr="002B68EB">
        <w:rPr>
          <w:rFonts w:eastAsia="Calibri" w:cs="Times New Roman"/>
          <w:b/>
          <w:sz w:val="24"/>
          <w:szCs w:val="24"/>
        </w:rPr>
        <w:t xml:space="preserve">Conclusion: </w:t>
      </w:r>
      <w:r w:rsidRPr="002B68EB">
        <w:rPr>
          <w:rFonts w:eastAsia="Calibri" w:cs="Times New Roman"/>
          <w:sz w:val="24"/>
          <w:szCs w:val="24"/>
        </w:rPr>
        <w:t>Among the hemorheologi</w:t>
      </w:r>
      <w:r>
        <w:rPr>
          <w:rFonts w:eastAsia="Calibri" w:cs="Times New Roman"/>
          <w:sz w:val="24"/>
          <w:szCs w:val="24"/>
        </w:rPr>
        <w:softHyphen/>
      </w:r>
      <w:r w:rsidRPr="002B68EB">
        <w:rPr>
          <w:rFonts w:eastAsia="Calibri" w:cs="Times New Roman"/>
          <w:sz w:val="24"/>
          <w:szCs w:val="24"/>
        </w:rPr>
        <w:t>cal indicators, all anticoagulants have a signif</w:t>
      </w:r>
      <w:r>
        <w:rPr>
          <w:rFonts w:eastAsia="Calibri" w:cs="Times New Roman"/>
          <w:sz w:val="24"/>
          <w:szCs w:val="24"/>
        </w:rPr>
        <w:softHyphen/>
      </w:r>
      <w:r w:rsidRPr="002B68EB">
        <w:rPr>
          <w:rFonts w:eastAsia="Calibri" w:cs="Times New Roman"/>
          <w:sz w:val="24"/>
          <w:szCs w:val="24"/>
        </w:rPr>
        <w:t>icant positive effect on fibrinogen and pro</w:t>
      </w:r>
      <w:r>
        <w:rPr>
          <w:rFonts w:eastAsia="Calibri" w:cs="Times New Roman"/>
          <w:sz w:val="24"/>
          <w:szCs w:val="24"/>
        </w:rPr>
        <w:softHyphen/>
      </w:r>
      <w:r w:rsidRPr="002B68EB">
        <w:rPr>
          <w:rFonts w:eastAsia="Calibri" w:cs="Times New Roman"/>
          <w:sz w:val="24"/>
          <w:szCs w:val="24"/>
        </w:rPr>
        <w:t>thrombin time, heparin and enoxyparin are ef</w:t>
      </w:r>
      <w:r>
        <w:rPr>
          <w:rFonts w:eastAsia="Calibri" w:cs="Times New Roman"/>
          <w:sz w:val="24"/>
          <w:szCs w:val="24"/>
        </w:rPr>
        <w:softHyphen/>
      </w:r>
      <w:r w:rsidRPr="002B68EB">
        <w:rPr>
          <w:rFonts w:eastAsia="Calibri" w:cs="Times New Roman"/>
          <w:sz w:val="24"/>
          <w:szCs w:val="24"/>
        </w:rPr>
        <w:t>fective against D-dimer, heparin and riboraxa</w:t>
      </w:r>
      <w:r>
        <w:rPr>
          <w:rFonts w:eastAsia="Calibri" w:cs="Times New Roman"/>
          <w:sz w:val="24"/>
          <w:szCs w:val="24"/>
        </w:rPr>
        <w:softHyphen/>
      </w:r>
      <w:r w:rsidRPr="002B68EB">
        <w:rPr>
          <w:rFonts w:eastAsia="Calibri" w:cs="Times New Roman"/>
          <w:sz w:val="24"/>
          <w:szCs w:val="24"/>
        </w:rPr>
        <w:t xml:space="preserve">ban are effective against </w:t>
      </w:r>
      <w:r w:rsidRPr="002B68EB">
        <w:rPr>
          <w:rFonts w:eastAsia="Calibri" w:cs="Times New Roman"/>
          <w:bCs/>
          <w:sz w:val="24"/>
          <w:szCs w:val="24"/>
        </w:rPr>
        <w:t>APTT</w:t>
      </w:r>
      <w:r w:rsidRPr="002B68EB">
        <w:rPr>
          <w:rFonts w:eastAsia="Calibri" w:cs="Times New Roman"/>
          <w:sz w:val="24"/>
          <w:szCs w:val="24"/>
        </w:rPr>
        <w:t>.</w:t>
      </w:r>
      <w:r w:rsidRPr="002B68EB">
        <w:rPr>
          <w:rFonts w:eastAsia="Calibri" w:cs="Times New Roman"/>
          <w:bCs/>
          <w:color w:val="FF0000"/>
          <w:sz w:val="24"/>
          <w:szCs w:val="24"/>
        </w:rPr>
        <w:t xml:space="preserve"> </w:t>
      </w:r>
      <w:r w:rsidRPr="002B68EB">
        <w:rPr>
          <w:rFonts w:eastAsia="Calibri" w:cs="Times New Roman"/>
          <w:bCs/>
          <w:sz w:val="24"/>
          <w:szCs w:val="24"/>
        </w:rPr>
        <w:t>However, ri</w:t>
      </w:r>
      <w:r>
        <w:rPr>
          <w:rFonts w:eastAsia="Calibri" w:cs="Times New Roman"/>
          <w:bCs/>
          <w:sz w:val="24"/>
          <w:szCs w:val="24"/>
        </w:rPr>
        <w:softHyphen/>
      </w:r>
      <w:r w:rsidRPr="002B68EB">
        <w:rPr>
          <w:rFonts w:eastAsia="Calibri" w:cs="Times New Roman"/>
          <w:bCs/>
          <w:sz w:val="24"/>
          <w:szCs w:val="24"/>
        </w:rPr>
        <w:t>boraxaban has almost no positive effect on D-dimer while enoxiparin has almost no positive effect on APTT.</w:t>
      </w:r>
      <w:r w:rsidRPr="002B68EB">
        <w:rPr>
          <w:rFonts w:eastAsia="Calibri" w:cs="Times New Roman"/>
          <w:sz w:val="24"/>
          <w:szCs w:val="24"/>
        </w:rPr>
        <w:t xml:space="preserve"> </w:t>
      </w:r>
      <w:r w:rsidRPr="002B68EB">
        <w:rPr>
          <w:rFonts w:eastAsia="Calibri" w:cs="Times New Roman"/>
          <w:bCs/>
          <w:sz w:val="24"/>
          <w:szCs w:val="24"/>
        </w:rPr>
        <w:t>Heparin in the treatment of acute thromboembolic complications in sepsis-induced hypercoagulability in the acute period of COVID-19 infection, enoxiparin in the treatment of any acute thromboembolic com</w:t>
      </w:r>
      <w:r>
        <w:rPr>
          <w:rFonts w:eastAsia="Calibri" w:cs="Times New Roman"/>
          <w:bCs/>
          <w:sz w:val="24"/>
          <w:szCs w:val="24"/>
        </w:rPr>
        <w:softHyphen/>
      </w:r>
      <w:r w:rsidRPr="002B68EB">
        <w:rPr>
          <w:rFonts w:eastAsia="Calibri" w:cs="Times New Roman"/>
          <w:bCs/>
          <w:sz w:val="24"/>
          <w:szCs w:val="24"/>
        </w:rPr>
        <w:t>plications against the background of hyperco</w:t>
      </w:r>
      <w:r>
        <w:rPr>
          <w:rFonts w:eastAsia="Calibri" w:cs="Times New Roman"/>
          <w:bCs/>
          <w:sz w:val="24"/>
          <w:szCs w:val="24"/>
        </w:rPr>
        <w:softHyphen/>
      </w:r>
      <w:r w:rsidRPr="002B68EB">
        <w:rPr>
          <w:rFonts w:eastAsia="Calibri" w:cs="Times New Roman"/>
          <w:bCs/>
          <w:sz w:val="24"/>
          <w:szCs w:val="24"/>
        </w:rPr>
        <w:t>agulability but sepsis is not observed, and rivaraxoban in the treatment of hypercoagula</w:t>
      </w:r>
      <w:r>
        <w:rPr>
          <w:rFonts w:eastAsia="Calibri" w:cs="Times New Roman"/>
          <w:bCs/>
          <w:sz w:val="24"/>
          <w:szCs w:val="24"/>
        </w:rPr>
        <w:softHyphen/>
      </w:r>
      <w:r w:rsidRPr="002B68EB">
        <w:rPr>
          <w:rFonts w:eastAsia="Calibri" w:cs="Times New Roman"/>
          <w:bCs/>
          <w:sz w:val="24"/>
          <w:szCs w:val="24"/>
        </w:rPr>
        <w:t>bility without thromboembolic complications in COVID-19 infection.</w:t>
      </w:r>
    </w:p>
    <w:p w14:paraId="46398A4D" w14:textId="77777777" w:rsidR="00DD566D" w:rsidRPr="00D430D9" w:rsidRDefault="00DD566D" w:rsidP="00DD566D">
      <w:pPr>
        <w:ind w:firstLine="567"/>
        <w:jc w:val="both"/>
        <w:rPr>
          <w:rFonts w:eastAsia="SimSun" w:cs="Times New Roman"/>
          <w:sz w:val="24"/>
          <w:szCs w:val="24"/>
          <w:lang w:eastAsia="zh-CN"/>
        </w:rPr>
      </w:pPr>
    </w:p>
    <w:p w14:paraId="287B7FF9" w14:textId="77777777" w:rsidR="00DD566D" w:rsidRPr="002B68EB" w:rsidRDefault="00DD566D" w:rsidP="00DD566D">
      <w:pPr>
        <w:jc w:val="center"/>
        <w:rPr>
          <w:rFonts w:cs="Times New Roman"/>
          <w:b/>
          <w:bCs/>
          <w:sz w:val="24"/>
          <w:szCs w:val="24"/>
        </w:rPr>
      </w:pPr>
      <w:r w:rsidRPr="002B68EB">
        <w:rPr>
          <w:rFonts w:cs="Times New Roman"/>
          <w:b/>
          <w:bCs/>
          <w:sz w:val="24"/>
          <w:szCs w:val="24"/>
        </w:rPr>
        <w:t>REFERENCES</w:t>
      </w:r>
    </w:p>
    <w:p w14:paraId="24E92F54" w14:textId="77777777" w:rsidR="00DD566D" w:rsidRPr="002B68EB" w:rsidRDefault="00DD566D" w:rsidP="00DD566D">
      <w:pPr>
        <w:ind w:firstLine="567"/>
        <w:jc w:val="both"/>
        <w:rPr>
          <w:rFonts w:cs="Times New Roman"/>
          <w:sz w:val="24"/>
          <w:szCs w:val="24"/>
        </w:rPr>
      </w:pPr>
      <w:r w:rsidRPr="002B68EB">
        <w:rPr>
          <w:rFonts w:cs="Times New Roman"/>
          <w:sz w:val="24"/>
          <w:szCs w:val="24"/>
        </w:rPr>
        <w:t xml:space="preserve"> </w:t>
      </w:r>
    </w:p>
    <w:p w14:paraId="20C96204"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w:t>
      </w:r>
      <w:r w:rsidRPr="002B68EB">
        <w:rPr>
          <w:rFonts w:cs="Times New Roman"/>
          <w:sz w:val="24"/>
          <w:szCs w:val="24"/>
        </w:rPr>
        <w:tab/>
        <w:t>Vremennye rekomendatsii po vedeniyu patsientov, infitsirovannyx COVID-19 (pyataya versiya).  Ministry of Health of the Republic of Uzbekistan, National Chamber of Innovative Health of the Republic of Uzbeki</w:t>
      </w:r>
      <w:r>
        <w:rPr>
          <w:rFonts w:cs="Times New Roman"/>
          <w:sz w:val="24"/>
          <w:szCs w:val="24"/>
        </w:rPr>
        <w:softHyphen/>
      </w:r>
      <w:r w:rsidRPr="002B68EB">
        <w:rPr>
          <w:rFonts w:cs="Times New Roman"/>
          <w:sz w:val="24"/>
          <w:szCs w:val="24"/>
        </w:rPr>
        <w:t>stan. 2020. Available po link:https://dis</w:t>
      </w:r>
      <w:r>
        <w:rPr>
          <w:rFonts w:cs="Times New Roman"/>
          <w:sz w:val="24"/>
          <w:szCs w:val="24"/>
        </w:rPr>
        <w:softHyphen/>
      </w:r>
      <w:r w:rsidRPr="002B68EB">
        <w:rPr>
          <w:rFonts w:cs="Times New Roman"/>
          <w:sz w:val="24"/>
          <w:szCs w:val="24"/>
        </w:rPr>
        <w:t>eases.medelement.com/disease/  vremennye - rekomendatsii - po - vedeniyu patsientov - in</w:t>
      </w:r>
      <w:r>
        <w:rPr>
          <w:rFonts w:cs="Times New Roman"/>
          <w:sz w:val="24"/>
          <w:szCs w:val="24"/>
        </w:rPr>
        <w:softHyphen/>
      </w:r>
      <w:r w:rsidRPr="002B68EB">
        <w:rPr>
          <w:rFonts w:cs="Times New Roman"/>
          <w:sz w:val="24"/>
          <w:szCs w:val="24"/>
        </w:rPr>
        <w:t xml:space="preserve">fitsirovannyx -covid -19- pyataya – versiya kp </w:t>
      </w:r>
      <w:r w:rsidRPr="002B68EB">
        <w:rPr>
          <w:rFonts w:cs="Times New Roman"/>
          <w:sz w:val="24"/>
          <w:szCs w:val="24"/>
        </w:rPr>
        <w:t>- uzbekistan -2020/16535 [Temporary recom</w:t>
      </w:r>
      <w:r>
        <w:rPr>
          <w:rFonts w:cs="Times New Roman"/>
          <w:sz w:val="24"/>
          <w:szCs w:val="24"/>
        </w:rPr>
        <w:softHyphen/>
      </w:r>
      <w:r w:rsidRPr="002B68EB">
        <w:rPr>
          <w:rFonts w:cs="Times New Roman"/>
          <w:sz w:val="24"/>
          <w:szCs w:val="24"/>
        </w:rPr>
        <w:t>mendations for the management of patients in</w:t>
      </w:r>
      <w:r>
        <w:rPr>
          <w:rFonts w:cs="Times New Roman"/>
          <w:sz w:val="24"/>
          <w:szCs w:val="24"/>
        </w:rPr>
        <w:softHyphen/>
      </w:r>
      <w:r w:rsidRPr="002B68EB">
        <w:rPr>
          <w:rFonts w:cs="Times New Roman"/>
          <w:sz w:val="24"/>
          <w:szCs w:val="24"/>
        </w:rPr>
        <w:t>fected with COVID-19 (fifth version). Minis</w:t>
      </w:r>
      <w:r>
        <w:rPr>
          <w:rFonts w:cs="Times New Roman"/>
          <w:sz w:val="24"/>
          <w:szCs w:val="24"/>
        </w:rPr>
        <w:softHyphen/>
      </w:r>
      <w:r w:rsidRPr="002B68EB">
        <w:rPr>
          <w:rFonts w:cs="Times New Roman"/>
          <w:sz w:val="24"/>
          <w:szCs w:val="24"/>
        </w:rPr>
        <w:t>try of Health of the Republic of Uzbekistan, National Chamber of Innovative Healthcare of the Republic of Uzbekistan. 2020. Available from: https://diseas</w:t>
      </w:r>
      <w:r>
        <w:rPr>
          <w:rFonts w:cs="Times New Roman"/>
          <w:sz w:val="24"/>
          <w:szCs w:val="24"/>
        </w:rPr>
        <w:softHyphen/>
      </w:r>
      <w:r w:rsidRPr="002B68EB">
        <w:rPr>
          <w:rFonts w:cs="Times New Roman"/>
          <w:sz w:val="24"/>
          <w:szCs w:val="24"/>
        </w:rPr>
        <w:t>es.medelement.com/disease/ vremennye - rek</w:t>
      </w:r>
      <w:r>
        <w:rPr>
          <w:rFonts w:cs="Times New Roman"/>
          <w:sz w:val="24"/>
          <w:szCs w:val="24"/>
        </w:rPr>
        <w:softHyphen/>
      </w:r>
      <w:r w:rsidRPr="002B68EB">
        <w:rPr>
          <w:rFonts w:cs="Times New Roman"/>
          <w:sz w:val="24"/>
          <w:szCs w:val="24"/>
        </w:rPr>
        <w:t>omendatsii - po - vedeniyu patsientov infitsiro</w:t>
      </w:r>
      <w:r>
        <w:rPr>
          <w:rFonts w:cs="Times New Roman"/>
          <w:sz w:val="24"/>
          <w:szCs w:val="24"/>
        </w:rPr>
        <w:softHyphen/>
      </w:r>
      <w:r w:rsidRPr="002B68EB">
        <w:rPr>
          <w:rFonts w:cs="Times New Roman"/>
          <w:sz w:val="24"/>
          <w:szCs w:val="24"/>
        </w:rPr>
        <w:t>vannyx -covid -19- pyataya - versiya - kp - uz</w:t>
      </w:r>
      <w:r>
        <w:rPr>
          <w:rFonts w:cs="Times New Roman"/>
          <w:sz w:val="24"/>
          <w:szCs w:val="24"/>
        </w:rPr>
        <w:softHyphen/>
      </w:r>
      <w:r w:rsidRPr="002B68EB">
        <w:rPr>
          <w:rFonts w:cs="Times New Roman"/>
          <w:sz w:val="24"/>
          <w:szCs w:val="24"/>
        </w:rPr>
        <w:t>bekistan -2020/16535 (In Russ.)]</w:t>
      </w:r>
    </w:p>
    <w:p w14:paraId="68C1E547"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2.</w:t>
      </w:r>
      <w:r w:rsidRPr="002B68EB">
        <w:rPr>
          <w:rFonts w:cs="Times New Roman"/>
          <w:sz w:val="24"/>
          <w:szCs w:val="24"/>
        </w:rPr>
        <w:tab/>
        <w:t>Pizova NV, Pizov NA, Skachkova OA and dr. Acute violation of cerebral hemor</w:t>
      </w:r>
      <w:r>
        <w:rPr>
          <w:rFonts w:cs="Times New Roman"/>
          <w:sz w:val="24"/>
          <w:szCs w:val="24"/>
        </w:rPr>
        <w:softHyphen/>
      </w:r>
      <w:r w:rsidRPr="002B68EB">
        <w:rPr>
          <w:rFonts w:cs="Times New Roman"/>
          <w:sz w:val="24"/>
          <w:szCs w:val="24"/>
        </w:rPr>
        <w:t>rhage and coronavirus disease. Meditsinskiy Sovet. 2020; (8): 18-25. doi : 10.21518 / 2079-701 X -2020-8-18-25 [ Pizova NV , Pizov NA , Skachkova OA , et al . Acute cerebral circu</w:t>
      </w:r>
      <w:r>
        <w:rPr>
          <w:rFonts w:cs="Times New Roman"/>
          <w:sz w:val="24"/>
          <w:szCs w:val="24"/>
        </w:rPr>
        <w:softHyphen/>
      </w:r>
      <w:r w:rsidRPr="002B68EB">
        <w:rPr>
          <w:rFonts w:cs="Times New Roman"/>
          <w:sz w:val="24"/>
          <w:szCs w:val="24"/>
        </w:rPr>
        <w:t>latory disorders and coronavirus disease. Med</w:t>
      </w:r>
      <w:r>
        <w:rPr>
          <w:rFonts w:cs="Times New Roman"/>
          <w:sz w:val="24"/>
          <w:szCs w:val="24"/>
        </w:rPr>
        <w:softHyphen/>
      </w:r>
      <w:r w:rsidRPr="002B68EB">
        <w:rPr>
          <w:rFonts w:cs="Times New Roman"/>
          <w:sz w:val="24"/>
          <w:szCs w:val="24"/>
        </w:rPr>
        <w:t>itsinskiy sovet = Medical Council. 2020; (8): 18-25. doi: 10.21518 / 2079-701X-2020-8-18-25 (In Russ.)].</w:t>
      </w:r>
    </w:p>
    <w:p w14:paraId="7185CCFA"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3.</w:t>
      </w:r>
      <w:r w:rsidRPr="002B68EB">
        <w:rPr>
          <w:rFonts w:cs="Times New Roman"/>
          <w:sz w:val="24"/>
          <w:szCs w:val="24"/>
        </w:rPr>
        <w:tab/>
        <w:t>Mao L, Jin H, Wang M, et al. Neu</w:t>
      </w:r>
      <w:r>
        <w:rPr>
          <w:rFonts w:cs="Times New Roman"/>
          <w:sz w:val="24"/>
          <w:szCs w:val="24"/>
        </w:rPr>
        <w:softHyphen/>
      </w:r>
      <w:r w:rsidRPr="002B68EB">
        <w:rPr>
          <w:rFonts w:cs="Times New Roman"/>
          <w:sz w:val="24"/>
          <w:szCs w:val="24"/>
        </w:rPr>
        <w:t>rologic Manifestations of Hospitalized Patients With Coronavirus Disease 2019 in Wuhan, China. JAMA Neurol. 2020 Jun 1; 77 (6): 683-90. doi: 10.1001 / jamaneurol.2020.1127</w:t>
      </w:r>
    </w:p>
    <w:p w14:paraId="35157A26" w14:textId="77777777" w:rsidR="00DD566D" w:rsidRPr="002B68EB" w:rsidRDefault="00DD566D" w:rsidP="00DD566D">
      <w:pPr>
        <w:tabs>
          <w:tab w:val="left" w:pos="993"/>
        </w:tabs>
        <w:ind w:firstLine="567"/>
        <w:jc w:val="both"/>
        <w:rPr>
          <w:rFonts w:cs="Times New Roman"/>
          <w:sz w:val="24"/>
          <w:szCs w:val="24"/>
        </w:rPr>
      </w:pPr>
      <w:r w:rsidRPr="00AE6256">
        <w:rPr>
          <w:rFonts w:cs="Times New Roman"/>
          <w:sz w:val="24"/>
          <w:szCs w:val="24"/>
        </w:rPr>
        <w:t>4.</w:t>
      </w:r>
      <w:r w:rsidRPr="00AE6256">
        <w:rPr>
          <w:rFonts w:cs="Times New Roman"/>
          <w:sz w:val="24"/>
          <w:szCs w:val="24"/>
        </w:rPr>
        <w:tab/>
        <w:t xml:space="preserve">Benussi A, Pilotto A, Premi E, et al. </w:t>
      </w:r>
      <w:r w:rsidRPr="002B68EB">
        <w:rPr>
          <w:rFonts w:cs="Times New Roman"/>
          <w:sz w:val="24"/>
          <w:szCs w:val="24"/>
        </w:rPr>
        <w:t>Clinical characteristics and outcomes of inpa</w:t>
      </w:r>
      <w:r>
        <w:rPr>
          <w:rFonts w:cs="Times New Roman"/>
          <w:sz w:val="24"/>
          <w:szCs w:val="24"/>
        </w:rPr>
        <w:softHyphen/>
      </w:r>
      <w:r w:rsidRPr="002B68EB">
        <w:rPr>
          <w:rFonts w:cs="Times New Roman"/>
          <w:sz w:val="24"/>
          <w:szCs w:val="24"/>
        </w:rPr>
        <w:t xml:space="preserve">tients with neurologic disease and COVID-19 in Brescia, Lombardy, Italy. Neurology . 2020 </w:t>
      </w:r>
      <w:r w:rsidRPr="002B68EB">
        <w:rPr>
          <w:rFonts w:cs="Times New Roman"/>
          <w:sz w:val="24"/>
          <w:szCs w:val="24"/>
        </w:rPr>
        <w:lastRenderedPageBreak/>
        <w:t>Aug 18; 95 (7): e910-e920. doi: 10.1212 / WNL.0000000000009848. Epub 2020 May 22.</w:t>
      </w:r>
    </w:p>
    <w:p w14:paraId="13FBC9DE"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5.</w:t>
      </w:r>
      <w:r w:rsidRPr="002B68EB">
        <w:rPr>
          <w:rFonts w:cs="Times New Roman"/>
          <w:sz w:val="24"/>
          <w:szCs w:val="24"/>
        </w:rPr>
        <w:tab/>
        <w:t>Yaghi S, Ishida K, Torres J, et al. SARS2- CoV-2 and Stroke in a New York Healthcare System Stroke. 2020 Jul; 51 (7): 2002-11. doi: 10.1161 / STROKEAHA.120.030335. Epub 2020 May 20</w:t>
      </w:r>
    </w:p>
    <w:p w14:paraId="3D7BF6C1"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6.</w:t>
      </w:r>
      <w:r w:rsidRPr="002B68EB">
        <w:rPr>
          <w:rFonts w:cs="Times New Roman"/>
          <w:sz w:val="24"/>
          <w:szCs w:val="24"/>
        </w:rPr>
        <w:tab/>
        <w:t>Helms J, Kremer S, Merdji H, et al. Neurologic Features in Severe SARS-CoV-2 Infection. Engl J Med. 2020 Jun 4; 382 (23): 2268-70. doi: 10.1056 / NEJMc2008597. Epub 2020 Apr 15.</w:t>
      </w:r>
    </w:p>
    <w:p w14:paraId="57B6314A"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7.</w:t>
      </w:r>
      <w:r w:rsidRPr="002B68EB">
        <w:rPr>
          <w:rFonts w:cs="Times New Roman"/>
          <w:sz w:val="24"/>
          <w:szCs w:val="24"/>
        </w:rPr>
        <w:tab/>
        <w:t>Mehta JL, Calcaterra G, Bassareo PP. COVID-19, thromboembolic risk, and Vir</w:t>
      </w:r>
      <w:r>
        <w:rPr>
          <w:rFonts w:cs="Times New Roman"/>
          <w:sz w:val="24"/>
          <w:szCs w:val="24"/>
        </w:rPr>
        <w:softHyphen/>
      </w:r>
      <w:r w:rsidRPr="002B68EB">
        <w:rPr>
          <w:rFonts w:cs="Times New Roman"/>
          <w:sz w:val="24"/>
          <w:szCs w:val="24"/>
        </w:rPr>
        <w:t>chow's triad: Lesson from the past. Clin Car</w:t>
      </w:r>
      <w:r>
        <w:rPr>
          <w:rFonts w:cs="Times New Roman"/>
          <w:sz w:val="24"/>
          <w:szCs w:val="24"/>
        </w:rPr>
        <w:softHyphen/>
      </w:r>
      <w:r w:rsidRPr="002B68EB">
        <w:rPr>
          <w:rFonts w:cs="Times New Roman"/>
          <w:sz w:val="24"/>
          <w:szCs w:val="24"/>
        </w:rPr>
        <w:t>diol. 2020 Dec; 43 (12): 1362-7. doi: 10.1002 / clc.23460. Epub 2020 Nov 11</w:t>
      </w:r>
    </w:p>
    <w:p w14:paraId="038DC24C"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8.</w:t>
      </w:r>
      <w:r w:rsidRPr="002B68EB">
        <w:rPr>
          <w:rFonts w:cs="Times New Roman"/>
          <w:sz w:val="24"/>
          <w:szCs w:val="24"/>
        </w:rPr>
        <w:tab/>
        <w:t>Baldini T, Asioli GM, Romoli M, et al. Cerebral venous thrombosis and severe acute respiratory syndrome coronavirus-2 in</w:t>
      </w:r>
      <w:r>
        <w:rPr>
          <w:rFonts w:cs="Times New Roman"/>
          <w:sz w:val="24"/>
          <w:szCs w:val="24"/>
        </w:rPr>
        <w:softHyphen/>
      </w:r>
      <w:r w:rsidRPr="002B68EB">
        <w:rPr>
          <w:rFonts w:cs="Times New Roman"/>
          <w:sz w:val="24"/>
          <w:szCs w:val="24"/>
        </w:rPr>
        <w:t>fection: A systematic review and meta-analy</w:t>
      </w:r>
      <w:r>
        <w:rPr>
          <w:rFonts w:cs="Times New Roman"/>
          <w:sz w:val="24"/>
          <w:szCs w:val="24"/>
        </w:rPr>
        <w:softHyphen/>
      </w:r>
      <w:r w:rsidRPr="002B68EB">
        <w:rPr>
          <w:rFonts w:cs="Times New Roman"/>
          <w:sz w:val="24"/>
          <w:szCs w:val="24"/>
        </w:rPr>
        <w:t>sis. Eur J Neurol. 2021 Jan 11; 10.1111 / ene.14727. doi: 10.1111 / ene.14727. Online ahead of print.</w:t>
      </w:r>
    </w:p>
    <w:p w14:paraId="70638BFD"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9.</w:t>
      </w:r>
      <w:r w:rsidRPr="002B68EB">
        <w:rPr>
          <w:rFonts w:cs="Times New Roman"/>
          <w:sz w:val="24"/>
          <w:szCs w:val="24"/>
        </w:rPr>
        <w:tab/>
        <w:t>Li Y, Wang M, Zhou Y, et al. Acute cerebrovascular disease following COVID-19: A single center, retrospective, observational study. Stroke Vasc Neurol. 2020 Sep; 5 (3): 279-84. doi: 10.1136 / svn 2020-000431. Epub 2020 Jul 2.</w:t>
      </w:r>
    </w:p>
    <w:p w14:paraId="35FE5376"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10.</w:t>
      </w:r>
      <w:r w:rsidRPr="002B68EB">
        <w:rPr>
          <w:rFonts w:cs="Times New Roman"/>
          <w:sz w:val="24"/>
          <w:szCs w:val="24"/>
        </w:rPr>
        <w:tab/>
        <w:t>Andreev VV, Podunov AYu, Lapin DS and others. Clinical and pathogenetic fea</w:t>
      </w:r>
      <w:r>
        <w:rPr>
          <w:rFonts w:cs="Times New Roman"/>
          <w:sz w:val="24"/>
          <w:szCs w:val="24"/>
        </w:rPr>
        <w:softHyphen/>
      </w:r>
      <w:r w:rsidRPr="002B68EB">
        <w:rPr>
          <w:rFonts w:cs="Times New Roman"/>
          <w:sz w:val="24"/>
          <w:szCs w:val="24"/>
        </w:rPr>
        <w:t>tures of cerebral stroke in patients with new coronavirus infection (COVID-19). Regionar</w:t>
      </w:r>
      <w:r>
        <w:rPr>
          <w:rFonts w:cs="Times New Roman"/>
          <w:sz w:val="24"/>
          <w:szCs w:val="24"/>
        </w:rPr>
        <w:softHyphen/>
      </w:r>
      <w:r w:rsidRPr="002B68EB">
        <w:rPr>
          <w:rFonts w:cs="Times New Roman"/>
          <w:sz w:val="24"/>
          <w:szCs w:val="24"/>
        </w:rPr>
        <w:t>noe krovoobrashchenie and microcirculation. 2020; 19 (3): 46-56. doi : 10.24884 / 1682 6655 2020-19-3-46-56 [ Andreev VV , Podunov AYu , Lapin DS , et al . Clinical and pathoge</w:t>
      </w:r>
      <w:r>
        <w:rPr>
          <w:rFonts w:cs="Times New Roman"/>
          <w:sz w:val="24"/>
          <w:szCs w:val="24"/>
        </w:rPr>
        <w:softHyphen/>
      </w:r>
      <w:r w:rsidRPr="002B68EB">
        <w:rPr>
          <w:rFonts w:cs="Times New Roman"/>
          <w:sz w:val="24"/>
          <w:szCs w:val="24"/>
        </w:rPr>
        <w:t>netic features of cerebral stroke in patients with new cor o navirus infection (COVID-19). Re</w:t>
      </w:r>
      <w:r>
        <w:rPr>
          <w:rFonts w:cs="Times New Roman"/>
          <w:sz w:val="24"/>
          <w:szCs w:val="24"/>
        </w:rPr>
        <w:softHyphen/>
      </w:r>
      <w:r w:rsidRPr="002B68EB">
        <w:rPr>
          <w:rFonts w:cs="Times New Roman"/>
          <w:sz w:val="24"/>
          <w:szCs w:val="24"/>
        </w:rPr>
        <w:t>gionarnoye krovoobrashcheniye i mikrotsir</w:t>
      </w:r>
      <w:r>
        <w:rPr>
          <w:rFonts w:cs="Times New Roman"/>
          <w:sz w:val="24"/>
          <w:szCs w:val="24"/>
        </w:rPr>
        <w:softHyphen/>
      </w:r>
      <w:r w:rsidRPr="002B68EB">
        <w:rPr>
          <w:rFonts w:cs="Times New Roman"/>
          <w:sz w:val="24"/>
          <w:szCs w:val="24"/>
        </w:rPr>
        <w:t>kulyatsiya = Regional Blood Circulation and Microcirculation. 2020; 19 (3): 46-56. doi: 10.24884 / 1682-6655 2020-19-3-46-56 (In Russ.)].</w:t>
      </w:r>
    </w:p>
    <w:p w14:paraId="78D494BB"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11.</w:t>
      </w:r>
      <w:r w:rsidRPr="002B68EB">
        <w:rPr>
          <w:rFonts w:cs="Times New Roman"/>
          <w:sz w:val="24"/>
          <w:szCs w:val="24"/>
        </w:rPr>
        <w:tab/>
        <w:t xml:space="preserve">Katsanos AH, Palaiodimou L, Zand R, et al. The Impact of SARS-CoV-2 on Stroke Epidemiology and Care: A Meta-Analysis. </w:t>
      </w:r>
      <w:r w:rsidRPr="002B68EB">
        <w:rPr>
          <w:rFonts w:cs="Times New Roman"/>
          <w:sz w:val="24"/>
          <w:szCs w:val="24"/>
        </w:rPr>
        <w:t>Ann Neurol. 2021 Feb; 89 (2): 380-8.doi: 10.1002 / ana.25967. Epub 2020 Dec 9 .</w:t>
      </w:r>
    </w:p>
    <w:p w14:paraId="0E5AB2FD"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12.</w:t>
      </w:r>
      <w:r w:rsidRPr="002B68EB">
        <w:rPr>
          <w:rFonts w:cs="Times New Roman"/>
          <w:sz w:val="24"/>
          <w:szCs w:val="24"/>
        </w:rPr>
        <w:tab/>
        <w:t>Abootalebi S, Aertker BM, Andalibi MS, et al. Call to Action: SARS-CoV-2 and CerebrovAscularDisordErs (CASCADE). J Stroke Cerebrovasc Dis. 2020 Sep; 29 (9): 104938. doi:10.1016 / j.jstrokecerebro</w:t>
      </w:r>
      <w:r>
        <w:rPr>
          <w:rFonts w:cs="Times New Roman"/>
          <w:sz w:val="24"/>
          <w:szCs w:val="24"/>
        </w:rPr>
        <w:softHyphen/>
      </w:r>
      <w:r w:rsidRPr="002B68EB">
        <w:rPr>
          <w:rFonts w:cs="Times New Roman"/>
          <w:sz w:val="24"/>
          <w:szCs w:val="24"/>
        </w:rPr>
        <w:t>vasdis.2020.104938. Epub 2020 May 8 .</w:t>
      </w:r>
    </w:p>
    <w:p w14:paraId="48913A7F" w14:textId="77777777" w:rsidR="00DD566D" w:rsidRPr="002B68EB" w:rsidRDefault="00DD566D" w:rsidP="00DD566D">
      <w:pPr>
        <w:tabs>
          <w:tab w:val="left" w:pos="993"/>
        </w:tabs>
        <w:ind w:firstLine="567"/>
        <w:jc w:val="both"/>
        <w:rPr>
          <w:rFonts w:cs="Times New Roman"/>
          <w:sz w:val="24"/>
          <w:szCs w:val="24"/>
        </w:rPr>
      </w:pPr>
      <w:r w:rsidRPr="00B62084">
        <w:rPr>
          <w:rFonts w:cs="Times New Roman"/>
          <w:sz w:val="24"/>
          <w:szCs w:val="24"/>
          <w:lang w:val="fr-FR"/>
        </w:rPr>
        <w:t>13.</w:t>
      </w:r>
      <w:r w:rsidRPr="00B62084">
        <w:rPr>
          <w:rFonts w:cs="Times New Roman"/>
          <w:sz w:val="24"/>
          <w:szCs w:val="24"/>
          <w:lang w:val="fr-FR"/>
        </w:rPr>
        <w:tab/>
        <w:t xml:space="preserve">Beyrouti R, Adams ME, Benjamin L, et al. </w:t>
      </w:r>
      <w:r w:rsidRPr="002B68EB">
        <w:rPr>
          <w:rFonts w:cs="Times New Roman"/>
          <w:sz w:val="24"/>
          <w:szCs w:val="24"/>
        </w:rPr>
        <w:t>Characteristics of ischaemic stroke as</w:t>
      </w:r>
      <w:r>
        <w:rPr>
          <w:rFonts w:cs="Times New Roman"/>
          <w:sz w:val="24"/>
          <w:szCs w:val="24"/>
        </w:rPr>
        <w:softHyphen/>
      </w:r>
      <w:r w:rsidRPr="002B68EB">
        <w:rPr>
          <w:rFonts w:cs="Times New Roman"/>
          <w:sz w:val="24"/>
          <w:szCs w:val="24"/>
        </w:rPr>
        <w:t>sociated with COVID-19. J Neurol Neurosurg Psychiatry. 2020 Aug; 91 (8): 889-91. doi: 10.1136 / jnnp 2020 323586. Epub 2020 Apr 30 .</w:t>
      </w:r>
    </w:p>
    <w:p w14:paraId="067E08E2"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14.</w:t>
      </w:r>
      <w:r w:rsidRPr="002B68EB">
        <w:rPr>
          <w:rFonts w:cs="Times New Roman"/>
          <w:sz w:val="24"/>
          <w:szCs w:val="24"/>
        </w:rPr>
        <w:tab/>
        <w:t>Qureshi AI, Abd-Allah F, Al-Senani F, et al.Management of acute ischemic stroke in patients with COVID-19 infection: report of an international panel. Int J Stroke. 2020 Jul; 15 (5): 540-54. doi:10.1177 / 1747493020923234. Epub 2020 May 3.</w:t>
      </w:r>
    </w:p>
    <w:p w14:paraId="2C278B69"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15.</w:t>
      </w:r>
      <w:r w:rsidRPr="002B68EB">
        <w:rPr>
          <w:rFonts w:cs="Times New Roman"/>
          <w:sz w:val="24"/>
          <w:szCs w:val="24"/>
        </w:rPr>
        <w:tab/>
        <w:t>AHA / ASA Stroke Council Leader</w:t>
      </w:r>
      <w:r>
        <w:rPr>
          <w:rFonts w:cs="Times New Roman"/>
          <w:sz w:val="24"/>
          <w:szCs w:val="24"/>
        </w:rPr>
        <w:softHyphen/>
      </w:r>
      <w:r w:rsidRPr="002B68EB">
        <w:rPr>
          <w:rFonts w:cs="Times New Roman"/>
          <w:sz w:val="24"/>
          <w:szCs w:val="24"/>
        </w:rPr>
        <w:t>ship. Temporary Emergency Guidance to US Stroke Centers During the Coronavirus Dis</w:t>
      </w:r>
      <w:r>
        <w:rPr>
          <w:rFonts w:cs="Times New Roman"/>
          <w:sz w:val="24"/>
          <w:szCs w:val="24"/>
        </w:rPr>
        <w:softHyphen/>
      </w:r>
      <w:r w:rsidRPr="002B68EB">
        <w:rPr>
          <w:rFonts w:cs="Times New Roman"/>
          <w:sz w:val="24"/>
          <w:szCs w:val="24"/>
        </w:rPr>
        <w:t>ease 2019 (COVID-19) Pandemic: On Behalf of the American Heart Association / American Stroke Association Stroke Council Leadership. Stroke. 2020 Jun; 51 (6):1910-2.doi:10.1161/STROKEAHA.120.030023.Epub2020Apr1.</w:t>
      </w:r>
    </w:p>
    <w:p w14:paraId="041C15A9"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 xml:space="preserve"> 16.</w:t>
      </w:r>
      <w:r w:rsidRPr="002B68EB">
        <w:rPr>
          <w:rFonts w:cs="Times New Roman"/>
          <w:sz w:val="24"/>
          <w:szCs w:val="24"/>
        </w:rPr>
        <w:tab/>
        <w:t>Ghannam M, Alshaer Q, Al-Chalabi M, et al. Neurological involvement of corona</w:t>
      </w:r>
      <w:r>
        <w:rPr>
          <w:rFonts w:cs="Times New Roman"/>
          <w:sz w:val="24"/>
          <w:szCs w:val="24"/>
        </w:rPr>
        <w:softHyphen/>
      </w:r>
      <w:r w:rsidRPr="002B68EB">
        <w:rPr>
          <w:rFonts w:cs="Times New Roman"/>
          <w:sz w:val="24"/>
          <w:szCs w:val="24"/>
        </w:rPr>
        <w:t>virus disease 2019: a systematic review. J Neu</w:t>
      </w:r>
      <w:r>
        <w:rPr>
          <w:rFonts w:cs="Times New Roman"/>
          <w:sz w:val="24"/>
          <w:szCs w:val="24"/>
        </w:rPr>
        <w:softHyphen/>
      </w:r>
      <w:r w:rsidRPr="002B68EB">
        <w:rPr>
          <w:rFonts w:cs="Times New Roman"/>
          <w:sz w:val="24"/>
          <w:szCs w:val="24"/>
        </w:rPr>
        <w:t>rol. 2020 Nov; 267 (11): 3135-53.doi: 10.1007 / s00415-020-09990-2. Epub 2020 Jun 19.</w:t>
      </w:r>
    </w:p>
    <w:p w14:paraId="4477B80E"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17.</w:t>
      </w:r>
      <w:r w:rsidRPr="002B68EB">
        <w:rPr>
          <w:rFonts w:cs="Times New Roman"/>
          <w:sz w:val="24"/>
          <w:szCs w:val="24"/>
        </w:rPr>
        <w:tab/>
        <w:t>Avula A, Nalleballe K, Narula N, et al. COVID-19 presenting as stroke. Brain Be</w:t>
      </w:r>
      <w:r>
        <w:rPr>
          <w:rFonts w:cs="Times New Roman"/>
          <w:sz w:val="24"/>
          <w:szCs w:val="24"/>
        </w:rPr>
        <w:softHyphen/>
      </w:r>
      <w:r w:rsidRPr="002B68EB">
        <w:rPr>
          <w:rFonts w:cs="Times New Roman"/>
          <w:sz w:val="24"/>
          <w:szCs w:val="24"/>
        </w:rPr>
        <w:t>hav Immun. 2020 Jul; 87: 115-9.doi: 10.1016 / j.bbi.2020.04.077. Epub 2020 Apr 28</w:t>
      </w:r>
    </w:p>
    <w:p w14:paraId="3FDCCBC0"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18.</w:t>
      </w:r>
      <w:r w:rsidRPr="002B68EB">
        <w:rPr>
          <w:rFonts w:cs="Times New Roman"/>
          <w:sz w:val="24"/>
          <w:szCs w:val="24"/>
        </w:rPr>
        <w:tab/>
        <w:t>Aghayari Sheikh Neshin S, Shah</w:t>
      </w:r>
      <w:r>
        <w:rPr>
          <w:rFonts w:cs="Times New Roman"/>
          <w:sz w:val="24"/>
          <w:szCs w:val="24"/>
        </w:rPr>
        <w:softHyphen/>
      </w:r>
      <w:r w:rsidRPr="002B68EB">
        <w:rPr>
          <w:rFonts w:cs="Times New Roman"/>
          <w:sz w:val="24"/>
          <w:szCs w:val="24"/>
        </w:rPr>
        <w:t>jouei S, Koza E, et al. Stroke in SARS-CoV-2 Infection: A Pictorial Overview of the Pathoetiology. Front Cardiovasc Med. 2021 Mar 29; 8: 649922. doi: 10.3389 / fcvm.2021.649922. eCollection 2021.</w:t>
      </w:r>
    </w:p>
    <w:p w14:paraId="1481565A" w14:textId="77777777" w:rsidR="00DD566D" w:rsidRDefault="00DD566D" w:rsidP="00DD566D">
      <w:pPr>
        <w:tabs>
          <w:tab w:val="left" w:pos="993"/>
        </w:tabs>
        <w:ind w:firstLine="567"/>
        <w:jc w:val="both"/>
        <w:rPr>
          <w:rFonts w:cs="Times New Roman"/>
          <w:sz w:val="24"/>
          <w:szCs w:val="24"/>
        </w:rPr>
      </w:pPr>
      <w:r w:rsidRPr="002B68EB">
        <w:rPr>
          <w:rFonts w:cs="Times New Roman"/>
          <w:sz w:val="24"/>
          <w:szCs w:val="24"/>
        </w:rPr>
        <w:t>19.</w:t>
      </w:r>
      <w:r w:rsidRPr="002B68EB">
        <w:rPr>
          <w:rFonts w:cs="Times New Roman"/>
          <w:sz w:val="24"/>
          <w:szCs w:val="24"/>
        </w:rPr>
        <w:tab/>
        <w:t>Azimov A.T., Raximbaeva G.S., Azimov F.Z. et al Anticoagulant therapy in the prevention of stroke in patients with severe form of COVID-</w:t>
      </w:r>
    </w:p>
    <w:p w14:paraId="40DA66C1" w14:textId="77777777" w:rsidR="00DD566D" w:rsidRPr="002B68EB" w:rsidRDefault="00DD566D" w:rsidP="00DD566D">
      <w:pPr>
        <w:tabs>
          <w:tab w:val="left" w:pos="993"/>
        </w:tabs>
        <w:ind w:firstLine="567"/>
        <w:jc w:val="both"/>
        <w:rPr>
          <w:rFonts w:cs="Times New Roman"/>
          <w:sz w:val="24"/>
          <w:szCs w:val="24"/>
        </w:rPr>
      </w:pPr>
      <w:r w:rsidRPr="002B68EB">
        <w:rPr>
          <w:rFonts w:cs="Times New Roman"/>
          <w:sz w:val="24"/>
          <w:szCs w:val="24"/>
        </w:rPr>
        <w:t>19. Neurology, psychiatry, psychosomatics. 2021.tom 13.№5.</w:t>
      </w:r>
    </w:p>
    <w:p w14:paraId="15A4CC76" w14:textId="77777777" w:rsidR="00DD566D" w:rsidRDefault="00DD566D" w:rsidP="00DD566D">
      <w:pPr>
        <w:tabs>
          <w:tab w:val="left" w:pos="993"/>
        </w:tabs>
        <w:ind w:firstLine="567"/>
        <w:jc w:val="both"/>
        <w:rPr>
          <w:rFonts w:cs="Times New Roman"/>
          <w:sz w:val="24"/>
          <w:szCs w:val="24"/>
        </w:rPr>
        <w:sectPr w:rsidR="00DD566D" w:rsidSect="00D425D7">
          <w:type w:val="continuous"/>
          <w:pgSz w:w="11907" w:h="16840" w:code="9"/>
          <w:pgMar w:top="1418" w:right="1134" w:bottom="1134" w:left="1134" w:header="907" w:footer="794" w:gutter="0"/>
          <w:cols w:num="2" w:space="708"/>
          <w:docGrid w:linePitch="381"/>
        </w:sectPr>
      </w:pPr>
      <w:r w:rsidRPr="002B68EB">
        <w:rPr>
          <w:rFonts w:cs="Times New Roman"/>
          <w:sz w:val="24"/>
          <w:szCs w:val="24"/>
        </w:rPr>
        <w:lastRenderedPageBreak/>
        <w:t>20.</w:t>
      </w:r>
      <w:r w:rsidRPr="002B68EB">
        <w:rPr>
          <w:rFonts w:cs="Times New Roman"/>
          <w:sz w:val="24"/>
          <w:szCs w:val="24"/>
        </w:rPr>
        <w:tab/>
        <w:t>Yavelov I. S., Drapkina O. M. COVID-19: formation of hemostasis systems and features of antithrombotic therapy. Cardi</w:t>
      </w:r>
      <w:r>
        <w:rPr>
          <w:rFonts w:cs="Times New Roman"/>
          <w:sz w:val="24"/>
          <w:szCs w:val="24"/>
        </w:rPr>
        <w:softHyphen/>
      </w:r>
      <w:r w:rsidRPr="002B68EB">
        <w:rPr>
          <w:rFonts w:cs="Times New Roman"/>
          <w:sz w:val="24"/>
          <w:szCs w:val="24"/>
        </w:rPr>
        <w:t>ovascular therapy and prophylaxis. 2020; 19 (3): 2571. doi: 10.15829 / 1728-8800-2020-2571</w:t>
      </w:r>
    </w:p>
    <w:p w14:paraId="6E44963E" w14:textId="77777777" w:rsidR="00DD566D" w:rsidRPr="002B68EB" w:rsidRDefault="00DD566D" w:rsidP="00DD566D">
      <w:pPr>
        <w:tabs>
          <w:tab w:val="left" w:pos="993"/>
        </w:tabs>
        <w:ind w:firstLine="567"/>
        <w:jc w:val="both"/>
        <w:rPr>
          <w:rFonts w:cs="Times New Roman"/>
          <w:sz w:val="24"/>
          <w:szCs w:val="24"/>
        </w:rPr>
      </w:pPr>
    </w:p>
    <w:p w14:paraId="5844BE62" w14:textId="77777777" w:rsidR="00DD566D" w:rsidRPr="002B68EB" w:rsidRDefault="00DD566D" w:rsidP="00DD566D">
      <w:pPr>
        <w:ind w:firstLine="567"/>
        <w:jc w:val="both"/>
        <w:rPr>
          <w:rFonts w:cs="Times New Roman"/>
          <w:sz w:val="24"/>
          <w:szCs w:val="24"/>
        </w:rPr>
      </w:pPr>
    </w:p>
    <w:p w14:paraId="6048AB2A" w14:textId="77777777" w:rsidR="00DD566D" w:rsidRPr="002B68EB" w:rsidRDefault="00DD566D" w:rsidP="00DD566D">
      <w:pPr>
        <w:ind w:firstLine="567"/>
        <w:jc w:val="both"/>
        <w:rPr>
          <w:rFonts w:cs="Times New Roman"/>
          <w:sz w:val="24"/>
          <w:szCs w:val="24"/>
        </w:rPr>
      </w:pPr>
    </w:p>
    <w:p w14:paraId="5EDB43DF" w14:textId="77777777" w:rsidR="00DD566D" w:rsidRPr="00DA21C8" w:rsidRDefault="00DD566D" w:rsidP="00DD566D">
      <w:pPr>
        <w:ind w:firstLine="567"/>
        <w:jc w:val="both"/>
        <w:rPr>
          <w:rFonts w:cs="Times New Roman"/>
          <w:sz w:val="24"/>
          <w:szCs w:val="24"/>
          <w:lang w:val="uz-Latn-UZ"/>
        </w:rPr>
      </w:pPr>
    </w:p>
    <w:p w14:paraId="1CC7A525" w14:textId="77777777" w:rsidR="00DD566D" w:rsidRPr="00DA21C8" w:rsidRDefault="00DD566D" w:rsidP="00DD566D">
      <w:pPr>
        <w:ind w:firstLine="567"/>
        <w:jc w:val="both"/>
        <w:rPr>
          <w:rFonts w:cs="Times New Roman"/>
          <w:sz w:val="24"/>
          <w:szCs w:val="24"/>
          <w:lang w:val="uz-Latn-UZ"/>
        </w:rPr>
      </w:pPr>
    </w:p>
    <w:p w14:paraId="32173BD5" w14:textId="77777777" w:rsidR="00DD566D" w:rsidRPr="00DA21C8" w:rsidRDefault="00DD566D" w:rsidP="00DD566D">
      <w:pPr>
        <w:ind w:firstLine="567"/>
        <w:jc w:val="both"/>
        <w:rPr>
          <w:rFonts w:cs="Times New Roman"/>
          <w:sz w:val="24"/>
          <w:szCs w:val="24"/>
          <w:lang w:val="uz-Latn-UZ"/>
        </w:rPr>
      </w:pPr>
    </w:p>
    <w:p w14:paraId="405F277B" w14:textId="77777777" w:rsidR="00DD566D" w:rsidRPr="00E52DBB" w:rsidRDefault="00DD566D" w:rsidP="00DD566D">
      <w:pPr>
        <w:spacing w:line="264" w:lineRule="auto"/>
        <w:jc w:val="both"/>
        <w:rPr>
          <w:rFonts w:eastAsia="Calibri" w:cs="Times New Roman"/>
          <w:sz w:val="24"/>
          <w:szCs w:val="24"/>
          <w:lang w:val="uz-Cyrl-UZ"/>
        </w:rPr>
      </w:pPr>
      <w:r w:rsidRPr="00E52DBB">
        <w:rPr>
          <w:rFonts w:eastAsia="Calibri" w:cs="Times New Roman"/>
          <w:sz w:val="24"/>
          <w:szCs w:val="24"/>
          <w:lang w:val="uz-Cyrl-UZ"/>
        </w:rPr>
        <w:t>УДК:616.36-053.8:616-022:615.8</w:t>
      </w:r>
    </w:p>
    <w:p w14:paraId="1D7A7001" w14:textId="77777777" w:rsidR="00DD566D" w:rsidRDefault="00DD566D" w:rsidP="00DD566D">
      <w:pPr>
        <w:spacing w:line="264" w:lineRule="auto"/>
        <w:jc w:val="center"/>
        <w:rPr>
          <w:rFonts w:eastAsia="Calibri" w:cs="Times New Roman"/>
          <w:b/>
          <w:color w:val="000000"/>
          <w:sz w:val="24"/>
          <w:szCs w:val="24"/>
          <w:lang w:val="uz-Cyrl-UZ"/>
        </w:rPr>
      </w:pPr>
    </w:p>
    <w:p w14:paraId="7D27936D" w14:textId="77777777" w:rsidR="00DD566D" w:rsidRPr="00E52DBB" w:rsidRDefault="00DD566D" w:rsidP="00DD566D">
      <w:pPr>
        <w:pStyle w:val="1"/>
        <w:rPr>
          <w:rFonts w:eastAsia="Calibri"/>
        </w:rPr>
      </w:pPr>
      <w:bookmarkStart w:id="10" w:name="_Toc104745755"/>
      <w:r w:rsidRPr="00E52DBB">
        <w:rPr>
          <w:rFonts w:eastAsia="Calibri"/>
        </w:rPr>
        <w:t>CLINICAL AND BIOCHEMICAL PARAMETERS OF PATIENTS WITH COVID-19 WITH IMPAIRED LIVER FUNCTION BEFORE AND AFTER TREATMENT</w:t>
      </w:r>
      <w:bookmarkEnd w:id="10"/>
    </w:p>
    <w:p w14:paraId="724FBE39" w14:textId="77777777" w:rsidR="00DD566D" w:rsidRPr="00E52DBB" w:rsidRDefault="00DD566D" w:rsidP="00DD566D">
      <w:pPr>
        <w:spacing w:line="264" w:lineRule="auto"/>
        <w:ind w:firstLine="567"/>
        <w:jc w:val="both"/>
        <w:rPr>
          <w:rFonts w:eastAsia="Calibri" w:cs="Times New Roman"/>
          <w:b/>
          <w:color w:val="000000"/>
          <w:sz w:val="24"/>
          <w:szCs w:val="24"/>
          <w:lang w:val="uz-Cyrl-UZ"/>
        </w:rPr>
      </w:pPr>
    </w:p>
    <w:p w14:paraId="784173D6" w14:textId="77777777" w:rsidR="00DD566D" w:rsidRDefault="00DD566D" w:rsidP="00DD566D">
      <w:pPr>
        <w:autoSpaceDE w:val="0"/>
        <w:autoSpaceDN w:val="0"/>
        <w:adjustRightInd w:val="0"/>
        <w:spacing w:line="264" w:lineRule="auto"/>
        <w:jc w:val="center"/>
        <w:rPr>
          <w:rFonts w:eastAsia="Calibri" w:cs="Times New Roman"/>
          <w:b/>
          <w:color w:val="000000"/>
          <w:sz w:val="24"/>
          <w:szCs w:val="24"/>
          <w:lang w:val="uz-Cyrl-UZ"/>
        </w:rPr>
      </w:pPr>
      <w:r w:rsidRPr="00E52DBB">
        <w:rPr>
          <w:rFonts w:eastAsia="Calibri" w:cs="Times New Roman"/>
          <w:b/>
          <w:color w:val="000000"/>
          <w:sz w:val="24"/>
          <w:szCs w:val="24"/>
          <w:lang w:val="uz-Cyrl-UZ"/>
        </w:rPr>
        <w:t>Sobirova Guzal Naimovna, doctor of medical sciences, associate professor</w:t>
      </w:r>
    </w:p>
    <w:p w14:paraId="0205BE93" w14:textId="77777777" w:rsidR="00DD566D" w:rsidRPr="00E52DBB" w:rsidRDefault="00DD566D" w:rsidP="00DD566D">
      <w:pPr>
        <w:autoSpaceDE w:val="0"/>
        <w:autoSpaceDN w:val="0"/>
        <w:adjustRightInd w:val="0"/>
        <w:spacing w:line="264" w:lineRule="auto"/>
        <w:jc w:val="center"/>
        <w:rPr>
          <w:rFonts w:eastAsia="Calibri" w:cs="Times New Roman"/>
          <w:b/>
          <w:color w:val="000000"/>
          <w:sz w:val="24"/>
          <w:szCs w:val="24"/>
          <w:vertAlign w:val="superscript"/>
          <w:lang w:val="uz-Cyrl-UZ"/>
        </w:rPr>
      </w:pPr>
      <w:r w:rsidRPr="00E52DBB">
        <w:rPr>
          <w:rFonts w:eastAsia="Calibri" w:cs="Times New Roman"/>
          <w:b/>
          <w:color w:val="000000"/>
          <w:sz w:val="24"/>
          <w:szCs w:val="24"/>
          <w:lang w:val="uz-Cyrl-UZ"/>
        </w:rPr>
        <w:t>Bafoeva Zarnigor Orifovna</w:t>
      </w:r>
      <w:r>
        <w:rPr>
          <w:rFonts w:eastAsia="Calibri" w:cs="Times New Roman"/>
          <w:b/>
          <w:color w:val="000000"/>
          <w:sz w:val="24"/>
          <w:szCs w:val="24"/>
          <w:lang w:val="uz-Cyrl-UZ"/>
        </w:rPr>
        <w:t>,</w:t>
      </w:r>
      <w:r w:rsidRPr="002078A4">
        <w:rPr>
          <w:rFonts w:eastAsia="Calibri" w:cs="Times New Roman"/>
          <w:b/>
          <w:color w:val="000000"/>
          <w:sz w:val="24"/>
          <w:szCs w:val="24"/>
          <w:lang w:val="uz-Cyrl-UZ"/>
        </w:rPr>
        <w:t xml:space="preserve"> assistant</w:t>
      </w:r>
    </w:p>
    <w:p w14:paraId="316CBB2F" w14:textId="77777777" w:rsidR="00DD566D" w:rsidRPr="00E52DBB" w:rsidRDefault="00DD566D" w:rsidP="00DD566D">
      <w:pPr>
        <w:autoSpaceDE w:val="0"/>
        <w:autoSpaceDN w:val="0"/>
        <w:adjustRightInd w:val="0"/>
        <w:spacing w:line="264" w:lineRule="auto"/>
        <w:jc w:val="center"/>
        <w:rPr>
          <w:rFonts w:eastAsia="Calibri" w:cs="Times New Roman"/>
          <w:b/>
          <w:color w:val="000000"/>
          <w:sz w:val="24"/>
          <w:szCs w:val="24"/>
          <w:vertAlign w:val="superscript"/>
          <w:lang w:val="uz-Cyrl-UZ"/>
        </w:rPr>
      </w:pPr>
      <w:r w:rsidRPr="00E52DBB">
        <w:rPr>
          <w:rFonts w:eastAsia="Calibri" w:cs="Times New Roman"/>
          <w:b/>
          <w:color w:val="000000"/>
          <w:sz w:val="24"/>
          <w:szCs w:val="24"/>
          <w:lang w:val="uz-Cyrl-UZ"/>
        </w:rPr>
        <w:t>Usmankhodzhayeva Adiba Amirsaidovna</w:t>
      </w:r>
      <w:r>
        <w:rPr>
          <w:rFonts w:eastAsia="Calibri" w:cs="Times New Roman"/>
          <w:b/>
          <w:color w:val="000000"/>
          <w:sz w:val="24"/>
          <w:szCs w:val="24"/>
          <w:lang w:val="uz-Cyrl-UZ"/>
        </w:rPr>
        <w:t>,</w:t>
      </w:r>
      <w:r w:rsidRPr="002078A4">
        <w:rPr>
          <w:rFonts w:eastAsia="Calibri" w:cs="Times New Roman"/>
          <w:b/>
          <w:sz w:val="24"/>
          <w:szCs w:val="24"/>
          <w:lang w:val="uz-Cyrl-UZ"/>
        </w:rPr>
        <w:t xml:space="preserve"> </w:t>
      </w:r>
      <w:r w:rsidRPr="00E52DBB">
        <w:rPr>
          <w:rFonts w:eastAsia="Calibri" w:cs="Times New Roman"/>
          <w:b/>
          <w:sz w:val="24"/>
          <w:szCs w:val="24"/>
          <w:lang w:val="uz-Cyrl-UZ"/>
        </w:rPr>
        <w:t xml:space="preserve">PhD, </w:t>
      </w:r>
      <w:r w:rsidRPr="00E52DBB">
        <w:rPr>
          <w:rFonts w:eastAsia="Calibri" w:cs="Times New Roman"/>
          <w:b/>
          <w:color w:val="000000"/>
          <w:sz w:val="24"/>
          <w:szCs w:val="24"/>
          <w:lang w:val="uz-Cyrl-UZ"/>
        </w:rPr>
        <w:t>associate professor</w:t>
      </w:r>
    </w:p>
    <w:p w14:paraId="3355D33E" w14:textId="77777777" w:rsidR="00DD566D" w:rsidRPr="002078A4" w:rsidRDefault="00DD566D" w:rsidP="00DD566D">
      <w:pPr>
        <w:spacing w:line="264" w:lineRule="auto"/>
        <w:jc w:val="center"/>
        <w:rPr>
          <w:rFonts w:eastAsia="Calibri" w:cs="Times New Roman"/>
          <w:bCs/>
          <w:sz w:val="24"/>
          <w:szCs w:val="24"/>
          <w:lang w:val="uz-Cyrl-UZ"/>
        </w:rPr>
      </w:pPr>
      <w:r w:rsidRPr="00E52DBB">
        <w:rPr>
          <w:rFonts w:eastAsia="Calibri" w:cs="Times New Roman"/>
          <w:bCs/>
          <w:color w:val="000000"/>
          <w:sz w:val="24"/>
          <w:szCs w:val="24"/>
        </w:rPr>
        <w:t>Rehabilitation Department</w:t>
      </w:r>
      <w:r w:rsidRPr="00E52DBB">
        <w:rPr>
          <w:rFonts w:eastAsia="Calibri" w:cs="Times New Roman"/>
          <w:bCs/>
          <w:sz w:val="24"/>
          <w:szCs w:val="24"/>
          <w:lang w:val="uz-Cyrl-UZ"/>
        </w:rPr>
        <w:t xml:space="preserve">, </w:t>
      </w:r>
      <w:r w:rsidRPr="00E52DBB">
        <w:rPr>
          <w:rFonts w:eastAsia="Calibri" w:cs="Times New Roman"/>
          <w:bCs/>
          <w:color w:val="000000"/>
          <w:sz w:val="24"/>
          <w:szCs w:val="24"/>
        </w:rPr>
        <w:t>Ethnoscience</w:t>
      </w:r>
      <w:r w:rsidRPr="00E52DBB">
        <w:rPr>
          <w:rFonts w:eastAsia="Calibri" w:cs="Times New Roman"/>
          <w:bCs/>
          <w:sz w:val="24"/>
          <w:szCs w:val="24"/>
          <w:lang w:val="uz-Cyrl-UZ"/>
        </w:rPr>
        <w:t xml:space="preserve"> and Physical Education</w:t>
      </w:r>
      <w:r w:rsidRPr="00E52DBB">
        <w:rPr>
          <w:rFonts w:eastAsia="Calibri" w:cs="Times New Roman"/>
          <w:bCs/>
          <w:sz w:val="24"/>
          <w:szCs w:val="24"/>
          <w:lang w:val="en-GB"/>
        </w:rPr>
        <w:t>,</w:t>
      </w:r>
    </w:p>
    <w:p w14:paraId="7E95C1D8" w14:textId="77777777" w:rsidR="00DD566D" w:rsidRPr="00E52DBB" w:rsidRDefault="00DD566D" w:rsidP="00DD566D">
      <w:pPr>
        <w:spacing w:line="264" w:lineRule="auto"/>
        <w:jc w:val="center"/>
        <w:rPr>
          <w:rFonts w:eastAsia="Calibri" w:cs="Times New Roman"/>
          <w:bCs/>
          <w:sz w:val="24"/>
          <w:szCs w:val="24"/>
          <w:lang w:val="en-GB"/>
        </w:rPr>
      </w:pPr>
      <w:r w:rsidRPr="00E52DBB">
        <w:rPr>
          <w:rFonts w:eastAsia="Calibri" w:cs="Times New Roman"/>
          <w:bCs/>
          <w:sz w:val="24"/>
          <w:szCs w:val="24"/>
          <w:lang w:val="uz-Cyrl-UZ"/>
        </w:rPr>
        <w:t xml:space="preserve">Tashkent </w:t>
      </w:r>
      <w:r w:rsidRPr="002078A4">
        <w:rPr>
          <w:rFonts w:eastAsia="Calibri" w:cs="Times New Roman"/>
          <w:bCs/>
          <w:sz w:val="24"/>
          <w:szCs w:val="24"/>
          <w:lang w:val="uz-Cyrl-UZ"/>
        </w:rPr>
        <w:t>medical</w:t>
      </w:r>
      <w:r w:rsidRPr="002078A4">
        <w:rPr>
          <w:rFonts w:eastAsia="Calibri" w:cs="Times New Roman"/>
          <w:bCs/>
          <w:sz w:val="24"/>
          <w:szCs w:val="24"/>
          <w:lang w:val="en-GB"/>
        </w:rPr>
        <w:t xml:space="preserve"> </w:t>
      </w:r>
      <w:r w:rsidRPr="002078A4">
        <w:rPr>
          <w:rFonts w:eastAsia="Calibri" w:cs="Times New Roman"/>
          <w:bCs/>
          <w:sz w:val="24"/>
          <w:szCs w:val="24"/>
          <w:lang w:val="uz-Cyrl-UZ"/>
        </w:rPr>
        <w:t>academy</w:t>
      </w:r>
      <w:r w:rsidRPr="00E52DBB">
        <w:rPr>
          <w:rFonts w:eastAsia="Calibri" w:cs="Times New Roman"/>
          <w:bCs/>
          <w:sz w:val="24"/>
          <w:szCs w:val="24"/>
          <w:lang w:val="en-GB"/>
        </w:rPr>
        <w:t xml:space="preserve">, </w:t>
      </w:r>
      <w:r w:rsidRPr="00E52DBB">
        <w:rPr>
          <w:rFonts w:eastAsia="Calibri" w:cs="Times New Roman"/>
          <w:bCs/>
          <w:sz w:val="24"/>
          <w:szCs w:val="24"/>
          <w:lang w:val="uz-Cyrl-UZ"/>
        </w:rPr>
        <w:t>Tashkent</w:t>
      </w:r>
      <w:r w:rsidRPr="00E52DBB">
        <w:rPr>
          <w:rFonts w:eastAsia="Calibri" w:cs="Times New Roman"/>
          <w:bCs/>
          <w:sz w:val="24"/>
          <w:szCs w:val="24"/>
          <w:lang w:val="en-GB"/>
        </w:rPr>
        <w:t>, Uzbekistan</w:t>
      </w:r>
    </w:p>
    <w:p w14:paraId="523A70E1" w14:textId="77777777" w:rsidR="00DD566D" w:rsidRPr="00E52DBB" w:rsidRDefault="00DD566D" w:rsidP="00DD566D">
      <w:pPr>
        <w:spacing w:line="264" w:lineRule="auto"/>
        <w:ind w:firstLine="567"/>
        <w:jc w:val="both"/>
        <w:rPr>
          <w:rFonts w:eastAsia="Calibri" w:cs="Times New Roman"/>
          <w:b/>
          <w:sz w:val="24"/>
          <w:szCs w:val="24"/>
        </w:rPr>
      </w:pPr>
    </w:p>
    <w:p w14:paraId="270959DB" w14:textId="77777777" w:rsidR="00DD566D" w:rsidRPr="00E52DBB" w:rsidRDefault="00DD566D" w:rsidP="00DD566D">
      <w:pPr>
        <w:autoSpaceDE w:val="0"/>
        <w:autoSpaceDN w:val="0"/>
        <w:adjustRightInd w:val="0"/>
        <w:spacing w:line="264" w:lineRule="auto"/>
        <w:ind w:firstLine="567"/>
        <w:jc w:val="both"/>
        <w:rPr>
          <w:rFonts w:eastAsia="Calibri" w:cs="Times New Roman"/>
          <w:i/>
          <w:iCs/>
          <w:sz w:val="24"/>
          <w:szCs w:val="24"/>
        </w:rPr>
      </w:pPr>
      <w:r w:rsidRPr="00E52DBB">
        <w:rPr>
          <w:rFonts w:eastAsia="Calibri" w:cs="Times New Roman"/>
          <w:b/>
          <w:i/>
          <w:iCs/>
          <w:sz w:val="24"/>
          <w:szCs w:val="24"/>
        </w:rPr>
        <w:t>Annotation.</w:t>
      </w:r>
      <w:r w:rsidRPr="002078A4">
        <w:rPr>
          <w:rFonts w:eastAsia="Calibri" w:cs="Times New Roman"/>
          <w:b/>
          <w:i/>
          <w:iCs/>
          <w:sz w:val="24"/>
          <w:szCs w:val="24"/>
        </w:rPr>
        <w:t xml:space="preserve"> </w:t>
      </w:r>
      <w:r w:rsidRPr="00E52DBB">
        <w:rPr>
          <w:rFonts w:eastAsia="Calibri" w:cs="Times New Roman"/>
          <w:i/>
          <w:iCs/>
          <w:sz w:val="24"/>
          <w:szCs w:val="24"/>
        </w:rPr>
        <w:t>In this article, the clinical and biochemical parameters of patients with coronavirus infection and elevated levels of liver enzymes were studied before and after 3 months of drug therapy. Postcovid symptoms were analyzed.</w:t>
      </w:r>
    </w:p>
    <w:p w14:paraId="2CC8F28A" w14:textId="77777777" w:rsidR="00DD566D" w:rsidRPr="00E52DBB" w:rsidRDefault="00DD566D" w:rsidP="00DD566D">
      <w:pPr>
        <w:spacing w:line="264" w:lineRule="auto"/>
        <w:ind w:firstLine="567"/>
        <w:jc w:val="both"/>
        <w:rPr>
          <w:rFonts w:eastAsia="Calibri" w:cs="Times New Roman"/>
          <w:i/>
          <w:iCs/>
          <w:sz w:val="24"/>
          <w:szCs w:val="24"/>
        </w:rPr>
      </w:pPr>
      <w:r w:rsidRPr="00E52DBB">
        <w:rPr>
          <w:rFonts w:eastAsia="Calibri" w:cs="Times New Roman"/>
          <w:b/>
          <w:i/>
          <w:iCs/>
          <w:sz w:val="24"/>
          <w:szCs w:val="24"/>
        </w:rPr>
        <w:t>Keywords:</w:t>
      </w:r>
      <w:r w:rsidRPr="00E52DBB">
        <w:rPr>
          <w:rFonts w:eastAsia="Calibri" w:cs="Times New Roman"/>
          <w:i/>
          <w:iCs/>
          <w:sz w:val="24"/>
          <w:szCs w:val="24"/>
        </w:rPr>
        <w:t xml:space="preserve"> COVID-19, AlAT, AsAT.</w:t>
      </w:r>
    </w:p>
    <w:p w14:paraId="340D52A7" w14:textId="77777777" w:rsidR="00DD566D" w:rsidRDefault="00DD566D" w:rsidP="00DD566D">
      <w:pPr>
        <w:spacing w:line="264" w:lineRule="auto"/>
        <w:jc w:val="both"/>
        <w:rPr>
          <w:rFonts w:eastAsia="Calibri" w:cs="Times New Roman"/>
          <w:b/>
          <w:sz w:val="24"/>
          <w:szCs w:val="24"/>
          <w:lang w:val="uz-Cyrl-UZ"/>
        </w:rPr>
      </w:pPr>
    </w:p>
    <w:p w14:paraId="7E28A52F" w14:textId="77777777" w:rsidR="00DD566D" w:rsidRDefault="00DD566D" w:rsidP="00DD566D">
      <w:pPr>
        <w:spacing w:line="264" w:lineRule="auto"/>
        <w:jc w:val="both"/>
        <w:rPr>
          <w:rFonts w:eastAsia="Calibri" w:cs="Times New Roman"/>
          <w:b/>
          <w:sz w:val="24"/>
          <w:szCs w:val="24"/>
          <w:lang w:val="uz-Cyrl-UZ"/>
        </w:rPr>
      </w:pPr>
    </w:p>
    <w:p w14:paraId="7855F814" w14:textId="77777777" w:rsidR="00DD566D" w:rsidRPr="004666C7" w:rsidRDefault="00DD566D" w:rsidP="00DD566D">
      <w:pPr>
        <w:jc w:val="center"/>
        <w:rPr>
          <w:b/>
          <w:bCs/>
          <w:sz w:val="24"/>
          <w:szCs w:val="20"/>
        </w:rPr>
      </w:pPr>
      <w:r w:rsidRPr="004666C7">
        <w:rPr>
          <w:b/>
          <w:bCs/>
          <w:sz w:val="24"/>
          <w:szCs w:val="20"/>
        </w:rPr>
        <w:t>COVID-19 БИЛАН КАСАЛЛАНГАН, ЖИГАР ФАОЛИЯТИ БУЗИЛГАН БЕМОРЛАРДА, ДАВОЛАНИШДАН ОЛДИНГИ ВА КЕЙИНГИ КЛИНИК - БИОКИМЁВИЙ КЎРСАТКИЧЛАРИ</w:t>
      </w:r>
    </w:p>
    <w:p w14:paraId="151B08C9" w14:textId="77777777" w:rsidR="00DD566D" w:rsidRPr="00E52DBB" w:rsidRDefault="00DD566D" w:rsidP="00DD566D">
      <w:pPr>
        <w:spacing w:line="264" w:lineRule="auto"/>
        <w:ind w:firstLine="567"/>
        <w:jc w:val="both"/>
        <w:rPr>
          <w:rFonts w:eastAsia="Calibri" w:cs="Times New Roman"/>
          <w:sz w:val="24"/>
          <w:szCs w:val="24"/>
          <w:lang w:val="uz-Cyrl-UZ"/>
        </w:rPr>
      </w:pPr>
    </w:p>
    <w:p w14:paraId="492CC1B0" w14:textId="77777777" w:rsidR="00DD566D" w:rsidRDefault="00DD566D" w:rsidP="00DD566D">
      <w:pPr>
        <w:spacing w:line="264" w:lineRule="auto"/>
        <w:jc w:val="center"/>
        <w:rPr>
          <w:rFonts w:eastAsia="Calibri" w:cs="Times New Roman"/>
          <w:b/>
          <w:color w:val="000000"/>
          <w:sz w:val="24"/>
          <w:szCs w:val="24"/>
          <w:lang w:val="uz-Cyrl-UZ"/>
        </w:rPr>
      </w:pPr>
      <w:r w:rsidRPr="00E52DBB">
        <w:rPr>
          <w:rFonts w:eastAsia="Calibri" w:cs="Times New Roman"/>
          <w:b/>
          <w:color w:val="000000"/>
          <w:sz w:val="24"/>
          <w:szCs w:val="24"/>
          <w:lang w:val="uz-Cyrl-UZ"/>
        </w:rPr>
        <w:t>Собирова Гўзал Наимовна, т.ф.д, доцент</w:t>
      </w:r>
    </w:p>
    <w:p w14:paraId="550F5F64" w14:textId="77777777" w:rsidR="00DD566D" w:rsidRPr="00E52DBB" w:rsidRDefault="00DD566D" w:rsidP="00DD566D">
      <w:pPr>
        <w:spacing w:line="264" w:lineRule="auto"/>
        <w:jc w:val="center"/>
        <w:rPr>
          <w:rFonts w:eastAsia="Calibri" w:cs="Times New Roman"/>
          <w:b/>
          <w:color w:val="000000"/>
          <w:sz w:val="24"/>
          <w:szCs w:val="24"/>
          <w:vertAlign w:val="superscript"/>
          <w:lang w:val="uz-Cyrl-UZ"/>
        </w:rPr>
      </w:pPr>
      <w:r w:rsidRPr="00E52DBB">
        <w:rPr>
          <w:rFonts w:eastAsia="Calibri" w:cs="Times New Roman"/>
          <w:b/>
          <w:color w:val="000000"/>
          <w:sz w:val="24"/>
          <w:szCs w:val="24"/>
          <w:lang w:val="uz-Cyrl-UZ"/>
        </w:rPr>
        <w:t>Бафоева Зарнигор Орифовна,</w:t>
      </w:r>
      <w:r w:rsidRPr="00E52DBB">
        <w:rPr>
          <w:rFonts w:eastAsia="Calibri" w:cs="Times New Roman"/>
          <w:b/>
          <w:color w:val="000000"/>
          <w:sz w:val="24"/>
          <w:szCs w:val="24"/>
          <w:vertAlign w:val="superscript"/>
          <w:lang w:val="uz-Cyrl-UZ"/>
        </w:rPr>
        <w:t xml:space="preserve"> </w:t>
      </w:r>
      <w:r w:rsidRPr="00E52DBB">
        <w:rPr>
          <w:rFonts w:eastAsia="Calibri" w:cs="Times New Roman"/>
          <w:b/>
          <w:color w:val="000000"/>
          <w:sz w:val="24"/>
          <w:szCs w:val="24"/>
          <w:lang w:val="uz-Cyrl-UZ"/>
        </w:rPr>
        <w:t>ассистент</w:t>
      </w:r>
    </w:p>
    <w:p w14:paraId="49CB7318" w14:textId="77777777" w:rsidR="00DD566D" w:rsidRPr="00E52DBB" w:rsidRDefault="00DD566D" w:rsidP="00DD566D">
      <w:pPr>
        <w:spacing w:line="264" w:lineRule="auto"/>
        <w:jc w:val="center"/>
        <w:rPr>
          <w:rFonts w:eastAsia="Calibri" w:cs="Times New Roman"/>
          <w:b/>
          <w:color w:val="000000"/>
          <w:sz w:val="24"/>
          <w:szCs w:val="24"/>
          <w:vertAlign w:val="superscript"/>
          <w:lang w:val="uz-Cyrl-UZ"/>
        </w:rPr>
      </w:pPr>
      <w:r w:rsidRPr="00E52DBB">
        <w:rPr>
          <w:rFonts w:eastAsia="Calibri" w:cs="Times New Roman"/>
          <w:b/>
          <w:color w:val="000000"/>
          <w:sz w:val="24"/>
          <w:szCs w:val="24"/>
          <w:lang w:val="uz-Cyrl-UZ"/>
        </w:rPr>
        <w:t>Усманходжаева Адиба Амирсаидовна</w:t>
      </w:r>
      <w:r>
        <w:rPr>
          <w:rFonts w:eastAsia="Calibri" w:cs="Times New Roman"/>
          <w:b/>
          <w:color w:val="000000"/>
          <w:sz w:val="24"/>
          <w:szCs w:val="24"/>
          <w:lang w:val="uz-Cyrl-UZ"/>
        </w:rPr>
        <w:t xml:space="preserve">, </w:t>
      </w:r>
      <w:r w:rsidRPr="00E52DBB">
        <w:rPr>
          <w:rFonts w:eastAsia="Calibri" w:cs="Times New Roman"/>
          <w:b/>
          <w:color w:val="000000"/>
          <w:sz w:val="24"/>
          <w:szCs w:val="24"/>
          <w:lang w:val="uz-Cyrl-UZ"/>
        </w:rPr>
        <w:t>т.ф.н, доцент</w:t>
      </w:r>
    </w:p>
    <w:p w14:paraId="1D0B2B8C" w14:textId="77777777" w:rsidR="00DD566D" w:rsidRPr="00E52DBB" w:rsidRDefault="00DD566D" w:rsidP="00DD566D">
      <w:pPr>
        <w:spacing w:line="264" w:lineRule="auto"/>
        <w:jc w:val="center"/>
        <w:rPr>
          <w:rFonts w:eastAsia="Calibri" w:cs="Times New Roman"/>
          <w:bCs/>
          <w:color w:val="000000"/>
          <w:sz w:val="24"/>
          <w:szCs w:val="24"/>
          <w:lang w:val="uz-Cyrl-UZ"/>
        </w:rPr>
      </w:pPr>
      <w:r w:rsidRPr="00E52DBB">
        <w:rPr>
          <w:rFonts w:eastAsia="Calibri" w:cs="Times New Roman"/>
          <w:bCs/>
          <w:color w:val="000000"/>
          <w:sz w:val="24"/>
          <w:szCs w:val="24"/>
          <w:lang w:val="uz-Cyrl-UZ"/>
        </w:rPr>
        <w:t>Реабилитология, халқ табобати ва жисмоний тарбия кафедраси.</w:t>
      </w:r>
    </w:p>
    <w:p w14:paraId="50926CCE" w14:textId="77777777" w:rsidR="00DD566D" w:rsidRPr="00E52DBB" w:rsidRDefault="00DD566D" w:rsidP="00DD566D">
      <w:pPr>
        <w:spacing w:line="264" w:lineRule="auto"/>
        <w:jc w:val="center"/>
        <w:rPr>
          <w:rFonts w:eastAsia="Calibri" w:cs="Times New Roman"/>
          <w:bCs/>
          <w:color w:val="000000"/>
          <w:sz w:val="24"/>
          <w:szCs w:val="24"/>
          <w:lang w:val="uz-Cyrl-UZ"/>
        </w:rPr>
      </w:pPr>
      <w:r w:rsidRPr="00E52DBB">
        <w:rPr>
          <w:rFonts w:eastAsia="Calibri" w:cs="Times New Roman"/>
          <w:bCs/>
          <w:color w:val="000000"/>
          <w:sz w:val="24"/>
          <w:szCs w:val="24"/>
          <w:lang w:val="uz-Cyrl-UZ"/>
        </w:rPr>
        <w:t>Тошкент Тиббиёт Академияси. Тошкент, Ўзбекистон</w:t>
      </w:r>
    </w:p>
    <w:p w14:paraId="1C64F79A" w14:textId="77777777" w:rsidR="00DD566D" w:rsidRDefault="00DD566D" w:rsidP="00DD566D">
      <w:pPr>
        <w:spacing w:line="264" w:lineRule="auto"/>
        <w:ind w:firstLine="567"/>
        <w:jc w:val="both"/>
        <w:rPr>
          <w:rFonts w:eastAsia="Calibri" w:cs="Times New Roman"/>
          <w:b/>
          <w:color w:val="000000"/>
          <w:sz w:val="24"/>
          <w:szCs w:val="24"/>
          <w:lang w:val="uz-Cyrl-UZ"/>
        </w:rPr>
      </w:pPr>
    </w:p>
    <w:p w14:paraId="687B7D79" w14:textId="77777777" w:rsidR="00DD566D" w:rsidRPr="00E52DBB" w:rsidRDefault="00DD566D" w:rsidP="00DD566D">
      <w:pPr>
        <w:spacing w:line="264" w:lineRule="auto"/>
        <w:ind w:firstLine="567"/>
        <w:jc w:val="both"/>
        <w:rPr>
          <w:rFonts w:eastAsia="Calibri" w:cs="Times New Roman"/>
          <w:i/>
          <w:iCs/>
          <w:color w:val="000000"/>
          <w:sz w:val="24"/>
          <w:szCs w:val="24"/>
          <w:lang w:val="uz-Cyrl-UZ"/>
        </w:rPr>
      </w:pPr>
      <w:r w:rsidRPr="00E52DBB">
        <w:rPr>
          <w:rFonts w:eastAsia="Calibri" w:cs="Times New Roman"/>
          <w:b/>
          <w:i/>
          <w:iCs/>
          <w:color w:val="000000"/>
          <w:sz w:val="24"/>
          <w:szCs w:val="24"/>
          <w:lang w:val="uz-Cyrl-UZ"/>
        </w:rPr>
        <w:t xml:space="preserve">Аннотация. </w:t>
      </w:r>
      <w:r w:rsidRPr="00E52DBB">
        <w:rPr>
          <w:rFonts w:eastAsia="Calibri" w:cs="Times New Roman"/>
          <w:i/>
          <w:iCs/>
          <w:color w:val="000000"/>
          <w:sz w:val="24"/>
          <w:szCs w:val="24"/>
          <w:lang w:val="uz-Cyrl-UZ"/>
        </w:rPr>
        <w:t xml:space="preserve">Ушбу мақолада коронавирус билан касалланган, жигар ферментлари ошган  ва 3 ойлик медикаментоз давони ўтган беморларнинг </w:t>
      </w:r>
      <w:r w:rsidRPr="00E52DBB">
        <w:rPr>
          <w:rFonts w:eastAsia="Calibri" w:cs="Times New Roman"/>
          <w:i/>
          <w:iCs/>
          <w:sz w:val="24"/>
          <w:szCs w:val="24"/>
          <w:lang w:val="uz-Cyrl-UZ"/>
        </w:rPr>
        <w:t>клиник - биокимёвий кўрсаткичлари</w:t>
      </w:r>
      <w:r w:rsidRPr="00E52DBB">
        <w:rPr>
          <w:rFonts w:eastAsia="Calibri" w:cs="Times New Roman"/>
          <w:i/>
          <w:iCs/>
          <w:color w:val="000000"/>
          <w:sz w:val="24"/>
          <w:szCs w:val="24"/>
          <w:lang w:val="uz-Cyrl-UZ"/>
        </w:rPr>
        <w:t xml:space="preserve"> ўрганилган. Улардаги постковид симптомлар таҳлили ўтказилган. </w:t>
      </w:r>
    </w:p>
    <w:p w14:paraId="64898371" w14:textId="77777777" w:rsidR="00DD566D" w:rsidRPr="00E52DBB" w:rsidRDefault="00DD566D" w:rsidP="00DD566D">
      <w:pPr>
        <w:spacing w:line="264" w:lineRule="auto"/>
        <w:ind w:firstLine="567"/>
        <w:jc w:val="both"/>
        <w:rPr>
          <w:rFonts w:eastAsia="Calibri" w:cs="Times New Roman"/>
          <w:i/>
          <w:iCs/>
          <w:sz w:val="24"/>
          <w:szCs w:val="24"/>
          <w:lang w:val="uz-Cyrl-UZ"/>
        </w:rPr>
      </w:pPr>
      <w:r w:rsidRPr="00E52DBB">
        <w:rPr>
          <w:rFonts w:eastAsia="Calibri" w:cs="Times New Roman"/>
          <w:b/>
          <w:i/>
          <w:iCs/>
          <w:color w:val="000000"/>
          <w:sz w:val="24"/>
          <w:szCs w:val="24"/>
          <w:lang w:val="uz-Cyrl-UZ"/>
        </w:rPr>
        <w:t xml:space="preserve">Калит сўзлари: </w:t>
      </w:r>
      <w:r w:rsidRPr="00E52DBB">
        <w:rPr>
          <w:rFonts w:eastAsia="Calibri" w:cs="Times New Roman"/>
          <w:i/>
          <w:iCs/>
          <w:sz w:val="24"/>
          <w:szCs w:val="24"/>
          <w:lang w:val="uz-Cyrl-UZ"/>
        </w:rPr>
        <w:t>COVID-19, АлАТ ,  АсАТ.</w:t>
      </w:r>
    </w:p>
    <w:p w14:paraId="0A8462E4" w14:textId="77777777" w:rsidR="00DD566D" w:rsidRPr="00E52DBB" w:rsidRDefault="00DD566D" w:rsidP="00DD566D">
      <w:pPr>
        <w:spacing w:line="264" w:lineRule="auto"/>
        <w:ind w:firstLine="567"/>
        <w:jc w:val="both"/>
        <w:rPr>
          <w:rFonts w:eastAsia="Calibri" w:cs="Times New Roman"/>
          <w:b/>
          <w:color w:val="000000"/>
          <w:sz w:val="24"/>
          <w:szCs w:val="24"/>
          <w:lang w:val="uz-Cyrl-UZ"/>
        </w:rPr>
      </w:pPr>
    </w:p>
    <w:p w14:paraId="13D27A54" w14:textId="77777777" w:rsidR="00DD566D" w:rsidRPr="00B62084" w:rsidRDefault="00DD566D" w:rsidP="00DD566D">
      <w:pPr>
        <w:spacing w:line="264" w:lineRule="auto"/>
        <w:jc w:val="both"/>
        <w:rPr>
          <w:rFonts w:eastAsia="Calibri" w:cs="Times New Roman"/>
          <w:b/>
          <w:sz w:val="24"/>
          <w:szCs w:val="24"/>
          <w:lang w:val="uz-Cyrl-UZ"/>
        </w:rPr>
      </w:pPr>
    </w:p>
    <w:p w14:paraId="0CABB685" w14:textId="77777777" w:rsidR="00DD566D" w:rsidRPr="00E52DBB" w:rsidRDefault="00DD566D" w:rsidP="00DD566D">
      <w:pPr>
        <w:spacing w:line="264" w:lineRule="auto"/>
        <w:jc w:val="center"/>
        <w:rPr>
          <w:rFonts w:eastAsia="Calibri" w:cs="Times New Roman"/>
          <w:b/>
          <w:sz w:val="24"/>
          <w:szCs w:val="24"/>
          <w:lang w:val="ru-RU"/>
        </w:rPr>
      </w:pPr>
      <w:r w:rsidRPr="00E52DBB">
        <w:rPr>
          <w:rFonts w:eastAsia="Calibri" w:cs="Times New Roman"/>
          <w:b/>
          <w:sz w:val="24"/>
          <w:szCs w:val="24"/>
          <w:lang w:val="ru-RU"/>
        </w:rPr>
        <w:t xml:space="preserve">КЛИНИКО-БИОХИМИЧЕСКИЕ ПАРАМЕТРЫ БОЛЬНЫХ С </w:t>
      </w:r>
      <w:r w:rsidRPr="00E52DBB">
        <w:rPr>
          <w:rFonts w:eastAsia="Calibri" w:cs="Times New Roman"/>
          <w:b/>
          <w:sz w:val="24"/>
          <w:szCs w:val="24"/>
        </w:rPr>
        <w:t>COVID</w:t>
      </w:r>
      <w:r w:rsidRPr="00E52DBB">
        <w:rPr>
          <w:rFonts w:eastAsia="Calibri" w:cs="Times New Roman"/>
          <w:b/>
          <w:sz w:val="24"/>
          <w:szCs w:val="24"/>
          <w:lang w:val="ru-RU"/>
        </w:rPr>
        <w:t>-19 С НАРУШЕНИЕМ ФУНКЦИИ ПЕЧЕНИ ДО И ПОСЛЕ ЛЕЧЕНИЯ</w:t>
      </w:r>
    </w:p>
    <w:p w14:paraId="3285C32A" w14:textId="77777777" w:rsidR="00DD566D" w:rsidRPr="00E52DBB" w:rsidRDefault="00DD566D" w:rsidP="00DD566D">
      <w:pPr>
        <w:spacing w:line="264" w:lineRule="auto"/>
        <w:ind w:firstLine="567"/>
        <w:jc w:val="both"/>
        <w:rPr>
          <w:rFonts w:eastAsia="Calibri" w:cs="Times New Roman"/>
          <w:color w:val="000000"/>
          <w:sz w:val="24"/>
          <w:szCs w:val="24"/>
          <w:lang w:val="ru-RU"/>
        </w:rPr>
      </w:pPr>
    </w:p>
    <w:p w14:paraId="509CFA99" w14:textId="77777777" w:rsidR="00DD566D" w:rsidRDefault="00DD566D" w:rsidP="00DD566D">
      <w:pPr>
        <w:spacing w:line="264" w:lineRule="auto"/>
        <w:jc w:val="center"/>
        <w:rPr>
          <w:rFonts w:eastAsia="Calibri" w:cs="Times New Roman"/>
          <w:b/>
          <w:color w:val="000000"/>
          <w:sz w:val="24"/>
          <w:szCs w:val="24"/>
          <w:lang w:val="uz-Cyrl-UZ"/>
        </w:rPr>
      </w:pPr>
      <w:r w:rsidRPr="00E52DBB">
        <w:rPr>
          <w:rFonts w:eastAsia="Calibri" w:cs="Times New Roman"/>
          <w:b/>
          <w:color w:val="000000"/>
          <w:sz w:val="24"/>
          <w:szCs w:val="24"/>
          <w:lang w:val="uz-Cyrl-UZ"/>
        </w:rPr>
        <w:t>Собирова Гузал Наимовна, д.м.н</w:t>
      </w:r>
      <w:r w:rsidRPr="00E52DBB">
        <w:rPr>
          <w:rFonts w:eastAsia="Calibri" w:cs="Times New Roman"/>
          <w:b/>
          <w:color w:val="000000"/>
          <w:sz w:val="24"/>
          <w:szCs w:val="24"/>
          <w:lang w:val="ru-RU"/>
        </w:rPr>
        <w:t>.</w:t>
      </w:r>
      <w:r w:rsidRPr="00E52DBB">
        <w:rPr>
          <w:rFonts w:eastAsia="Calibri" w:cs="Times New Roman"/>
          <w:b/>
          <w:color w:val="000000"/>
          <w:sz w:val="24"/>
          <w:szCs w:val="24"/>
          <w:lang w:val="uz-Cyrl-UZ"/>
        </w:rPr>
        <w:t>, доцент</w:t>
      </w:r>
    </w:p>
    <w:p w14:paraId="31469F57" w14:textId="77777777" w:rsidR="00DD566D" w:rsidRPr="00E52DBB" w:rsidRDefault="00DD566D" w:rsidP="00DD566D">
      <w:pPr>
        <w:spacing w:line="264" w:lineRule="auto"/>
        <w:jc w:val="center"/>
        <w:rPr>
          <w:rFonts w:eastAsia="Calibri" w:cs="Times New Roman"/>
          <w:b/>
          <w:color w:val="000000"/>
          <w:sz w:val="24"/>
          <w:szCs w:val="24"/>
          <w:vertAlign w:val="superscript"/>
          <w:lang w:val="uz-Cyrl-UZ"/>
        </w:rPr>
      </w:pPr>
      <w:r w:rsidRPr="00E52DBB">
        <w:rPr>
          <w:rFonts w:eastAsia="Calibri" w:cs="Times New Roman"/>
          <w:b/>
          <w:color w:val="000000"/>
          <w:sz w:val="24"/>
          <w:szCs w:val="24"/>
          <w:lang w:val="uz-Cyrl-UZ"/>
        </w:rPr>
        <w:t>Бафоева Зарнигор Орифовна</w:t>
      </w:r>
      <w:r>
        <w:rPr>
          <w:rFonts w:eastAsia="Calibri" w:cs="Times New Roman"/>
          <w:b/>
          <w:color w:val="000000"/>
          <w:sz w:val="24"/>
          <w:szCs w:val="24"/>
          <w:lang w:val="uz-Cyrl-UZ"/>
        </w:rPr>
        <w:t>,</w:t>
      </w:r>
      <w:r w:rsidRPr="00E52DBB">
        <w:rPr>
          <w:rFonts w:eastAsia="Calibri" w:cs="Times New Roman"/>
          <w:b/>
          <w:color w:val="000000"/>
          <w:sz w:val="24"/>
          <w:szCs w:val="24"/>
          <w:vertAlign w:val="superscript"/>
          <w:lang w:val="uz-Cyrl-UZ"/>
        </w:rPr>
        <w:t xml:space="preserve"> </w:t>
      </w:r>
      <w:r w:rsidRPr="00E52DBB">
        <w:rPr>
          <w:rFonts w:eastAsia="Calibri" w:cs="Times New Roman"/>
          <w:b/>
          <w:color w:val="000000"/>
          <w:sz w:val="24"/>
          <w:szCs w:val="24"/>
          <w:lang w:val="uz-Cyrl-UZ"/>
        </w:rPr>
        <w:t>ассистент</w:t>
      </w:r>
    </w:p>
    <w:p w14:paraId="7D5BABB0" w14:textId="77777777" w:rsidR="00DD566D" w:rsidRPr="00E52DBB" w:rsidRDefault="00DD566D" w:rsidP="00DD566D">
      <w:pPr>
        <w:spacing w:line="264" w:lineRule="auto"/>
        <w:jc w:val="center"/>
        <w:rPr>
          <w:rFonts w:eastAsia="Calibri" w:cs="Times New Roman"/>
          <w:b/>
          <w:color w:val="000000"/>
          <w:sz w:val="24"/>
          <w:szCs w:val="24"/>
          <w:lang w:val="uz-Cyrl-UZ"/>
        </w:rPr>
      </w:pPr>
      <w:r w:rsidRPr="00E52DBB">
        <w:rPr>
          <w:rFonts w:eastAsia="Calibri" w:cs="Times New Roman"/>
          <w:b/>
          <w:color w:val="000000"/>
          <w:sz w:val="24"/>
          <w:szCs w:val="24"/>
          <w:lang w:val="uz-Cyrl-UZ"/>
        </w:rPr>
        <w:t>Усманходжаева Адиба Амирсаидовна</w:t>
      </w:r>
      <w:r>
        <w:rPr>
          <w:rFonts w:eastAsia="Calibri" w:cs="Times New Roman"/>
          <w:b/>
          <w:color w:val="000000"/>
          <w:sz w:val="24"/>
          <w:szCs w:val="24"/>
          <w:lang w:val="uz-Cyrl-UZ"/>
        </w:rPr>
        <w:t xml:space="preserve">, </w:t>
      </w:r>
      <w:r w:rsidRPr="00E52DBB">
        <w:rPr>
          <w:rFonts w:eastAsia="Calibri" w:cs="Times New Roman"/>
          <w:b/>
          <w:color w:val="000000"/>
          <w:sz w:val="24"/>
          <w:szCs w:val="24"/>
          <w:lang w:val="uz-Cyrl-UZ"/>
        </w:rPr>
        <w:t>к.м.н</w:t>
      </w:r>
      <w:r w:rsidRPr="00E52DBB">
        <w:rPr>
          <w:rFonts w:eastAsia="Calibri" w:cs="Times New Roman"/>
          <w:b/>
          <w:color w:val="000000"/>
          <w:sz w:val="24"/>
          <w:szCs w:val="24"/>
          <w:lang w:val="ru-RU"/>
        </w:rPr>
        <w:t>.</w:t>
      </w:r>
      <w:r w:rsidRPr="00E52DBB">
        <w:rPr>
          <w:rFonts w:eastAsia="Calibri" w:cs="Times New Roman"/>
          <w:b/>
          <w:color w:val="000000"/>
          <w:sz w:val="24"/>
          <w:szCs w:val="24"/>
          <w:lang w:val="uz-Cyrl-UZ"/>
        </w:rPr>
        <w:t>, доцент</w:t>
      </w:r>
    </w:p>
    <w:p w14:paraId="40D66C09" w14:textId="77777777" w:rsidR="00DD566D" w:rsidRPr="00E52DBB" w:rsidRDefault="00DD566D" w:rsidP="00DD566D">
      <w:pPr>
        <w:spacing w:line="264" w:lineRule="auto"/>
        <w:jc w:val="center"/>
        <w:rPr>
          <w:rFonts w:eastAsia="Calibri" w:cs="Times New Roman"/>
          <w:bCs/>
          <w:color w:val="000000"/>
          <w:sz w:val="24"/>
          <w:szCs w:val="24"/>
          <w:lang w:val="uz-Cyrl-UZ"/>
        </w:rPr>
      </w:pPr>
      <w:r w:rsidRPr="00E52DBB">
        <w:rPr>
          <w:rFonts w:eastAsia="Calibri" w:cs="Times New Roman"/>
          <w:bCs/>
          <w:color w:val="000000"/>
          <w:sz w:val="24"/>
          <w:szCs w:val="24"/>
          <w:lang w:val="uz-Cyrl-UZ"/>
        </w:rPr>
        <w:lastRenderedPageBreak/>
        <w:t>Кафедра реабилитологии, народной медицины и физической культуры</w:t>
      </w:r>
    </w:p>
    <w:p w14:paraId="7CFB5ABA" w14:textId="77777777" w:rsidR="00DD566D" w:rsidRPr="00E52DBB" w:rsidRDefault="00DD566D" w:rsidP="00DD566D">
      <w:pPr>
        <w:spacing w:line="264" w:lineRule="auto"/>
        <w:jc w:val="center"/>
        <w:rPr>
          <w:rFonts w:eastAsia="Calibri" w:cs="Times New Roman"/>
          <w:bCs/>
          <w:color w:val="000000"/>
          <w:sz w:val="24"/>
          <w:szCs w:val="24"/>
          <w:lang w:val="uz-Cyrl-UZ"/>
        </w:rPr>
      </w:pPr>
      <w:r w:rsidRPr="00E52DBB">
        <w:rPr>
          <w:rFonts w:eastAsia="Calibri" w:cs="Times New Roman"/>
          <w:bCs/>
          <w:color w:val="000000"/>
          <w:sz w:val="24"/>
          <w:szCs w:val="24"/>
          <w:lang w:val="uz-Cyrl-UZ"/>
        </w:rPr>
        <w:t>Ташкентская медицинская академия,  Ташкент, Узбекистан</w:t>
      </w:r>
    </w:p>
    <w:p w14:paraId="51D47A05" w14:textId="77777777" w:rsidR="00DD566D" w:rsidRPr="00E52DBB" w:rsidRDefault="00DD566D" w:rsidP="00DD566D">
      <w:pPr>
        <w:spacing w:line="264" w:lineRule="auto"/>
        <w:ind w:firstLine="567"/>
        <w:jc w:val="both"/>
        <w:rPr>
          <w:rFonts w:eastAsia="Calibri" w:cs="Times New Roman"/>
          <w:b/>
          <w:color w:val="000000"/>
          <w:sz w:val="24"/>
          <w:szCs w:val="24"/>
          <w:lang w:val="uz-Cyrl-UZ"/>
        </w:rPr>
      </w:pPr>
    </w:p>
    <w:p w14:paraId="5F59F3BF" w14:textId="77777777" w:rsidR="00DD566D" w:rsidRPr="00E52DBB" w:rsidRDefault="00DD566D" w:rsidP="00DD566D">
      <w:pPr>
        <w:spacing w:line="264" w:lineRule="auto"/>
        <w:ind w:firstLine="567"/>
        <w:jc w:val="both"/>
        <w:rPr>
          <w:rFonts w:eastAsia="Calibri" w:cs="Times New Roman"/>
          <w:i/>
          <w:iCs/>
          <w:color w:val="000000"/>
          <w:sz w:val="24"/>
          <w:szCs w:val="24"/>
          <w:lang w:val="uz-Cyrl-UZ"/>
        </w:rPr>
      </w:pPr>
      <w:r w:rsidRPr="00E52DBB">
        <w:rPr>
          <w:rFonts w:eastAsia="Calibri" w:cs="Times New Roman"/>
          <w:b/>
          <w:i/>
          <w:iCs/>
          <w:color w:val="000000"/>
          <w:sz w:val="24"/>
          <w:szCs w:val="24"/>
          <w:lang w:val="uz-Cyrl-UZ"/>
        </w:rPr>
        <w:t>Аннотация.</w:t>
      </w:r>
      <w:r w:rsidRPr="00E52DBB">
        <w:rPr>
          <w:rFonts w:eastAsia="Calibri" w:cs="Times New Roman"/>
          <w:i/>
          <w:iCs/>
          <w:color w:val="000000"/>
          <w:sz w:val="24"/>
          <w:szCs w:val="24"/>
          <w:lang w:val="uz-Cyrl-UZ"/>
        </w:rPr>
        <w:t xml:space="preserve"> В этой статье были изучены клинико-биохимические показатели больных с коронавирусной инфекцией и повышенным уровнем печеночных ферментов до и после 3 месяцев медикаментозной терапии. Был проведен анализ постковидных симптомов.</w:t>
      </w:r>
    </w:p>
    <w:p w14:paraId="18E8CFBD" w14:textId="77777777" w:rsidR="00DD566D" w:rsidRPr="00E52DBB" w:rsidRDefault="00DD566D" w:rsidP="00DD566D">
      <w:pPr>
        <w:spacing w:line="264" w:lineRule="auto"/>
        <w:ind w:firstLine="567"/>
        <w:jc w:val="both"/>
        <w:rPr>
          <w:rFonts w:eastAsia="Calibri" w:cs="Times New Roman"/>
          <w:i/>
          <w:iCs/>
          <w:color w:val="000000"/>
          <w:sz w:val="24"/>
          <w:szCs w:val="24"/>
          <w:lang w:val="uz-Cyrl-UZ"/>
        </w:rPr>
      </w:pPr>
      <w:r w:rsidRPr="00E52DBB">
        <w:rPr>
          <w:rFonts w:eastAsia="Calibri" w:cs="Times New Roman"/>
          <w:b/>
          <w:i/>
          <w:iCs/>
          <w:color w:val="000000"/>
          <w:sz w:val="24"/>
          <w:szCs w:val="24"/>
          <w:lang w:val="uz-Cyrl-UZ"/>
        </w:rPr>
        <w:t>Ключевые слова:</w:t>
      </w:r>
      <w:r w:rsidRPr="00E52DBB">
        <w:rPr>
          <w:rFonts w:eastAsia="Calibri" w:cs="Times New Roman"/>
          <w:i/>
          <w:iCs/>
          <w:color w:val="000000"/>
          <w:sz w:val="24"/>
          <w:szCs w:val="24"/>
          <w:lang w:val="uz-Cyrl-UZ"/>
        </w:rPr>
        <w:t xml:space="preserve"> COVID-19, AлАТ, AсАТ.</w:t>
      </w:r>
    </w:p>
    <w:p w14:paraId="367647F9" w14:textId="77777777" w:rsidR="00DD566D" w:rsidRPr="00E52DBB" w:rsidRDefault="00DD566D" w:rsidP="00DD566D">
      <w:pPr>
        <w:spacing w:line="264" w:lineRule="auto"/>
        <w:ind w:firstLine="567"/>
        <w:jc w:val="both"/>
        <w:rPr>
          <w:rFonts w:eastAsia="Calibri" w:cs="Times New Roman"/>
          <w:color w:val="000000"/>
          <w:sz w:val="24"/>
          <w:szCs w:val="24"/>
          <w:lang w:val="uz-Cyrl-UZ"/>
        </w:rPr>
      </w:pPr>
    </w:p>
    <w:p w14:paraId="72B3EBC7" w14:textId="77777777" w:rsidR="00DD566D" w:rsidRDefault="00DD566D" w:rsidP="00DD566D">
      <w:pPr>
        <w:spacing w:line="276" w:lineRule="auto"/>
        <w:ind w:firstLine="567"/>
        <w:jc w:val="both"/>
        <w:rPr>
          <w:rFonts w:eastAsia="Calibri" w:cs="Times New Roman"/>
          <w:b/>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7B6926B4"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b/>
          <w:sz w:val="24"/>
          <w:szCs w:val="24"/>
        </w:rPr>
        <w:t>Relevance</w:t>
      </w:r>
      <w:r w:rsidRPr="002078A4">
        <w:rPr>
          <w:rFonts w:eastAsia="Calibri" w:cs="Times New Roman"/>
          <w:b/>
          <w:sz w:val="24"/>
          <w:szCs w:val="24"/>
        </w:rPr>
        <w:t xml:space="preserve">. </w:t>
      </w:r>
      <w:r w:rsidRPr="00E52DBB">
        <w:rPr>
          <w:rFonts w:eastAsia="Calibri" w:cs="Times New Roman"/>
          <w:sz w:val="24"/>
          <w:szCs w:val="24"/>
        </w:rPr>
        <w:t>The pandemic caused by SARS-CoV-2 (COVID-19) is a serious prob</w:t>
      </w:r>
      <w:r>
        <w:rPr>
          <w:rFonts w:eastAsia="Calibri" w:cs="Times New Roman"/>
          <w:sz w:val="24"/>
          <w:szCs w:val="24"/>
        </w:rPr>
        <w:softHyphen/>
      </w:r>
      <w:r w:rsidRPr="00E52DBB">
        <w:rPr>
          <w:rFonts w:eastAsia="Calibri" w:cs="Times New Roman"/>
          <w:sz w:val="24"/>
          <w:szCs w:val="24"/>
        </w:rPr>
        <w:t>lem for the world medical and practical health system. In many countries, health profession</w:t>
      </w:r>
      <w:r>
        <w:rPr>
          <w:rFonts w:eastAsia="Calibri" w:cs="Times New Roman"/>
          <w:sz w:val="24"/>
          <w:szCs w:val="24"/>
        </w:rPr>
        <w:softHyphen/>
      </w:r>
      <w:r w:rsidRPr="00E52DBB">
        <w:rPr>
          <w:rFonts w:eastAsia="Calibri" w:cs="Times New Roman"/>
          <w:sz w:val="24"/>
          <w:szCs w:val="24"/>
        </w:rPr>
        <w:t>als are considering not only the treatment of the acute stage of the disease, but also the means and methods of recovery and return of patients to a normative lifestyle. In patients who have experienced a new coronavirus in</w:t>
      </w:r>
      <w:r>
        <w:rPr>
          <w:rFonts w:eastAsia="Calibri" w:cs="Times New Roman"/>
          <w:sz w:val="24"/>
          <w:szCs w:val="24"/>
        </w:rPr>
        <w:softHyphen/>
      </w:r>
      <w:r w:rsidRPr="00E52DBB">
        <w:rPr>
          <w:rFonts w:eastAsia="Calibri" w:cs="Times New Roman"/>
          <w:sz w:val="24"/>
          <w:szCs w:val="24"/>
        </w:rPr>
        <w:t>fection, the issues of medical rehabilitation have been interest to many countries, medical specialties. A lot of researchs were carried out by scientists from around the world. Ap</w:t>
      </w:r>
      <w:r>
        <w:rPr>
          <w:rFonts w:eastAsia="Calibri" w:cs="Times New Roman"/>
          <w:sz w:val="24"/>
          <w:szCs w:val="24"/>
        </w:rPr>
        <w:softHyphen/>
      </w:r>
      <w:r w:rsidRPr="00E52DBB">
        <w:rPr>
          <w:rFonts w:eastAsia="Calibri" w:cs="Times New Roman"/>
          <w:sz w:val="24"/>
          <w:szCs w:val="24"/>
        </w:rPr>
        <w:t>proaches and methods of medical rehabilita</w:t>
      </w:r>
      <w:r>
        <w:rPr>
          <w:rFonts w:eastAsia="Calibri" w:cs="Times New Roman"/>
          <w:sz w:val="24"/>
          <w:szCs w:val="24"/>
        </w:rPr>
        <w:softHyphen/>
      </w:r>
      <w:r w:rsidRPr="00E52DBB">
        <w:rPr>
          <w:rFonts w:eastAsia="Calibri" w:cs="Times New Roman"/>
          <w:sz w:val="24"/>
          <w:szCs w:val="24"/>
        </w:rPr>
        <w:t>tion are different, but all scientists are sur</w:t>
      </w:r>
      <w:r>
        <w:rPr>
          <w:rFonts w:eastAsia="Calibri" w:cs="Times New Roman"/>
          <w:sz w:val="24"/>
          <w:szCs w:val="24"/>
        </w:rPr>
        <w:softHyphen/>
      </w:r>
      <w:r w:rsidRPr="00E52DBB">
        <w:rPr>
          <w:rFonts w:eastAsia="Calibri" w:cs="Times New Roman"/>
          <w:sz w:val="24"/>
          <w:szCs w:val="24"/>
        </w:rPr>
        <w:t>prised that there is a need for it [3].</w:t>
      </w:r>
    </w:p>
    <w:p w14:paraId="0BFEB983"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sz w:val="24"/>
          <w:szCs w:val="24"/>
        </w:rPr>
        <w:t>G.E. Ivanova and others (2020) [1] after an acute period of coronavirus infection, the first two months write that breathing is the best time to recover, which they believe is the ther</w:t>
      </w:r>
      <w:r>
        <w:rPr>
          <w:rFonts w:eastAsia="Calibri" w:cs="Times New Roman"/>
          <w:sz w:val="24"/>
          <w:szCs w:val="24"/>
        </w:rPr>
        <w:softHyphen/>
      </w:r>
      <w:r w:rsidRPr="00E52DBB">
        <w:rPr>
          <w:rFonts w:eastAsia="Calibri" w:cs="Times New Roman"/>
          <w:sz w:val="24"/>
          <w:szCs w:val="24"/>
        </w:rPr>
        <w:t>apeutic window period. In order to plan a per</w:t>
      </w:r>
      <w:r>
        <w:rPr>
          <w:rFonts w:eastAsia="Calibri" w:cs="Times New Roman"/>
          <w:sz w:val="24"/>
          <w:szCs w:val="24"/>
        </w:rPr>
        <w:softHyphen/>
      </w:r>
      <w:r w:rsidRPr="00E52DBB">
        <w:rPr>
          <w:rFonts w:eastAsia="Calibri" w:cs="Times New Roman"/>
          <w:sz w:val="24"/>
          <w:szCs w:val="24"/>
        </w:rPr>
        <w:t>sonal medical rehabilitation program and as</w:t>
      </w:r>
      <w:r>
        <w:rPr>
          <w:rFonts w:eastAsia="Calibri" w:cs="Times New Roman"/>
          <w:sz w:val="24"/>
          <w:szCs w:val="24"/>
        </w:rPr>
        <w:softHyphen/>
      </w:r>
      <w:r w:rsidRPr="00E52DBB">
        <w:rPr>
          <w:rFonts w:eastAsia="Calibri" w:cs="Times New Roman"/>
          <w:sz w:val="24"/>
          <w:szCs w:val="24"/>
        </w:rPr>
        <w:t>sess the safety of planned rehabilitation activi</w:t>
      </w:r>
      <w:r>
        <w:rPr>
          <w:rFonts w:eastAsia="Calibri" w:cs="Times New Roman"/>
          <w:sz w:val="24"/>
          <w:szCs w:val="24"/>
        </w:rPr>
        <w:softHyphen/>
      </w:r>
      <w:r w:rsidRPr="00E52DBB">
        <w:rPr>
          <w:rFonts w:eastAsia="Calibri" w:cs="Times New Roman"/>
          <w:sz w:val="24"/>
          <w:szCs w:val="24"/>
        </w:rPr>
        <w:t>ties, it is necessary to check patients with COVID-19. A.N. Razumav and others. (2020), rehabilitation measures significantly restore respiratory function in patients, improve qual</w:t>
      </w:r>
      <w:r>
        <w:rPr>
          <w:rFonts w:eastAsia="Calibri" w:cs="Times New Roman"/>
          <w:sz w:val="24"/>
          <w:szCs w:val="24"/>
        </w:rPr>
        <w:softHyphen/>
      </w:r>
      <w:r w:rsidRPr="00E52DBB">
        <w:rPr>
          <w:rFonts w:eastAsia="Calibri" w:cs="Times New Roman"/>
          <w:sz w:val="24"/>
          <w:szCs w:val="24"/>
        </w:rPr>
        <w:t>ity of life, temporarily reduce disability dura</w:t>
      </w:r>
      <w:r>
        <w:rPr>
          <w:rFonts w:eastAsia="Calibri" w:cs="Times New Roman"/>
          <w:sz w:val="24"/>
          <w:szCs w:val="24"/>
        </w:rPr>
        <w:softHyphen/>
      </w:r>
      <w:r w:rsidRPr="00E52DBB">
        <w:rPr>
          <w:rFonts w:eastAsia="Calibri" w:cs="Times New Roman"/>
          <w:sz w:val="24"/>
          <w:szCs w:val="24"/>
        </w:rPr>
        <w:t>tion and primary disability cases. Physical ex</w:t>
      </w:r>
      <w:r>
        <w:rPr>
          <w:rFonts w:eastAsia="Calibri" w:cs="Times New Roman"/>
          <w:sz w:val="24"/>
          <w:szCs w:val="24"/>
        </w:rPr>
        <w:softHyphen/>
      </w:r>
      <w:r w:rsidRPr="00E52DBB">
        <w:rPr>
          <w:rFonts w:eastAsia="Calibri" w:cs="Times New Roman"/>
          <w:sz w:val="24"/>
          <w:szCs w:val="24"/>
        </w:rPr>
        <w:t>ercises are the basis of rehabilitation programs for pulmonic patients, depending on their im</w:t>
      </w:r>
      <w:r>
        <w:rPr>
          <w:rFonts w:eastAsia="Calibri" w:cs="Times New Roman"/>
          <w:sz w:val="24"/>
          <w:szCs w:val="24"/>
        </w:rPr>
        <w:softHyphen/>
      </w:r>
      <w:r w:rsidRPr="00E52DBB">
        <w:rPr>
          <w:rFonts w:eastAsia="Calibri" w:cs="Times New Roman"/>
          <w:sz w:val="24"/>
          <w:szCs w:val="24"/>
        </w:rPr>
        <w:t>pact, intensity, time and location of the lesion. Physical exercise has a positive effect on phys</w:t>
      </w:r>
      <w:r>
        <w:rPr>
          <w:rFonts w:eastAsia="Calibri" w:cs="Times New Roman"/>
          <w:sz w:val="24"/>
          <w:szCs w:val="24"/>
        </w:rPr>
        <w:softHyphen/>
      </w:r>
      <w:r w:rsidRPr="00E52DBB">
        <w:rPr>
          <w:rFonts w:eastAsia="Calibri" w:cs="Times New Roman"/>
          <w:sz w:val="24"/>
          <w:szCs w:val="24"/>
        </w:rPr>
        <w:t>ical, psychological health and quality of life in patients with COVID-19[2].</w:t>
      </w:r>
    </w:p>
    <w:p w14:paraId="461F7C47"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sz w:val="24"/>
          <w:szCs w:val="24"/>
        </w:rPr>
        <w:t>Given the scale of the pandemic out</w:t>
      </w:r>
      <w:r>
        <w:rPr>
          <w:rFonts w:eastAsia="Calibri" w:cs="Times New Roman"/>
          <w:sz w:val="24"/>
          <w:szCs w:val="24"/>
        </w:rPr>
        <w:softHyphen/>
      </w:r>
      <w:r w:rsidRPr="00E52DBB">
        <w:rPr>
          <w:rFonts w:eastAsia="Calibri" w:cs="Times New Roman"/>
          <w:sz w:val="24"/>
          <w:szCs w:val="24"/>
        </w:rPr>
        <w:t xml:space="preserve">break, thousands of people will need medical </w:t>
      </w:r>
      <w:r w:rsidRPr="00E52DBB">
        <w:rPr>
          <w:rFonts w:eastAsia="Calibri" w:cs="Times New Roman"/>
          <w:sz w:val="24"/>
          <w:szCs w:val="24"/>
        </w:rPr>
        <w:t>rehabilitation, which encourages the health care system to develop effective and cost-ef</w:t>
      </w:r>
      <w:r>
        <w:rPr>
          <w:rFonts w:eastAsia="Calibri" w:cs="Times New Roman"/>
          <w:sz w:val="24"/>
          <w:szCs w:val="24"/>
        </w:rPr>
        <w:softHyphen/>
      </w:r>
      <w:r w:rsidRPr="00E52DBB">
        <w:rPr>
          <w:rFonts w:eastAsia="Calibri" w:cs="Times New Roman"/>
          <w:sz w:val="24"/>
          <w:szCs w:val="24"/>
        </w:rPr>
        <w:t>fective methods in turn. It should be said that in patients who has undergone severe pneumo</w:t>
      </w:r>
      <w:r>
        <w:rPr>
          <w:rFonts w:eastAsia="Calibri" w:cs="Times New Roman"/>
          <w:sz w:val="24"/>
          <w:szCs w:val="24"/>
        </w:rPr>
        <w:softHyphen/>
      </w:r>
      <w:r w:rsidRPr="00E52DBB">
        <w:rPr>
          <w:rFonts w:eastAsia="Calibri" w:cs="Times New Roman"/>
          <w:sz w:val="24"/>
          <w:szCs w:val="24"/>
        </w:rPr>
        <w:t>nia, there is a decrease in physical movement, work capacity and quality of life, which ulti</w:t>
      </w:r>
      <w:r>
        <w:rPr>
          <w:rFonts w:eastAsia="Calibri" w:cs="Times New Roman"/>
          <w:sz w:val="24"/>
          <w:szCs w:val="24"/>
        </w:rPr>
        <w:softHyphen/>
      </w:r>
      <w:r w:rsidRPr="00E52DBB">
        <w:rPr>
          <w:rFonts w:eastAsia="Calibri" w:cs="Times New Roman"/>
          <w:sz w:val="24"/>
          <w:szCs w:val="24"/>
        </w:rPr>
        <w:t>mately indicates the economic importance of medical rehabilitation [5].</w:t>
      </w:r>
    </w:p>
    <w:p w14:paraId="40EF97A5"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sz w:val="24"/>
          <w:szCs w:val="24"/>
        </w:rPr>
        <w:t>Each patient with coronavirus, regard</w:t>
      </w:r>
      <w:r>
        <w:rPr>
          <w:rFonts w:eastAsia="Calibri" w:cs="Times New Roman"/>
          <w:sz w:val="24"/>
          <w:szCs w:val="24"/>
        </w:rPr>
        <w:softHyphen/>
      </w:r>
      <w:r w:rsidRPr="00E52DBB">
        <w:rPr>
          <w:rFonts w:eastAsia="Calibri" w:cs="Times New Roman"/>
          <w:sz w:val="24"/>
          <w:szCs w:val="24"/>
        </w:rPr>
        <w:t>less of the severity of the disease, must un</w:t>
      </w:r>
      <w:r>
        <w:rPr>
          <w:rFonts w:eastAsia="Calibri" w:cs="Times New Roman"/>
          <w:sz w:val="24"/>
          <w:szCs w:val="24"/>
        </w:rPr>
        <w:softHyphen/>
      </w:r>
      <w:r w:rsidRPr="00E52DBB">
        <w:rPr>
          <w:rFonts w:eastAsia="Calibri" w:cs="Times New Roman"/>
          <w:sz w:val="24"/>
          <w:szCs w:val="24"/>
        </w:rPr>
        <w:t>dergo rehabilitation. Lack of rehabilitation this is not only a problem of neighboring countries, but also a huge gap of Uzbekistan.</w:t>
      </w:r>
    </w:p>
    <w:p w14:paraId="42996557"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b/>
          <w:sz w:val="24"/>
          <w:szCs w:val="24"/>
        </w:rPr>
        <w:t>Aim of the study</w:t>
      </w:r>
      <w:r w:rsidRPr="00E52DBB">
        <w:rPr>
          <w:rFonts w:eastAsia="Calibri" w:cs="Times New Roman"/>
          <w:sz w:val="24"/>
          <w:szCs w:val="24"/>
        </w:rPr>
        <w:t>: to identify post-trau</w:t>
      </w:r>
      <w:r>
        <w:rPr>
          <w:rFonts w:eastAsia="Calibri" w:cs="Times New Roman"/>
          <w:sz w:val="24"/>
          <w:szCs w:val="24"/>
        </w:rPr>
        <w:softHyphen/>
      </w:r>
      <w:r w:rsidRPr="00E52DBB">
        <w:rPr>
          <w:rFonts w:eastAsia="Calibri" w:cs="Times New Roman"/>
          <w:sz w:val="24"/>
          <w:szCs w:val="24"/>
        </w:rPr>
        <w:t>matic syndromes in patients with COVID-19, after 3 months of medicamentous treatment, and to recommend a differentiated rehabilita</w:t>
      </w:r>
      <w:r>
        <w:rPr>
          <w:rFonts w:eastAsia="Calibri" w:cs="Times New Roman"/>
          <w:sz w:val="24"/>
          <w:szCs w:val="24"/>
        </w:rPr>
        <w:softHyphen/>
      </w:r>
      <w:r w:rsidRPr="00E52DBB">
        <w:rPr>
          <w:rFonts w:eastAsia="Calibri" w:cs="Times New Roman"/>
          <w:sz w:val="24"/>
          <w:szCs w:val="24"/>
        </w:rPr>
        <w:t>tion program to them.</w:t>
      </w:r>
    </w:p>
    <w:p w14:paraId="11D190A0"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b/>
          <w:sz w:val="24"/>
          <w:szCs w:val="24"/>
        </w:rPr>
        <w:t>Materials and methods of the study</w:t>
      </w:r>
      <w:r w:rsidRPr="00E52DBB">
        <w:rPr>
          <w:rFonts w:eastAsia="Calibri" w:cs="Times New Roman"/>
          <w:sz w:val="24"/>
          <w:szCs w:val="24"/>
        </w:rPr>
        <w:t>: in our study, Casals with an increase in cytolytic indices of 110 units were selected. They re</w:t>
      </w:r>
      <w:r>
        <w:rPr>
          <w:rFonts w:eastAsia="Calibri" w:cs="Times New Roman"/>
          <w:sz w:val="24"/>
          <w:szCs w:val="24"/>
        </w:rPr>
        <w:softHyphen/>
      </w:r>
      <w:r w:rsidRPr="00E52DBB">
        <w:rPr>
          <w:rFonts w:eastAsia="Calibri" w:cs="Times New Roman"/>
          <w:sz w:val="24"/>
          <w:szCs w:val="24"/>
        </w:rPr>
        <w:t>ceived ursodezoxyholic acid (250 mg, daily dose 10-15 mg/kg, 2-3 times) for 3 months. Af</w:t>
      </w:r>
      <w:r>
        <w:rPr>
          <w:rFonts w:eastAsia="Calibri" w:cs="Times New Roman"/>
          <w:sz w:val="24"/>
          <w:szCs w:val="24"/>
        </w:rPr>
        <w:softHyphen/>
      </w:r>
      <w:r w:rsidRPr="00E52DBB">
        <w:rPr>
          <w:rFonts w:eastAsia="Calibri" w:cs="Times New Roman"/>
          <w:sz w:val="24"/>
          <w:szCs w:val="24"/>
        </w:rPr>
        <w:t>ter 90 days, a re-survey and laboratory exami</w:t>
      </w:r>
      <w:r>
        <w:rPr>
          <w:rFonts w:eastAsia="Calibri" w:cs="Times New Roman"/>
          <w:sz w:val="24"/>
          <w:szCs w:val="24"/>
        </w:rPr>
        <w:softHyphen/>
      </w:r>
      <w:r w:rsidRPr="00E52DBB">
        <w:rPr>
          <w:rFonts w:eastAsia="Calibri" w:cs="Times New Roman"/>
          <w:sz w:val="24"/>
          <w:szCs w:val="24"/>
        </w:rPr>
        <w:t>nation were conducted from them.</w:t>
      </w:r>
    </w:p>
    <w:p w14:paraId="2FA611AF" w14:textId="77777777" w:rsidR="00DD566D" w:rsidRPr="00E52DBB" w:rsidRDefault="00DD566D" w:rsidP="00DD566D">
      <w:pPr>
        <w:spacing w:line="264" w:lineRule="auto"/>
        <w:ind w:firstLine="567"/>
        <w:jc w:val="both"/>
        <w:rPr>
          <w:rFonts w:eastAsia="Calibri" w:cs="Times New Roman"/>
          <w:b/>
          <w:sz w:val="24"/>
          <w:szCs w:val="24"/>
        </w:rPr>
      </w:pPr>
      <w:r w:rsidRPr="00E52DBB">
        <w:rPr>
          <w:rFonts w:eastAsia="Calibri" w:cs="Times New Roman"/>
          <w:b/>
          <w:sz w:val="24"/>
          <w:szCs w:val="24"/>
        </w:rPr>
        <w:t>Results and discussion:</w:t>
      </w:r>
    </w:p>
    <w:p w14:paraId="11012BF6" w14:textId="77777777" w:rsidR="00DD566D" w:rsidRPr="00E52DBB" w:rsidRDefault="00DD566D" w:rsidP="00DD566D">
      <w:pPr>
        <w:spacing w:line="264" w:lineRule="auto"/>
        <w:ind w:firstLine="567"/>
        <w:jc w:val="both"/>
        <w:rPr>
          <w:rFonts w:eastAsia="Calibri" w:cs="Times New Roman"/>
          <w:sz w:val="24"/>
          <w:szCs w:val="24"/>
        </w:rPr>
      </w:pPr>
      <w:r w:rsidRPr="00E52DBB">
        <w:rPr>
          <w:rFonts w:eastAsia="Calibri" w:cs="Times New Roman"/>
          <w:sz w:val="24"/>
          <w:szCs w:val="24"/>
        </w:rPr>
        <w:t>We studied the clinical-laboratory char</w:t>
      </w:r>
      <w:r>
        <w:rPr>
          <w:rFonts w:eastAsia="Calibri" w:cs="Times New Roman"/>
          <w:sz w:val="24"/>
          <w:szCs w:val="24"/>
        </w:rPr>
        <w:softHyphen/>
      </w:r>
      <w:r w:rsidRPr="00E52DBB">
        <w:rPr>
          <w:rFonts w:eastAsia="Calibri" w:cs="Times New Roman"/>
          <w:sz w:val="24"/>
          <w:szCs w:val="24"/>
        </w:rPr>
        <w:t>acteristics of patients and obtained the follow</w:t>
      </w:r>
      <w:r>
        <w:rPr>
          <w:rFonts w:eastAsia="Calibri" w:cs="Times New Roman"/>
          <w:sz w:val="24"/>
          <w:szCs w:val="24"/>
        </w:rPr>
        <w:softHyphen/>
      </w:r>
      <w:r w:rsidRPr="00E52DBB">
        <w:rPr>
          <w:rFonts w:eastAsia="Calibri" w:cs="Times New Roman"/>
          <w:sz w:val="24"/>
          <w:szCs w:val="24"/>
        </w:rPr>
        <w:t>ing results when we separated our patients by age, gender (Table 1). In the study, the distri</w:t>
      </w:r>
      <w:r>
        <w:rPr>
          <w:rFonts w:eastAsia="Calibri" w:cs="Times New Roman"/>
          <w:sz w:val="24"/>
          <w:szCs w:val="24"/>
        </w:rPr>
        <w:softHyphen/>
      </w:r>
      <w:r w:rsidRPr="00E52DBB">
        <w:rPr>
          <w:rFonts w:eastAsia="Calibri" w:cs="Times New Roman"/>
          <w:sz w:val="24"/>
          <w:szCs w:val="24"/>
        </w:rPr>
        <w:t>bution of men and women does not differ greatly: men 56,4% and women 43,6%. The average age of the studied patients was 47,27 ±14,91. The average duration of hospitaliza</w:t>
      </w:r>
      <w:r>
        <w:rPr>
          <w:rFonts w:eastAsia="Calibri" w:cs="Times New Roman"/>
          <w:sz w:val="24"/>
          <w:szCs w:val="24"/>
        </w:rPr>
        <w:softHyphen/>
      </w:r>
      <w:r w:rsidRPr="00E52DBB">
        <w:rPr>
          <w:rFonts w:eastAsia="Calibri" w:cs="Times New Roman"/>
          <w:sz w:val="24"/>
          <w:szCs w:val="24"/>
        </w:rPr>
        <w:t>tion of patients was 12,4 ±4,28 days.</w:t>
      </w:r>
    </w:p>
    <w:p w14:paraId="7500377C" w14:textId="77777777" w:rsidR="00DD566D" w:rsidRDefault="00DD566D" w:rsidP="00DD566D">
      <w:pPr>
        <w:spacing w:line="276" w:lineRule="auto"/>
        <w:ind w:left="567"/>
        <w:contextualSpacing/>
        <w:jc w:val="right"/>
        <w:rPr>
          <w:rFonts w:eastAsia="Calibri" w:cs="Times New Roman"/>
          <w:b/>
          <w:i/>
          <w:iCs/>
          <w:sz w:val="24"/>
          <w:szCs w:val="24"/>
        </w:rPr>
        <w:sectPr w:rsidR="00DD566D" w:rsidSect="002078A4">
          <w:type w:val="continuous"/>
          <w:pgSz w:w="11907" w:h="16840" w:code="9"/>
          <w:pgMar w:top="1418" w:right="1134" w:bottom="1134" w:left="1134" w:header="907" w:footer="794" w:gutter="0"/>
          <w:cols w:num="2" w:space="708"/>
          <w:docGrid w:linePitch="381"/>
        </w:sectPr>
      </w:pPr>
    </w:p>
    <w:p w14:paraId="245D75F4" w14:textId="77777777" w:rsidR="00DD566D" w:rsidRDefault="00DD566D" w:rsidP="00DD566D">
      <w:pPr>
        <w:spacing w:line="276" w:lineRule="auto"/>
        <w:ind w:left="567"/>
        <w:contextualSpacing/>
        <w:jc w:val="right"/>
        <w:rPr>
          <w:rFonts w:eastAsia="Calibri" w:cs="Times New Roman"/>
          <w:b/>
          <w:i/>
          <w:iCs/>
          <w:sz w:val="24"/>
          <w:szCs w:val="24"/>
          <w:lang w:val="uz-Cyrl-UZ"/>
        </w:rPr>
      </w:pPr>
      <w:r w:rsidRPr="002078A4">
        <w:rPr>
          <w:rFonts w:eastAsia="Calibri" w:cs="Times New Roman"/>
          <w:b/>
          <w:i/>
          <w:iCs/>
          <w:sz w:val="24"/>
          <w:szCs w:val="24"/>
        </w:rPr>
        <w:t>1-</w:t>
      </w:r>
      <w:r w:rsidRPr="00E52DBB">
        <w:rPr>
          <w:rFonts w:eastAsia="Calibri" w:cs="Times New Roman"/>
          <w:b/>
          <w:i/>
          <w:iCs/>
          <w:sz w:val="24"/>
          <w:szCs w:val="24"/>
          <w:lang w:val="uz-Cyrl-UZ"/>
        </w:rPr>
        <w:t>graph</w:t>
      </w:r>
    </w:p>
    <w:p w14:paraId="3082C651" w14:textId="77777777" w:rsidR="00DD566D" w:rsidRPr="00E52DBB" w:rsidRDefault="00DD566D" w:rsidP="00DD566D">
      <w:pPr>
        <w:spacing w:line="276" w:lineRule="auto"/>
        <w:ind w:left="567"/>
        <w:contextualSpacing/>
        <w:jc w:val="center"/>
        <w:rPr>
          <w:rFonts w:eastAsia="Calibri" w:cs="Times New Roman"/>
          <w:b/>
          <w:i/>
          <w:iCs/>
          <w:sz w:val="24"/>
          <w:szCs w:val="24"/>
          <w:lang w:val="uz-Cyrl-UZ"/>
        </w:rPr>
      </w:pPr>
      <w:r w:rsidRPr="00E52DBB">
        <w:rPr>
          <w:rFonts w:eastAsia="Calibri" w:cs="Times New Roman"/>
          <w:b/>
          <w:sz w:val="24"/>
          <w:szCs w:val="24"/>
          <w:lang w:val="uz-Cyrl-UZ"/>
        </w:rPr>
        <w:t>Age and sex characteristics of patients (n=110)</w:t>
      </w:r>
    </w:p>
    <w:p w14:paraId="23FEDF81" w14:textId="77777777" w:rsidR="00DD566D" w:rsidRPr="00E52DBB" w:rsidRDefault="00DD566D" w:rsidP="00DD566D">
      <w:pPr>
        <w:spacing w:line="276" w:lineRule="auto"/>
        <w:ind w:firstLine="567"/>
        <w:jc w:val="both"/>
        <w:rPr>
          <w:rFonts w:eastAsia="Calibri" w:cs="Times New Roman"/>
          <w:b/>
          <w:sz w:val="24"/>
          <w:szCs w:val="24"/>
          <w:lang w:val="uz-Cyrl-UZ"/>
        </w:rPr>
      </w:pPr>
    </w:p>
    <w:tbl>
      <w:tblPr>
        <w:tblStyle w:val="22"/>
        <w:tblW w:w="0" w:type="auto"/>
        <w:jc w:val="center"/>
        <w:tblLook w:val="04A0" w:firstRow="1" w:lastRow="0" w:firstColumn="1" w:lastColumn="0" w:noHBand="0" w:noVBand="1"/>
      </w:tblPr>
      <w:tblGrid>
        <w:gridCol w:w="704"/>
        <w:gridCol w:w="3968"/>
        <w:gridCol w:w="2336"/>
        <w:gridCol w:w="2336"/>
      </w:tblGrid>
      <w:tr w:rsidR="00DD566D" w:rsidRPr="00E52DBB" w14:paraId="6DF6A847" w14:textId="77777777" w:rsidTr="00C90B56">
        <w:trPr>
          <w:jc w:val="center"/>
        </w:trPr>
        <w:tc>
          <w:tcPr>
            <w:tcW w:w="704" w:type="dxa"/>
            <w:vAlign w:val="center"/>
          </w:tcPr>
          <w:p w14:paraId="03D115AF"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3968" w:type="dxa"/>
            <w:vAlign w:val="center"/>
          </w:tcPr>
          <w:p w14:paraId="0739886F"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indicators</w:t>
            </w:r>
          </w:p>
        </w:tc>
        <w:tc>
          <w:tcPr>
            <w:tcW w:w="4672" w:type="dxa"/>
            <w:gridSpan w:val="2"/>
            <w:vAlign w:val="center"/>
          </w:tcPr>
          <w:p w14:paraId="4533C418"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achievement</w:t>
            </w:r>
          </w:p>
        </w:tc>
      </w:tr>
      <w:tr w:rsidR="00DD566D" w:rsidRPr="00E52DBB" w14:paraId="55B37E84" w14:textId="77777777" w:rsidTr="00C90B56">
        <w:trPr>
          <w:jc w:val="center"/>
        </w:trPr>
        <w:tc>
          <w:tcPr>
            <w:tcW w:w="704" w:type="dxa"/>
            <w:vAlign w:val="center"/>
          </w:tcPr>
          <w:p w14:paraId="2AA2AAA6"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1</w:t>
            </w:r>
          </w:p>
        </w:tc>
        <w:tc>
          <w:tcPr>
            <w:tcW w:w="3968" w:type="dxa"/>
            <w:vAlign w:val="center"/>
          </w:tcPr>
          <w:p w14:paraId="3D7969B6"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men and women</w:t>
            </w:r>
          </w:p>
        </w:tc>
        <w:tc>
          <w:tcPr>
            <w:tcW w:w="2336" w:type="dxa"/>
            <w:vAlign w:val="center"/>
          </w:tcPr>
          <w:p w14:paraId="75D948ED"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2336" w:type="dxa"/>
            <w:vAlign w:val="center"/>
          </w:tcPr>
          <w:p w14:paraId="2BCF95D3"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56,4/43,6</w:t>
            </w:r>
          </w:p>
        </w:tc>
      </w:tr>
      <w:tr w:rsidR="00DD566D" w:rsidRPr="00E52DBB" w14:paraId="1B2F8056" w14:textId="77777777" w:rsidTr="00C90B56">
        <w:trPr>
          <w:jc w:val="center"/>
        </w:trPr>
        <w:tc>
          <w:tcPr>
            <w:tcW w:w="704" w:type="dxa"/>
            <w:vAlign w:val="center"/>
          </w:tcPr>
          <w:p w14:paraId="62097700"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2</w:t>
            </w:r>
          </w:p>
        </w:tc>
        <w:tc>
          <w:tcPr>
            <w:tcW w:w="3968" w:type="dxa"/>
            <w:vAlign w:val="center"/>
          </w:tcPr>
          <w:p w14:paraId="20272E2B"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 xml:space="preserve">age </w:t>
            </w:r>
            <w:r w:rsidRPr="00E52DBB">
              <w:rPr>
                <w:rFonts w:ascii="Times New Roman" w:eastAsia="Calibri" w:hAnsi="Times New Roman" w:cs="Times New Roman"/>
                <w:sz w:val="24"/>
                <w:szCs w:val="24"/>
              </w:rPr>
              <w:t>(n=110)</w:t>
            </w:r>
          </w:p>
        </w:tc>
        <w:tc>
          <w:tcPr>
            <w:tcW w:w="2336" w:type="dxa"/>
            <w:vAlign w:val="center"/>
          </w:tcPr>
          <w:p w14:paraId="1A22E211"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M±m (</w:t>
            </w:r>
            <w:r w:rsidRPr="00E52DBB">
              <w:rPr>
                <w:rFonts w:ascii="Times New Roman" w:eastAsia="Calibri" w:hAnsi="Times New Roman" w:cs="Times New Roman"/>
                <w:sz w:val="24"/>
                <w:szCs w:val="24"/>
                <w:lang w:val="uz-Cyrl-UZ"/>
              </w:rPr>
              <w:t>ёш</w:t>
            </w:r>
            <w:r w:rsidRPr="00E52DBB">
              <w:rPr>
                <w:rFonts w:ascii="Times New Roman" w:eastAsia="Calibri" w:hAnsi="Times New Roman" w:cs="Times New Roman"/>
                <w:sz w:val="24"/>
                <w:szCs w:val="24"/>
              </w:rPr>
              <w:t>)</w:t>
            </w:r>
          </w:p>
        </w:tc>
        <w:tc>
          <w:tcPr>
            <w:tcW w:w="2336" w:type="dxa"/>
            <w:vAlign w:val="center"/>
          </w:tcPr>
          <w:p w14:paraId="474773BA"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47,27±14,91</w:t>
            </w:r>
          </w:p>
        </w:tc>
      </w:tr>
      <w:tr w:rsidR="00DD566D" w:rsidRPr="00E52DBB" w14:paraId="53442259" w14:textId="77777777" w:rsidTr="00C90B56">
        <w:trPr>
          <w:jc w:val="center"/>
        </w:trPr>
        <w:tc>
          <w:tcPr>
            <w:tcW w:w="704" w:type="dxa"/>
            <w:vAlign w:val="center"/>
          </w:tcPr>
          <w:p w14:paraId="085B2DF3"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3</w:t>
            </w:r>
          </w:p>
        </w:tc>
        <w:tc>
          <w:tcPr>
            <w:tcW w:w="3968" w:type="dxa"/>
            <w:vAlign w:val="center"/>
          </w:tcPr>
          <w:p w14:paraId="2CFE7A6D" w14:textId="77777777" w:rsidR="00DD566D" w:rsidRPr="00E52DBB" w:rsidRDefault="00DD566D" w:rsidP="00C90B56">
            <w:pPr>
              <w:spacing w:line="276" w:lineRule="auto"/>
              <w:jc w:val="both"/>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average duration of stay in the hospital</w:t>
            </w:r>
          </w:p>
          <w:p w14:paraId="39AB7573"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lang w:val="en-US"/>
              </w:rPr>
              <w:t xml:space="preserve"> </w:t>
            </w:r>
            <w:r w:rsidRPr="00E52DBB">
              <w:rPr>
                <w:rFonts w:ascii="Times New Roman" w:eastAsia="Calibri" w:hAnsi="Times New Roman" w:cs="Times New Roman"/>
                <w:sz w:val="24"/>
                <w:szCs w:val="24"/>
              </w:rPr>
              <w:t>(n=110)</w:t>
            </w:r>
          </w:p>
        </w:tc>
        <w:tc>
          <w:tcPr>
            <w:tcW w:w="2336" w:type="dxa"/>
            <w:vAlign w:val="center"/>
          </w:tcPr>
          <w:p w14:paraId="01C58C0E"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M±m (</w:t>
            </w:r>
            <w:r w:rsidRPr="00E52DBB">
              <w:rPr>
                <w:rFonts w:ascii="Times New Roman" w:eastAsia="Calibri" w:hAnsi="Times New Roman" w:cs="Times New Roman"/>
                <w:sz w:val="24"/>
                <w:szCs w:val="24"/>
                <w:lang w:val="uz-Cyrl-UZ"/>
              </w:rPr>
              <w:t>кун</w:t>
            </w:r>
            <w:r w:rsidRPr="00E52DBB">
              <w:rPr>
                <w:rFonts w:ascii="Times New Roman" w:eastAsia="Calibri" w:hAnsi="Times New Roman" w:cs="Times New Roman"/>
                <w:sz w:val="24"/>
                <w:szCs w:val="24"/>
              </w:rPr>
              <w:t>)</w:t>
            </w:r>
          </w:p>
        </w:tc>
        <w:tc>
          <w:tcPr>
            <w:tcW w:w="2336" w:type="dxa"/>
            <w:vAlign w:val="center"/>
          </w:tcPr>
          <w:p w14:paraId="129AAF4F" w14:textId="77777777" w:rsidR="00DD566D" w:rsidRPr="00E52DBB" w:rsidRDefault="00DD566D" w:rsidP="00C90B56">
            <w:pPr>
              <w:spacing w:line="276" w:lineRule="auto"/>
              <w:jc w:val="both"/>
              <w:rPr>
                <w:rFonts w:ascii="Times New Roman" w:eastAsia="Calibri" w:hAnsi="Times New Roman" w:cs="Times New Roman"/>
                <w:sz w:val="24"/>
                <w:szCs w:val="24"/>
              </w:rPr>
            </w:pPr>
            <w:r w:rsidRPr="00E52DBB">
              <w:rPr>
                <w:rFonts w:ascii="Times New Roman" w:eastAsia="Calibri" w:hAnsi="Times New Roman" w:cs="Times New Roman"/>
                <w:sz w:val="24"/>
                <w:szCs w:val="24"/>
              </w:rPr>
              <w:t>12,4±4,28</w:t>
            </w:r>
          </w:p>
        </w:tc>
      </w:tr>
    </w:tbl>
    <w:p w14:paraId="77E68719" w14:textId="77777777" w:rsidR="00DD566D" w:rsidRPr="00E52DBB" w:rsidRDefault="00DD566D" w:rsidP="00DD566D">
      <w:pPr>
        <w:spacing w:line="276" w:lineRule="auto"/>
        <w:ind w:firstLine="567"/>
        <w:jc w:val="both"/>
        <w:rPr>
          <w:rFonts w:eastAsia="Calibri" w:cs="Times New Roman"/>
          <w:sz w:val="24"/>
          <w:szCs w:val="24"/>
          <w:lang w:val="uz-Cyrl-UZ"/>
        </w:rPr>
      </w:pPr>
    </w:p>
    <w:p w14:paraId="61D9B0F5" w14:textId="77777777" w:rsidR="00DD566D" w:rsidRDefault="00DD566D" w:rsidP="00DD566D">
      <w:pPr>
        <w:spacing w:line="276" w:lineRule="auto"/>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77668FFA" w14:textId="77777777" w:rsidR="00DD566D" w:rsidRPr="0049149C" w:rsidRDefault="00DD566D" w:rsidP="00DD566D">
      <w:pPr>
        <w:spacing w:line="276" w:lineRule="auto"/>
        <w:ind w:firstLine="567"/>
        <w:jc w:val="both"/>
        <w:rPr>
          <w:rFonts w:eastAsia="Calibri" w:cs="Times New Roman"/>
          <w:sz w:val="24"/>
          <w:szCs w:val="24"/>
        </w:rPr>
        <w:sectPr w:rsidR="00DD566D" w:rsidRPr="0049149C" w:rsidSect="0049149C">
          <w:type w:val="continuous"/>
          <w:pgSz w:w="11907" w:h="16840" w:code="9"/>
          <w:pgMar w:top="1418" w:right="1134" w:bottom="1134" w:left="1134" w:header="907" w:footer="794" w:gutter="0"/>
          <w:cols w:num="2" w:space="708"/>
          <w:docGrid w:linePitch="381"/>
        </w:sectPr>
      </w:pPr>
      <w:r w:rsidRPr="00E52DBB">
        <w:rPr>
          <w:rFonts w:eastAsia="Calibri" w:cs="Times New Roman"/>
          <w:sz w:val="24"/>
          <w:szCs w:val="24"/>
        </w:rPr>
        <w:t>The analysis of the distribution of the disease according to the severity of the disease, depending on the age group, is presented in Ta</w:t>
      </w:r>
      <w:r>
        <w:rPr>
          <w:rFonts w:eastAsia="Calibri" w:cs="Times New Roman"/>
          <w:sz w:val="24"/>
          <w:szCs w:val="24"/>
        </w:rPr>
        <w:softHyphen/>
      </w:r>
      <w:r w:rsidRPr="00E52DBB">
        <w:rPr>
          <w:rFonts w:eastAsia="Calibri" w:cs="Times New Roman"/>
          <w:sz w:val="24"/>
          <w:szCs w:val="24"/>
        </w:rPr>
        <w:t xml:space="preserve">ble 2. The table shows that in the young and middle-aged group, the heavy course of </w:t>
      </w:r>
      <w:r w:rsidRPr="00E52DBB">
        <w:rPr>
          <w:rFonts w:eastAsia="Calibri" w:cs="Times New Roman"/>
          <w:sz w:val="24"/>
          <w:szCs w:val="24"/>
        </w:rPr>
        <w:t>COVID -19 was predominant. In elderly pa</w:t>
      </w:r>
      <w:r>
        <w:rPr>
          <w:rFonts w:eastAsia="Calibri" w:cs="Times New Roman"/>
          <w:sz w:val="24"/>
          <w:szCs w:val="24"/>
        </w:rPr>
        <w:softHyphen/>
      </w:r>
      <w:r w:rsidRPr="00E52DBB">
        <w:rPr>
          <w:rFonts w:eastAsia="Calibri" w:cs="Times New Roman"/>
          <w:sz w:val="24"/>
          <w:szCs w:val="24"/>
        </w:rPr>
        <w:t>tients who participated in the study, the occur</w:t>
      </w:r>
      <w:r>
        <w:rPr>
          <w:rFonts w:eastAsia="Calibri" w:cs="Times New Roman"/>
          <w:sz w:val="24"/>
          <w:szCs w:val="24"/>
        </w:rPr>
        <w:softHyphen/>
      </w:r>
      <w:r w:rsidRPr="00E52DBB">
        <w:rPr>
          <w:rFonts w:eastAsia="Calibri" w:cs="Times New Roman"/>
          <w:sz w:val="24"/>
          <w:szCs w:val="24"/>
        </w:rPr>
        <w:t>rence of the disease with an average weight was observed more often</w:t>
      </w:r>
      <w:r>
        <w:rPr>
          <w:rFonts w:eastAsia="Calibri" w:cs="Times New Roman"/>
          <w:sz w:val="24"/>
          <w:szCs w:val="24"/>
        </w:rPr>
        <w:t>.</w:t>
      </w:r>
    </w:p>
    <w:p w14:paraId="34AE5605" w14:textId="77777777" w:rsidR="00DD566D" w:rsidRPr="00E52DBB" w:rsidRDefault="00DD566D" w:rsidP="00DD566D">
      <w:pPr>
        <w:spacing w:line="276" w:lineRule="auto"/>
        <w:ind w:firstLine="567"/>
        <w:contextualSpacing/>
        <w:jc w:val="right"/>
        <w:rPr>
          <w:rFonts w:eastAsia="Calibri" w:cs="Times New Roman"/>
          <w:b/>
          <w:i/>
          <w:iCs/>
          <w:sz w:val="24"/>
          <w:szCs w:val="24"/>
          <w:lang w:val="uz-Cyrl-UZ"/>
        </w:rPr>
      </w:pPr>
      <w:r w:rsidRPr="00E52DBB">
        <w:rPr>
          <w:rFonts w:eastAsia="Calibri" w:cs="Times New Roman"/>
          <w:b/>
          <w:i/>
          <w:iCs/>
          <w:sz w:val="24"/>
          <w:szCs w:val="24"/>
          <w:lang w:val="uz-Cyrl-UZ"/>
        </w:rPr>
        <w:t xml:space="preserve">                                                                                                                  2- graph</w:t>
      </w:r>
    </w:p>
    <w:p w14:paraId="1F26BC62" w14:textId="77777777" w:rsidR="00DD566D" w:rsidRPr="00E52DBB" w:rsidRDefault="00DD566D" w:rsidP="00DD566D">
      <w:pPr>
        <w:spacing w:line="276" w:lineRule="auto"/>
        <w:jc w:val="center"/>
        <w:rPr>
          <w:rFonts w:eastAsia="Calibri" w:cs="Times New Roman"/>
          <w:sz w:val="24"/>
          <w:szCs w:val="24"/>
          <w:lang w:val="uz-Cyrl-UZ"/>
        </w:rPr>
      </w:pPr>
      <w:r w:rsidRPr="00E52DBB">
        <w:rPr>
          <w:rFonts w:eastAsia="Calibri" w:cs="Times New Roman"/>
          <w:b/>
          <w:sz w:val="24"/>
          <w:szCs w:val="24"/>
          <w:lang w:val="uz-Cyrl-UZ"/>
        </w:rPr>
        <w:t xml:space="preserve">Age and sex characteristics of patients </w:t>
      </w:r>
      <w:r w:rsidRPr="00E52DBB">
        <w:rPr>
          <w:rFonts w:eastAsia="Calibri" w:cs="Times New Roman"/>
          <w:sz w:val="24"/>
          <w:szCs w:val="24"/>
          <w:lang w:val="uz-Cyrl-UZ"/>
        </w:rPr>
        <w:t>(n=110)</w:t>
      </w:r>
    </w:p>
    <w:p w14:paraId="2C15C8C7" w14:textId="77777777" w:rsidR="00DD566D" w:rsidRPr="00E52DBB" w:rsidRDefault="00DD566D" w:rsidP="00DD566D">
      <w:pPr>
        <w:spacing w:line="276" w:lineRule="auto"/>
        <w:ind w:firstLine="567"/>
        <w:jc w:val="both"/>
        <w:rPr>
          <w:rFonts w:eastAsia="Calibri" w:cs="Times New Roman"/>
          <w:sz w:val="24"/>
          <w:szCs w:val="24"/>
          <w:lang w:val="uz-Cyrl-UZ"/>
        </w:rPr>
      </w:pPr>
    </w:p>
    <w:tbl>
      <w:tblPr>
        <w:tblStyle w:val="22"/>
        <w:tblW w:w="0" w:type="auto"/>
        <w:jc w:val="center"/>
        <w:tblLook w:val="04A0" w:firstRow="1" w:lastRow="0" w:firstColumn="1" w:lastColumn="0" w:noHBand="0" w:noVBand="1"/>
      </w:tblPr>
      <w:tblGrid>
        <w:gridCol w:w="2405"/>
        <w:gridCol w:w="1701"/>
        <w:gridCol w:w="2268"/>
        <w:gridCol w:w="1843"/>
        <w:gridCol w:w="1127"/>
      </w:tblGrid>
      <w:tr w:rsidR="00DD566D" w:rsidRPr="00E52DBB" w14:paraId="6662D62D" w14:textId="77777777" w:rsidTr="00C90B56">
        <w:trPr>
          <w:jc w:val="center"/>
        </w:trPr>
        <w:tc>
          <w:tcPr>
            <w:tcW w:w="2405" w:type="dxa"/>
            <w:vAlign w:val="center"/>
          </w:tcPr>
          <w:p w14:paraId="5AC45794"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Age groups</w:t>
            </w:r>
          </w:p>
        </w:tc>
        <w:tc>
          <w:tcPr>
            <w:tcW w:w="1701" w:type="dxa"/>
            <w:tcBorders>
              <w:bottom w:val="single" w:sz="4" w:space="0" w:color="auto"/>
            </w:tcBorders>
            <w:vAlign w:val="center"/>
          </w:tcPr>
          <w:p w14:paraId="3960A81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total</w:t>
            </w:r>
          </w:p>
        </w:tc>
        <w:tc>
          <w:tcPr>
            <w:tcW w:w="2268" w:type="dxa"/>
            <w:vAlign w:val="center"/>
          </w:tcPr>
          <w:p w14:paraId="4C1CBC8A"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uz-Cyrl-UZ"/>
              </w:rPr>
              <w:t>The course of the disease with moderate severity</w:t>
            </w:r>
          </w:p>
        </w:tc>
        <w:tc>
          <w:tcPr>
            <w:tcW w:w="1843" w:type="dxa"/>
            <w:vAlign w:val="center"/>
          </w:tcPr>
          <w:p w14:paraId="0579D998"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uz-Cyrl-UZ"/>
              </w:rPr>
              <w:t>Severe course of the disease</w:t>
            </w:r>
          </w:p>
        </w:tc>
        <w:tc>
          <w:tcPr>
            <w:tcW w:w="1127" w:type="dxa"/>
            <w:shd w:val="clear" w:color="auto" w:fill="F2F2F2"/>
            <w:vAlign w:val="center"/>
          </w:tcPr>
          <w:p w14:paraId="2E9D5F6E"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p</w:t>
            </w:r>
          </w:p>
        </w:tc>
      </w:tr>
      <w:tr w:rsidR="00DD566D" w:rsidRPr="00E52DBB" w14:paraId="469043A7" w14:textId="77777777" w:rsidTr="00C90B56">
        <w:trPr>
          <w:jc w:val="center"/>
        </w:trPr>
        <w:tc>
          <w:tcPr>
            <w:tcW w:w="2405" w:type="dxa"/>
            <w:vAlign w:val="center"/>
          </w:tcPr>
          <w:p w14:paraId="78BF66AB" w14:textId="77777777" w:rsidR="00DD566D" w:rsidRDefault="00DD566D" w:rsidP="00C90B56">
            <w:pPr>
              <w:spacing w:line="276" w:lineRule="auto"/>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 xml:space="preserve">Young people </w:t>
            </w:r>
          </w:p>
          <w:p w14:paraId="61D2A4A8" w14:textId="77777777" w:rsidR="00DD566D" w:rsidRPr="00E52DBB" w:rsidRDefault="00DD566D" w:rsidP="00C90B56">
            <w:pPr>
              <w:spacing w:line="276"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(18-44 </w:t>
            </w:r>
            <w:r w:rsidRPr="00E52DBB">
              <w:rPr>
                <w:rFonts w:ascii="Times New Roman" w:eastAsia="Calibri" w:hAnsi="Times New Roman" w:cs="Times New Roman"/>
                <w:sz w:val="24"/>
                <w:szCs w:val="24"/>
                <w:lang w:val="uz-Cyrl-UZ"/>
              </w:rPr>
              <w:t>age</w:t>
            </w:r>
            <w:r w:rsidRPr="00E52DBB">
              <w:rPr>
                <w:rFonts w:ascii="Times New Roman" w:eastAsia="Calibri" w:hAnsi="Times New Roman" w:cs="Times New Roman"/>
                <w:sz w:val="24"/>
                <w:szCs w:val="24"/>
              </w:rPr>
              <w:t>)</w:t>
            </w:r>
          </w:p>
        </w:tc>
        <w:tc>
          <w:tcPr>
            <w:tcW w:w="1701" w:type="dxa"/>
            <w:vAlign w:val="center"/>
          </w:tcPr>
          <w:p w14:paraId="6903A8A8"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48 (43,6%)</w:t>
            </w:r>
          </w:p>
        </w:tc>
        <w:tc>
          <w:tcPr>
            <w:tcW w:w="2268" w:type="dxa"/>
            <w:vAlign w:val="center"/>
          </w:tcPr>
          <w:p w14:paraId="4C6A16E3"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42 (43,3%)</w:t>
            </w:r>
          </w:p>
        </w:tc>
        <w:tc>
          <w:tcPr>
            <w:tcW w:w="1843" w:type="dxa"/>
            <w:vAlign w:val="center"/>
          </w:tcPr>
          <w:p w14:paraId="1CFCE4D9"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6 (46,1%)</w:t>
            </w:r>
          </w:p>
        </w:tc>
        <w:tc>
          <w:tcPr>
            <w:tcW w:w="1127" w:type="dxa"/>
            <w:shd w:val="clear" w:color="auto" w:fill="F2F2F2"/>
            <w:vAlign w:val="center"/>
          </w:tcPr>
          <w:p w14:paraId="2CE41F44" w14:textId="77777777" w:rsidR="00DD566D" w:rsidRPr="00E52DBB" w:rsidRDefault="00DD566D" w:rsidP="00C90B56">
            <w:pPr>
              <w:spacing w:line="276" w:lineRule="auto"/>
              <w:jc w:val="center"/>
              <w:rPr>
                <w:rFonts w:ascii="Times New Roman" w:eastAsia="Calibri" w:hAnsi="Times New Roman" w:cs="Times New Roman"/>
                <w:sz w:val="24"/>
                <w:szCs w:val="24"/>
                <w:lang w:eastAsia="ru-RU"/>
              </w:rPr>
            </w:pPr>
            <w:r w:rsidRPr="00E52DBB">
              <w:rPr>
                <w:rFonts w:ascii="Times New Roman" w:eastAsia="Calibri" w:hAnsi="Times New Roman" w:cs="Times New Roman"/>
                <w:sz w:val="24"/>
                <w:szCs w:val="24"/>
                <w:lang w:eastAsia="ru-RU"/>
              </w:rPr>
              <w:t>-</w:t>
            </w:r>
          </w:p>
        </w:tc>
      </w:tr>
      <w:tr w:rsidR="00DD566D" w:rsidRPr="00E52DBB" w14:paraId="001F44F6" w14:textId="77777777" w:rsidTr="00C90B56">
        <w:trPr>
          <w:jc w:val="center"/>
        </w:trPr>
        <w:tc>
          <w:tcPr>
            <w:tcW w:w="2405" w:type="dxa"/>
            <w:vAlign w:val="center"/>
          </w:tcPr>
          <w:p w14:paraId="2780303E" w14:textId="77777777" w:rsidR="00DD566D" w:rsidRDefault="00DD566D" w:rsidP="00C90B56">
            <w:pPr>
              <w:spacing w:line="276" w:lineRule="auto"/>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 xml:space="preserve">Middle age </w:t>
            </w:r>
          </w:p>
          <w:p w14:paraId="7BC77471" w14:textId="77777777" w:rsidR="00DD566D" w:rsidRPr="00E52DBB" w:rsidRDefault="00DD566D" w:rsidP="00C90B56">
            <w:pPr>
              <w:spacing w:line="276"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(45-59 </w:t>
            </w:r>
            <w:r w:rsidRPr="00E52DBB">
              <w:rPr>
                <w:rFonts w:ascii="Times New Roman" w:eastAsia="Calibri" w:hAnsi="Times New Roman" w:cs="Times New Roman"/>
                <w:sz w:val="24"/>
                <w:szCs w:val="24"/>
                <w:lang w:val="uz-Cyrl-UZ"/>
              </w:rPr>
              <w:t>age</w:t>
            </w:r>
            <w:r w:rsidRPr="00E52DBB">
              <w:rPr>
                <w:rFonts w:ascii="Times New Roman" w:eastAsia="Calibri" w:hAnsi="Times New Roman" w:cs="Times New Roman"/>
                <w:sz w:val="24"/>
                <w:szCs w:val="24"/>
              </w:rPr>
              <w:t>)</w:t>
            </w:r>
          </w:p>
        </w:tc>
        <w:tc>
          <w:tcPr>
            <w:tcW w:w="1701" w:type="dxa"/>
            <w:vAlign w:val="center"/>
          </w:tcPr>
          <w:p w14:paraId="2DCAFC8D"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38 (34,5%)</w:t>
            </w:r>
          </w:p>
        </w:tc>
        <w:tc>
          <w:tcPr>
            <w:tcW w:w="2268" w:type="dxa"/>
            <w:vAlign w:val="center"/>
          </w:tcPr>
          <w:p w14:paraId="5F477D78"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33 (34,1%)</w:t>
            </w:r>
          </w:p>
        </w:tc>
        <w:tc>
          <w:tcPr>
            <w:tcW w:w="1843" w:type="dxa"/>
            <w:vAlign w:val="center"/>
          </w:tcPr>
          <w:p w14:paraId="54A5530A"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5 (38,4%)</w:t>
            </w:r>
          </w:p>
        </w:tc>
        <w:tc>
          <w:tcPr>
            <w:tcW w:w="1127" w:type="dxa"/>
            <w:shd w:val="clear" w:color="auto" w:fill="F2F2F2"/>
            <w:vAlign w:val="center"/>
          </w:tcPr>
          <w:p w14:paraId="656F766E" w14:textId="77777777" w:rsidR="00DD566D" w:rsidRPr="00E52DBB" w:rsidRDefault="00DD566D" w:rsidP="00C90B56">
            <w:pPr>
              <w:spacing w:line="276" w:lineRule="auto"/>
              <w:jc w:val="center"/>
              <w:rPr>
                <w:rFonts w:ascii="Times New Roman" w:eastAsia="Calibri" w:hAnsi="Times New Roman" w:cs="Times New Roman"/>
                <w:i/>
                <w:color w:val="000000"/>
                <w:sz w:val="24"/>
                <w:szCs w:val="24"/>
              </w:rPr>
            </w:pPr>
            <w:r w:rsidRPr="00E52DBB">
              <w:rPr>
                <w:rFonts w:ascii="Times New Roman" w:eastAsia="Calibri" w:hAnsi="Times New Roman" w:cs="Times New Roman"/>
                <w:i/>
                <w:color w:val="000000"/>
                <w:sz w:val="24"/>
                <w:szCs w:val="24"/>
              </w:rPr>
              <w:t>-</w:t>
            </w:r>
          </w:p>
        </w:tc>
      </w:tr>
      <w:tr w:rsidR="00DD566D" w:rsidRPr="00E52DBB" w14:paraId="56A2E676" w14:textId="77777777" w:rsidTr="00C90B56">
        <w:trPr>
          <w:jc w:val="center"/>
        </w:trPr>
        <w:tc>
          <w:tcPr>
            <w:tcW w:w="2405" w:type="dxa"/>
            <w:vAlign w:val="center"/>
          </w:tcPr>
          <w:p w14:paraId="4AA55387" w14:textId="77777777" w:rsidR="00DD566D" w:rsidRDefault="00DD566D" w:rsidP="00C90B56">
            <w:pPr>
              <w:spacing w:line="276" w:lineRule="auto"/>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 xml:space="preserve">Elderly person </w:t>
            </w:r>
          </w:p>
          <w:p w14:paraId="43824ACB" w14:textId="77777777" w:rsidR="00DD566D" w:rsidRPr="00E52DBB" w:rsidRDefault="00DD566D" w:rsidP="00C90B56">
            <w:pPr>
              <w:spacing w:line="276"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(60-74 </w:t>
            </w:r>
            <w:r w:rsidRPr="00E52DBB">
              <w:rPr>
                <w:rFonts w:ascii="Times New Roman" w:eastAsia="Calibri" w:hAnsi="Times New Roman" w:cs="Times New Roman"/>
                <w:sz w:val="24"/>
                <w:szCs w:val="24"/>
                <w:lang w:val="uz-Cyrl-UZ"/>
              </w:rPr>
              <w:t>age</w:t>
            </w:r>
            <w:r w:rsidRPr="00E52DBB">
              <w:rPr>
                <w:rFonts w:ascii="Times New Roman" w:eastAsia="Calibri" w:hAnsi="Times New Roman" w:cs="Times New Roman"/>
                <w:sz w:val="24"/>
                <w:szCs w:val="24"/>
              </w:rPr>
              <w:t>)</w:t>
            </w:r>
          </w:p>
        </w:tc>
        <w:tc>
          <w:tcPr>
            <w:tcW w:w="1701" w:type="dxa"/>
            <w:vAlign w:val="center"/>
          </w:tcPr>
          <w:p w14:paraId="787C336C" w14:textId="77777777" w:rsidR="00DD566D" w:rsidRPr="00E52DBB" w:rsidRDefault="00DD566D" w:rsidP="00C90B56">
            <w:pPr>
              <w:spacing w:line="276" w:lineRule="auto"/>
              <w:jc w:val="center"/>
              <w:rPr>
                <w:rFonts w:ascii="Times New Roman" w:eastAsia="Calibri" w:hAnsi="Times New Roman" w:cs="Times New Roman"/>
                <w:color w:val="000000"/>
                <w:sz w:val="24"/>
                <w:szCs w:val="24"/>
                <w:highlight w:val="yellow"/>
              </w:rPr>
            </w:pPr>
            <w:r w:rsidRPr="00E52DBB">
              <w:rPr>
                <w:rFonts w:ascii="Times New Roman" w:eastAsia="Calibri" w:hAnsi="Times New Roman" w:cs="Times New Roman"/>
                <w:color w:val="000000"/>
                <w:sz w:val="24"/>
                <w:szCs w:val="24"/>
              </w:rPr>
              <w:t>23 (20,9%)</w:t>
            </w:r>
          </w:p>
        </w:tc>
        <w:tc>
          <w:tcPr>
            <w:tcW w:w="2268" w:type="dxa"/>
            <w:vAlign w:val="center"/>
          </w:tcPr>
          <w:p w14:paraId="4FCDA2BB" w14:textId="77777777" w:rsidR="00DD566D" w:rsidRPr="00E52DBB" w:rsidRDefault="00DD566D" w:rsidP="00C90B56">
            <w:pPr>
              <w:spacing w:line="276" w:lineRule="auto"/>
              <w:jc w:val="center"/>
              <w:rPr>
                <w:rFonts w:ascii="Times New Roman" w:eastAsia="Calibri" w:hAnsi="Times New Roman" w:cs="Times New Roman"/>
                <w:color w:val="000000"/>
                <w:sz w:val="24"/>
                <w:szCs w:val="24"/>
                <w:highlight w:val="yellow"/>
              </w:rPr>
            </w:pPr>
            <w:r w:rsidRPr="00E52DBB">
              <w:rPr>
                <w:rFonts w:ascii="Times New Roman" w:eastAsia="Calibri" w:hAnsi="Times New Roman" w:cs="Times New Roman"/>
                <w:color w:val="000000"/>
                <w:sz w:val="24"/>
                <w:szCs w:val="24"/>
              </w:rPr>
              <w:t>21 (21,6%)</w:t>
            </w:r>
          </w:p>
        </w:tc>
        <w:tc>
          <w:tcPr>
            <w:tcW w:w="1843" w:type="dxa"/>
            <w:vAlign w:val="center"/>
          </w:tcPr>
          <w:p w14:paraId="1EE8BA60" w14:textId="77777777" w:rsidR="00DD566D" w:rsidRPr="00E52DBB" w:rsidRDefault="00DD566D" w:rsidP="00C90B56">
            <w:pPr>
              <w:spacing w:line="276" w:lineRule="auto"/>
              <w:jc w:val="center"/>
              <w:rPr>
                <w:rFonts w:ascii="Times New Roman" w:eastAsia="Calibri" w:hAnsi="Times New Roman" w:cs="Times New Roman"/>
                <w:color w:val="000000"/>
                <w:sz w:val="24"/>
                <w:szCs w:val="24"/>
                <w:highlight w:val="yellow"/>
              </w:rPr>
            </w:pPr>
            <w:r w:rsidRPr="00E52DBB">
              <w:rPr>
                <w:rFonts w:ascii="Times New Roman" w:eastAsia="Calibri" w:hAnsi="Times New Roman" w:cs="Times New Roman"/>
                <w:color w:val="000000"/>
                <w:sz w:val="24"/>
                <w:szCs w:val="24"/>
              </w:rPr>
              <w:t>2 (15,3%)*</w:t>
            </w:r>
          </w:p>
        </w:tc>
        <w:tc>
          <w:tcPr>
            <w:tcW w:w="1127" w:type="dxa"/>
            <w:shd w:val="clear" w:color="auto" w:fill="F2F2F2"/>
            <w:vAlign w:val="center"/>
          </w:tcPr>
          <w:p w14:paraId="6142B191" w14:textId="77777777" w:rsidR="00DD566D" w:rsidRPr="00E52DBB" w:rsidRDefault="00DD566D" w:rsidP="00C90B56">
            <w:pPr>
              <w:spacing w:line="276" w:lineRule="auto"/>
              <w:jc w:val="center"/>
              <w:rPr>
                <w:rFonts w:ascii="Times New Roman" w:eastAsia="Calibri" w:hAnsi="Times New Roman" w:cs="Times New Roman"/>
                <w:i/>
                <w:color w:val="000000"/>
                <w:sz w:val="24"/>
                <w:szCs w:val="24"/>
                <w:highlight w:val="yellow"/>
              </w:rPr>
            </w:pPr>
            <w:r w:rsidRPr="00E52DBB">
              <w:rPr>
                <w:rFonts w:ascii="Times New Roman" w:eastAsia="Calibri" w:hAnsi="Times New Roman" w:cs="Times New Roman"/>
                <w:i/>
                <w:color w:val="000000"/>
                <w:sz w:val="24"/>
                <w:szCs w:val="24"/>
              </w:rPr>
              <w:t>P&gt;0,05</w:t>
            </w:r>
          </w:p>
        </w:tc>
      </w:tr>
      <w:tr w:rsidR="00DD566D" w:rsidRPr="00E52DBB" w14:paraId="78EEFE28" w14:textId="77777777" w:rsidTr="00C90B56">
        <w:trPr>
          <w:jc w:val="center"/>
        </w:trPr>
        <w:tc>
          <w:tcPr>
            <w:tcW w:w="2405" w:type="dxa"/>
            <w:vAlign w:val="center"/>
          </w:tcPr>
          <w:p w14:paraId="42700E17" w14:textId="77777777" w:rsidR="00DD566D" w:rsidRDefault="00DD566D" w:rsidP="00C90B56">
            <w:pPr>
              <w:spacing w:line="276" w:lineRule="auto"/>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 xml:space="preserve">Older people </w:t>
            </w:r>
          </w:p>
          <w:p w14:paraId="5FD95E4C" w14:textId="77777777" w:rsidR="00DD566D" w:rsidRPr="00E52DBB" w:rsidRDefault="00DD566D" w:rsidP="00C90B56">
            <w:pPr>
              <w:spacing w:line="276"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(75-90 </w:t>
            </w:r>
            <w:r w:rsidRPr="00E52DBB">
              <w:rPr>
                <w:rFonts w:ascii="Times New Roman" w:eastAsia="Calibri" w:hAnsi="Times New Roman" w:cs="Times New Roman"/>
                <w:sz w:val="24"/>
                <w:szCs w:val="24"/>
                <w:lang w:val="uz-Cyrl-UZ"/>
              </w:rPr>
              <w:t>age</w:t>
            </w:r>
            <w:r w:rsidRPr="00E52DBB">
              <w:rPr>
                <w:rFonts w:ascii="Times New Roman" w:eastAsia="Calibri" w:hAnsi="Times New Roman" w:cs="Times New Roman"/>
                <w:sz w:val="24"/>
                <w:szCs w:val="24"/>
              </w:rPr>
              <w:t>)</w:t>
            </w:r>
          </w:p>
        </w:tc>
        <w:tc>
          <w:tcPr>
            <w:tcW w:w="1701" w:type="dxa"/>
            <w:vAlign w:val="center"/>
          </w:tcPr>
          <w:p w14:paraId="31037090"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1 (0,9%)</w:t>
            </w:r>
          </w:p>
        </w:tc>
        <w:tc>
          <w:tcPr>
            <w:tcW w:w="2268" w:type="dxa"/>
            <w:vAlign w:val="center"/>
          </w:tcPr>
          <w:p w14:paraId="6C020DD1"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1 (1,03%)</w:t>
            </w:r>
          </w:p>
        </w:tc>
        <w:tc>
          <w:tcPr>
            <w:tcW w:w="1843" w:type="dxa"/>
            <w:vAlign w:val="center"/>
          </w:tcPr>
          <w:p w14:paraId="25D8EC09"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w:t>
            </w:r>
          </w:p>
        </w:tc>
        <w:tc>
          <w:tcPr>
            <w:tcW w:w="1127" w:type="dxa"/>
            <w:shd w:val="clear" w:color="auto" w:fill="F2F2F2"/>
            <w:vAlign w:val="center"/>
          </w:tcPr>
          <w:p w14:paraId="0DE3D855"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w:t>
            </w:r>
          </w:p>
        </w:tc>
      </w:tr>
      <w:tr w:rsidR="00DD566D" w:rsidRPr="00E52DBB" w14:paraId="426FED73" w14:textId="77777777" w:rsidTr="00C90B56">
        <w:trPr>
          <w:jc w:val="center"/>
        </w:trPr>
        <w:tc>
          <w:tcPr>
            <w:tcW w:w="2405" w:type="dxa"/>
            <w:vAlign w:val="center"/>
          </w:tcPr>
          <w:p w14:paraId="0399371A"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Total</w:t>
            </w:r>
          </w:p>
        </w:tc>
        <w:tc>
          <w:tcPr>
            <w:tcW w:w="1701" w:type="dxa"/>
            <w:vAlign w:val="center"/>
          </w:tcPr>
          <w:p w14:paraId="27E38995"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110 (100%)</w:t>
            </w:r>
          </w:p>
        </w:tc>
        <w:tc>
          <w:tcPr>
            <w:tcW w:w="2268" w:type="dxa"/>
            <w:vAlign w:val="center"/>
          </w:tcPr>
          <w:p w14:paraId="5F21E840"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97 (100%)</w:t>
            </w:r>
          </w:p>
        </w:tc>
        <w:tc>
          <w:tcPr>
            <w:tcW w:w="1843" w:type="dxa"/>
            <w:vAlign w:val="center"/>
          </w:tcPr>
          <w:p w14:paraId="32D7D843"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13 (100%)</w:t>
            </w:r>
          </w:p>
        </w:tc>
        <w:tc>
          <w:tcPr>
            <w:tcW w:w="1127" w:type="dxa"/>
            <w:shd w:val="clear" w:color="auto" w:fill="F2F2F2"/>
            <w:vAlign w:val="center"/>
          </w:tcPr>
          <w:p w14:paraId="1D90433B" w14:textId="77777777" w:rsidR="00DD566D" w:rsidRPr="00E52DBB" w:rsidRDefault="00DD566D" w:rsidP="00C90B56">
            <w:pPr>
              <w:spacing w:line="276" w:lineRule="auto"/>
              <w:jc w:val="center"/>
              <w:rPr>
                <w:rFonts w:ascii="Times New Roman" w:eastAsia="Calibri" w:hAnsi="Times New Roman" w:cs="Times New Roman"/>
                <w:color w:val="000000"/>
                <w:sz w:val="24"/>
                <w:szCs w:val="24"/>
              </w:rPr>
            </w:pPr>
            <w:r w:rsidRPr="00E52DBB">
              <w:rPr>
                <w:rFonts w:ascii="Times New Roman" w:eastAsia="Calibri" w:hAnsi="Times New Roman" w:cs="Times New Roman"/>
                <w:color w:val="000000"/>
                <w:sz w:val="24"/>
                <w:szCs w:val="24"/>
              </w:rPr>
              <w:t>-</w:t>
            </w:r>
          </w:p>
        </w:tc>
      </w:tr>
    </w:tbl>
    <w:p w14:paraId="5AF52566" w14:textId="77777777" w:rsidR="00DD566D" w:rsidRPr="00E52DBB" w:rsidRDefault="00DD566D" w:rsidP="00DD566D">
      <w:pPr>
        <w:spacing w:line="276" w:lineRule="auto"/>
        <w:ind w:firstLine="567"/>
        <w:jc w:val="both"/>
        <w:rPr>
          <w:rFonts w:eastAsia="Calibri" w:cs="Times New Roman"/>
          <w:sz w:val="24"/>
          <w:szCs w:val="24"/>
          <w:lang w:val="ru-RU"/>
        </w:rPr>
      </w:pPr>
    </w:p>
    <w:p w14:paraId="09A8A4FB" w14:textId="77777777" w:rsidR="00DD566D" w:rsidRDefault="00DD566D" w:rsidP="00DD566D">
      <w:pPr>
        <w:spacing w:line="276" w:lineRule="auto"/>
        <w:ind w:firstLine="567"/>
        <w:jc w:val="both"/>
        <w:rPr>
          <w:rFonts w:eastAsia="Calibri" w:cs="Times New Roman"/>
          <w:sz w:val="24"/>
          <w:szCs w:val="24"/>
        </w:rPr>
        <w:sectPr w:rsidR="00DD566D" w:rsidSect="00995DC2">
          <w:type w:val="continuous"/>
          <w:pgSz w:w="11907" w:h="16840" w:code="9"/>
          <w:pgMar w:top="1418" w:right="1134" w:bottom="1134" w:left="1134" w:header="907" w:footer="794" w:gutter="0"/>
          <w:cols w:space="708"/>
          <w:docGrid w:linePitch="381"/>
        </w:sectPr>
      </w:pPr>
    </w:p>
    <w:p w14:paraId="25CDEC61"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The study of the meeting of the main complaints of patients showed that they often had an inertia in general (93.6%) and a de</w:t>
      </w:r>
      <w:r>
        <w:rPr>
          <w:rFonts w:eastAsia="Calibri" w:cs="Times New Roman"/>
          <w:sz w:val="24"/>
          <w:szCs w:val="24"/>
        </w:rPr>
        <w:softHyphen/>
      </w:r>
      <w:r w:rsidRPr="00E52DBB">
        <w:rPr>
          <w:rFonts w:eastAsia="Calibri" w:cs="Times New Roman"/>
          <w:sz w:val="24"/>
          <w:szCs w:val="24"/>
        </w:rPr>
        <w:t>crease in appetite (75.5%). 48.2% of patients noted lack of taste and smell. Nausea was ob</w:t>
      </w:r>
      <w:r>
        <w:rPr>
          <w:rFonts w:eastAsia="Calibri" w:cs="Times New Roman"/>
          <w:sz w:val="24"/>
          <w:szCs w:val="24"/>
        </w:rPr>
        <w:softHyphen/>
      </w:r>
      <w:r w:rsidRPr="00E52DBB">
        <w:rPr>
          <w:rFonts w:eastAsia="Calibri" w:cs="Times New Roman"/>
          <w:sz w:val="24"/>
          <w:szCs w:val="24"/>
        </w:rPr>
        <w:t>served in 30.9% of patients. 7,3% of patients complained of vomiting. 9.1% of patients com</w:t>
      </w:r>
      <w:r>
        <w:rPr>
          <w:rFonts w:eastAsia="Calibri" w:cs="Times New Roman"/>
          <w:sz w:val="24"/>
          <w:szCs w:val="24"/>
        </w:rPr>
        <w:softHyphen/>
      </w:r>
      <w:r w:rsidRPr="00E52DBB">
        <w:rPr>
          <w:rFonts w:eastAsia="Calibri" w:cs="Times New Roman"/>
          <w:sz w:val="24"/>
          <w:szCs w:val="24"/>
        </w:rPr>
        <w:t>plained of diarrhea and muscle pain (Figure 2).</w:t>
      </w:r>
    </w:p>
    <w:p w14:paraId="67F20BBE" w14:textId="77777777" w:rsidR="00DD566D" w:rsidRDefault="00DD566D" w:rsidP="00DD566D">
      <w:pPr>
        <w:spacing w:line="276" w:lineRule="auto"/>
        <w:ind w:firstLine="567"/>
        <w:jc w:val="both"/>
        <w:rPr>
          <w:rFonts w:eastAsia="Calibri" w:cs="Times New Roman"/>
          <w:sz w:val="24"/>
          <w:szCs w:val="24"/>
        </w:rPr>
        <w:sectPr w:rsidR="00DD566D" w:rsidSect="0049149C">
          <w:type w:val="continuous"/>
          <w:pgSz w:w="11907" w:h="16840" w:code="9"/>
          <w:pgMar w:top="1418" w:right="1134" w:bottom="1134" w:left="1134" w:header="907" w:footer="794" w:gutter="0"/>
          <w:cols w:num="2" w:space="708"/>
          <w:docGrid w:linePitch="381"/>
        </w:sectPr>
      </w:pPr>
      <w:r w:rsidRPr="00E52DBB">
        <w:rPr>
          <w:rFonts w:eastAsia="Calibri" w:cs="Times New Roman"/>
          <w:sz w:val="24"/>
          <w:szCs w:val="24"/>
        </w:rPr>
        <w:t>Analysis of the prevalence of somatic pa</w:t>
      </w:r>
      <w:r>
        <w:rPr>
          <w:rFonts w:eastAsia="Calibri" w:cs="Times New Roman"/>
          <w:sz w:val="24"/>
          <w:szCs w:val="24"/>
        </w:rPr>
        <w:softHyphen/>
      </w:r>
      <w:r w:rsidRPr="00E52DBB">
        <w:rPr>
          <w:rFonts w:eastAsia="Calibri" w:cs="Times New Roman"/>
          <w:sz w:val="24"/>
          <w:szCs w:val="24"/>
        </w:rPr>
        <w:t xml:space="preserve">thology is presented in Figure 3. On the graph, </w:t>
      </w:r>
      <w:r w:rsidRPr="00E52DBB">
        <w:rPr>
          <w:rFonts w:eastAsia="Calibri" w:cs="Times New Roman"/>
          <w:sz w:val="24"/>
          <w:szCs w:val="24"/>
        </w:rPr>
        <w:t xml:space="preserve">it can be seen that the diseases of bitumen (25,5%) and hypertension disease (30%) are most often detected. </w:t>
      </w:r>
      <w:r w:rsidRPr="00E52DBB">
        <w:rPr>
          <w:rFonts w:eastAsia="Calibri" w:cs="Times New Roman"/>
          <w:color w:val="000000"/>
          <w:sz w:val="24"/>
          <w:szCs w:val="24"/>
        </w:rPr>
        <w:t>ischemic heart disease</w:t>
      </w:r>
      <w:r w:rsidRPr="00E52DBB">
        <w:rPr>
          <w:rFonts w:eastAsia="Calibri" w:cs="Times New Roman"/>
          <w:sz w:val="24"/>
          <w:szCs w:val="24"/>
        </w:rPr>
        <w:t>suf</w:t>
      </w:r>
      <w:r>
        <w:rPr>
          <w:rFonts w:eastAsia="Calibri" w:cs="Times New Roman"/>
          <w:sz w:val="24"/>
          <w:szCs w:val="24"/>
        </w:rPr>
        <w:softHyphen/>
      </w:r>
      <w:r w:rsidRPr="00E52DBB">
        <w:rPr>
          <w:rFonts w:eastAsia="Calibri" w:cs="Times New Roman"/>
          <w:sz w:val="24"/>
          <w:szCs w:val="24"/>
        </w:rPr>
        <w:t>fered in 14.5% of patients, cholecystitis – 9.1%, obesity – 8.2%, type 2 diabetes – 6.4%, ulcer - 5.5%, gastritis - 4,5%, pancreatitis – 4,5%, chronic hepatitis - 2.7% of patients. Anemia was detected at 0,9% (Figure 3).</w:t>
      </w:r>
    </w:p>
    <w:p w14:paraId="4BB9754E" w14:textId="77777777" w:rsidR="00DD566D" w:rsidRPr="00E52DBB" w:rsidRDefault="00DD566D" w:rsidP="00DD566D">
      <w:pPr>
        <w:spacing w:line="276" w:lineRule="auto"/>
        <w:ind w:firstLine="567"/>
        <w:jc w:val="both"/>
        <w:rPr>
          <w:rFonts w:eastAsia="Calibri" w:cs="Times New Roman"/>
          <w:sz w:val="24"/>
          <w:szCs w:val="24"/>
        </w:rPr>
      </w:pPr>
    </w:p>
    <w:p w14:paraId="24D5FFCA" w14:textId="77777777" w:rsidR="00DD566D" w:rsidRPr="00E52DBB" w:rsidRDefault="00DD566D" w:rsidP="00DD566D">
      <w:pPr>
        <w:spacing w:line="276" w:lineRule="auto"/>
        <w:jc w:val="center"/>
        <w:rPr>
          <w:rFonts w:eastAsia="Calibri" w:cs="Times New Roman"/>
          <w:b/>
          <w:sz w:val="24"/>
          <w:szCs w:val="24"/>
          <w:lang w:val="ru-RU"/>
        </w:rPr>
      </w:pPr>
      <w:r w:rsidRPr="00E52DBB">
        <w:rPr>
          <w:rFonts w:eastAsia="Calibri" w:cs="Times New Roman"/>
          <w:b/>
          <w:noProof/>
          <w:sz w:val="24"/>
          <w:szCs w:val="24"/>
          <w:lang w:val="ru-RU" w:eastAsia="ru-RU"/>
        </w:rPr>
        <w:lastRenderedPageBreak/>
        <w:drawing>
          <wp:inline distT="0" distB="0" distL="0" distR="0" wp14:anchorId="020C4F97" wp14:editId="2D55FE31">
            <wp:extent cx="5848350" cy="191452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C2A2AD" w14:textId="77777777" w:rsidR="00DD566D" w:rsidRPr="00E52DBB" w:rsidRDefault="00DD566D" w:rsidP="00DD566D">
      <w:pPr>
        <w:spacing w:line="276" w:lineRule="auto"/>
        <w:ind w:firstLine="567"/>
        <w:jc w:val="both"/>
        <w:rPr>
          <w:rFonts w:eastAsia="Calibri" w:cs="Times New Roman"/>
          <w:b/>
          <w:sz w:val="24"/>
          <w:szCs w:val="24"/>
        </w:rPr>
      </w:pPr>
    </w:p>
    <w:p w14:paraId="05E7ACD4" w14:textId="77777777" w:rsidR="00DD566D" w:rsidRPr="00E52DBB" w:rsidRDefault="00DD566D" w:rsidP="00DD566D">
      <w:pPr>
        <w:spacing w:line="276" w:lineRule="auto"/>
        <w:jc w:val="center"/>
        <w:rPr>
          <w:rFonts w:eastAsia="Calibri" w:cs="Times New Roman"/>
          <w:b/>
          <w:sz w:val="24"/>
          <w:szCs w:val="24"/>
        </w:rPr>
      </w:pPr>
      <w:r w:rsidRPr="00E52DBB">
        <w:rPr>
          <w:rFonts w:eastAsia="Calibri" w:cs="Times New Roman"/>
          <w:b/>
          <w:sz w:val="24"/>
          <w:szCs w:val="24"/>
        </w:rPr>
        <w:t>2-picture. Prevalence of complaints in studied patients (n=110)</w:t>
      </w:r>
    </w:p>
    <w:p w14:paraId="23DDFCA9" w14:textId="77777777" w:rsidR="00DD566D" w:rsidRPr="00E52DBB" w:rsidRDefault="00DD566D" w:rsidP="00DD566D">
      <w:pPr>
        <w:spacing w:line="276" w:lineRule="auto"/>
        <w:ind w:firstLine="567"/>
        <w:jc w:val="both"/>
        <w:rPr>
          <w:rFonts w:eastAsia="Calibri" w:cs="Times New Roman"/>
          <w:sz w:val="24"/>
          <w:szCs w:val="24"/>
        </w:rPr>
      </w:pPr>
    </w:p>
    <w:p w14:paraId="1632A95A" w14:textId="77777777" w:rsidR="00DD566D" w:rsidRPr="00E52DBB" w:rsidRDefault="00DD566D" w:rsidP="00DD566D">
      <w:pPr>
        <w:spacing w:line="276" w:lineRule="auto"/>
        <w:jc w:val="center"/>
        <w:rPr>
          <w:rFonts w:eastAsia="Calibri" w:cs="Times New Roman"/>
          <w:b/>
          <w:sz w:val="24"/>
          <w:szCs w:val="24"/>
          <w:lang w:val="ru-RU"/>
        </w:rPr>
      </w:pPr>
      <w:r w:rsidRPr="00E52DBB">
        <w:rPr>
          <w:rFonts w:eastAsia="Calibri" w:cs="Times New Roman"/>
          <w:b/>
          <w:noProof/>
          <w:sz w:val="24"/>
          <w:szCs w:val="24"/>
          <w:lang w:val="ru-RU" w:eastAsia="ru-RU"/>
        </w:rPr>
        <w:drawing>
          <wp:inline distT="0" distB="0" distL="0" distR="0" wp14:anchorId="57056954" wp14:editId="05A6AFF5">
            <wp:extent cx="5753100" cy="2499360"/>
            <wp:effectExtent l="0" t="0" r="0" b="152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979FE3" w14:textId="77777777" w:rsidR="00DD566D" w:rsidRDefault="00DD566D" w:rsidP="00DD566D">
      <w:pPr>
        <w:spacing w:line="264" w:lineRule="auto"/>
        <w:jc w:val="both"/>
        <w:rPr>
          <w:rFonts w:eastAsia="Calibri" w:cs="Times New Roman"/>
          <w:b/>
          <w:sz w:val="24"/>
          <w:szCs w:val="24"/>
          <w:lang w:val="uz-Cyrl-UZ"/>
        </w:rPr>
      </w:pPr>
    </w:p>
    <w:p w14:paraId="43DD982A" w14:textId="77777777" w:rsidR="00DD566D" w:rsidRPr="00E52DBB" w:rsidRDefault="00DD566D" w:rsidP="00DD566D">
      <w:pPr>
        <w:spacing w:line="264" w:lineRule="auto"/>
        <w:jc w:val="center"/>
        <w:rPr>
          <w:rFonts w:eastAsia="Calibri" w:cs="Times New Roman"/>
          <w:b/>
          <w:sz w:val="24"/>
          <w:szCs w:val="24"/>
          <w:lang w:val="uz-Cyrl-UZ"/>
        </w:rPr>
      </w:pPr>
      <w:r w:rsidRPr="00E52DBB">
        <w:rPr>
          <w:rFonts w:eastAsia="Calibri" w:cs="Times New Roman"/>
          <w:b/>
          <w:sz w:val="24"/>
          <w:szCs w:val="24"/>
          <w:lang w:val="uz-Cyrl-UZ"/>
        </w:rPr>
        <w:t>3-picture. Prevalence of major somatic diseases in studied patients (n=110)</w:t>
      </w:r>
    </w:p>
    <w:p w14:paraId="27234ECA" w14:textId="77777777" w:rsidR="00DD566D" w:rsidRPr="00E52DBB" w:rsidRDefault="00DD566D" w:rsidP="00DD566D">
      <w:pPr>
        <w:spacing w:line="264" w:lineRule="auto"/>
        <w:ind w:firstLine="567"/>
        <w:jc w:val="both"/>
        <w:rPr>
          <w:rFonts w:eastAsia="Calibri" w:cs="Times New Roman"/>
          <w:sz w:val="24"/>
          <w:szCs w:val="24"/>
          <w:lang w:val="uz-Cyrl-UZ"/>
        </w:rPr>
      </w:pPr>
    </w:p>
    <w:p w14:paraId="10925275" w14:textId="77777777" w:rsidR="00DD566D" w:rsidRDefault="00DD566D" w:rsidP="00DD566D">
      <w:pPr>
        <w:spacing w:line="264" w:lineRule="auto"/>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58721963" w14:textId="77777777" w:rsidR="00DD566D" w:rsidRPr="0049149C" w:rsidRDefault="00DD566D" w:rsidP="00DD566D">
      <w:pPr>
        <w:spacing w:line="264" w:lineRule="auto"/>
        <w:ind w:firstLine="567"/>
        <w:jc w:val="both"/>
        <w:rPr>
          <w:rFonts w:eastAsia="Calibri" w:cs="Times New Roman"/>
          <w:sz w:val="24"/>
          <w:szCs w:val="24"/>
        </w:rPr>
        <w:sectPr w:rsidR="00DD566D" w:rsidRPr="0049149C" w:rsidSect="0049149C">
          <w:type w:val="continuous"/>
          <w:pgSz w:w="11907" w:h="16840" w:code="9"/>
          <w:pgMar w:top="1418" w:right="1134" w:bottom="1134" w:left="1134" w:header="907" w:footer="794" w:gutter="0"/>
          <w:cols w:num="2" w:space="708"/>
          <w:docGrid w:linePitch="381"/>
        </w:sectPr>
      </w:pPr>
      <w:r w:rsidRPr="00E52DBB">
        <w:rPr>
          <w:rFonts w:eastAsia="Calibri" w:cs="Times New Roman"/>
          <w:sz w:val="24"/>
          <w:szCs w:val="24"/>
        </w:rPr>
        <w:t xml:space="preserve">We studied the body weight index (BWI) of all patients (Table 3). We can see from the table that the severe course of the disease was observed in those with 2 degree of obesity </w:t>
      </w:r>
      <w:r w:rsidRPr="00E52DBB">
        <w:rPr>
          <w:rFonts w:eastAsia="Calibri" w:cs="Times New Roman"/>
          <w:sz w:val="24"/>
          <w:szCs w:val="24"/>
        </w:rPr>
        <w:t>(BWI 35-40). Excess weight was present in those who underwent the disease with moder</w:t>
      </w:r>
      <w:r>
        <w:rPr>
          <w:rFonts w:eastAsia="Calibri" w:cs="Times New Roman"/>
          <w:sz w:val="24"/>
          <w:szCs w:val="24"/>
        </w:rPr>
        <w:softHyphen/>
      </w:r>
      <w:r w:rsidRPr="00E52DBB">
        <w:rPr>
          <w:rFonts w:eastAsia="Calibri" w:cs="Times New Roman"/>
          <w:sz w:val="24"/>
          <w:szCs w:val="24"/>
        </w:rPr>
        <w:t>ate severity (BWI 25-30). There was no weight loss among all the muscles.</w:t>
      </w:r>
    </w:p>
    <w:p w14:paraId="2C44BE5D" w14:textId="77777777" w:rsidR="00DD566D" w:rsidRPr="00E52DBB" w:rsidRDefault="00DD566D" w:rsidP="00DD566D">
      <w:pPr>
        <w:spacing w:line="264" w:lineRule="auto"/>
        <w:ind w:firstLine="567"/>
        <w:jc w:val="both"/>
        <w:rPr>
          <w:rFonts w:eastAsia="Calibri" w:cs="Times New Roman"/>
          <w:sz w:val="24"/>
          <w:szCs w:val="24"/>
          <w:lang w:val="uz-Cyrl-UZ"/>
        </w:rPr>
      </w:pPr>
    </w:p>
    <w:p w14:paraId="6447AFA1" w14:textId="77777777" w:rsidR="00DD566D" w:rsidRPr="00E52DBB" w:rsidRDefault="00DD566D" w:rsidP="00DD566D">
      <w:pPr>
        <w:spacing w:line="264" w:lineRule="auto"/>
        <w:ind w:firstLine="567"/>
        <w:contextualSpacing/>
        <w:jc w:val="right"/>
        <w:rPr>
          <w:rFonts w:eastAsia="Calibri" w:cs="Times New Roman"/>
          <w:b/>
          <w:i/>
          <w:iCs/>
          <w:sz w:val="24"/>
          <w:szCs w:val="24"/>
          <w:lang w:val="uz-Cyrl-UZ"/>
        </w:rPr>
      </w:pPr>
      <w:r w:rsidRPr="00E52DBB">
        <w:rPr>
          <w:rFonts w:eastAsia="Calibri" w:cs="Times New Roman"/>
          <w:b/>
          <w:i/>
          <w:iCs/>
          <w:sz w:val="24"/>
          <w:szCs w:val="24"/>
          <w:lang w:val="uz-Cyrl-UZ"/>
        </w:rPr>
        <w:t xml:space="preserve">                                                                                                                  3- graph</w:t>
      </w:r>
    </w:p>
    <w:p w14:paraId="2D299605" w14:textId="77777777" w:rsidR="00DD566D" w:rsidRDefault="00DD566D" w:rsidP="00DD566D">
      <w:pPr>
        <w:spacing w:line="264" w:lineRule="auto"/>
        <w:jc w:val="center"/>
        <w:rPr>
          <w:rFonts w:eastAsia="Calibri" w:cs="Times New Roman"/>
          <w:b/>
          <w:sz w:val="24"/>
          <w:szCs w:val="24"/>
          <w:lang w:val="uz-Cyrl-UZ"/>
        </w:rPr>
      </w:pPr>
      <w:r w:rsidRPr="00E52DBB">
        <w:rPr>
          <w:rFonts w:eastAsia="Calibri" w:cs="Times New Roman"/>
          <w:b/>
          <w:sz w:val="24"/>
          <w:szCs w:val="24"/>
        </w:rPr>
        <w:t>D</w:t>
      </w:r>
      <w:r w:rsidRPr="00E52DBB">
        <w:rPr>
          <w:rFonts w:eastAsia="Calibri" w:cs="Times New Roman"/>
          <w:b/>
          <w:sz w:val="24"/>
          <w:szCs w:val="24"/>
          <w:lang w:val="uz-Cyrl-UZ"/>
        </w:rPr>
        <w:t>istribution of the disease weight level depending on the body weight index</w:t>
      </w:r>
    </w:p>
    <w:p w14:paraId="2F6D1230" w14:textId="77777777" w:rsidR="00DD566D" w:rsidRPr="00E52DBB" w:rsidRDefault="00DD566D" w:rsidP="00DD566D">
      <w:pPr>
        <w:spacing w:line="264" w:lineRule="auto"/>
        <w:jc w:val="center"/>
        <w:rPr>
          <w:rFonts w:eastAsia="Calibri" w:cs="Times New Roman"/>
          <w:b/>
          <w:sz w:val="24"/>
          <w:szCs w:val="24"/>
          <w:lang w:val="uz-Cyrl-UZ"/>
        </w:rPr>
      </w:pPr>
    </w:p>
    <w:tbl>
      <w:tblPr>
        <w:tblStyle w:val="22"/>
        <w:tblW w:w="0" w:type="auto"/>
        <w:jc w:val="center"/>
        <w:tblLook w:val="04A0" w:firstRow="1" w:lastRow="0" w:firstColumn="1" w:lastColumn="0" w:noHBand="0" w:noVBand="1"/>
      </w:tblPr>
      <w:tblGrid>
        <w:gridCol w:w="4106"/>
        <w:gridCol w:w="2268"/>
        <w:gridCol w:w="1843"/>
        <w:gridCol w:w="1127"/>
      </w:tblGrid>
      <w:tr w:rsidR="00DD566D" w:rsidRPr="00E52DBB" w14:paraId="79C12783" w14:textId="77777777" w:rsidTr="00C90B56">
        <w:trPr>
          <w:jc w:val="center"/>
        </w:trPr>
        <w:tc>
          <w:tcPr>
            <w:tcW w:w="4106" w:type="dxa"/>
            <w:vAlign w:val="center"/>
          </w:tcPr>
          <w:p w14:paraId="065F8326"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w:t>
            </w:r>
            <w:r w:rsidRPr="00E52DBB">
              <w:rPr>
                <w:rFonts w:ascii="Times New Roman" w:eastAsia="Calibri" w:hAnsi="Times New Roman" w:cs="Times New Roman"/>
                <w:sz w:val="24"/>
                <w:szCs w:val="24"/>
              </w:rPr>
              <w:t>WI</w:t>
            </w:r>
            <w:r w:rsidRPr="00E52DBB">
              <w:rPr>
                <w:rFonts w:ascii="Times New Roman" w:eastAsia="Calibri" w:hAnsi="Times New Roman" w:cs="Times New Roman"/>
                <w:sz w:val="24"/>
                <w:szCs w:val="24"/>
                <w:lang w:val="uz-Cyrl-UZ"/>
              </w:rPr>
              <w:t xml:space="preserve"> indicator</w:t>
            </w:r>
          </w:p>
        </w:tc>
        <w:tc>
          <w:tcPr>
            <w:tcW w:w="2268" w:type="dxa"/>
            <w:vAlign w:val="center"/>
          </w:tcPr>
          <w:p w14:paraId="1936F5C4" w14:textId="77777777" w:rsidR="00DD566D" w:rsidRPr="00E52DBB" w:rsidRDefault="00DD566D" w:rsidP="00C90B56">
            <w:pPr>
              <w:spacing w:line="264"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uz-Cyrl-UZ"/>
              </w:rPr>
              <w:t>Moderate severe course of the disease</w:t>
            </w:r>
          </w:p>
        </w:tc>
        <w:tc>
          <w:tcPr>
            <w:tcW w:w="1843" w:type="dxa"/>
            <w:vAlign w:val="center"/>
          </w:tcPr>
          <w:p w14:paraId="6C7F1314"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Heavy evening</w:t>
            </w:r>
          </w:p>
        </w:tc>
        <w:tc>
          <w:tcPr>
            <w:tcW w:w="1127" w:type="dxa"/>
            <w:shd w:val="clear" w:color="auto" w:fill="F2F2F2"/>
            <w:vAlign w:val="center"/>
          </w:tcPr>
          <w:p w14:paraId="620BCCEA"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p</w:t>
            </w:r>
          </w:p>
        </w:tc>
      </w:tr>
      <w:tr w:rsidR="00DD566D" w:rsidRPr="00E52DBB" w14:paraId="4B03F207" w14:textId="77777777" w:rsidTr="00C90B56">
        <w:trPr>
          <w:jc w:val="center"/>
        </w:trPr>
        <w:tc>
          <w:tcPr>
            <w:tcW w:w="4106" w:type="dxa"/>
            <w:vAlign w:val="center"/>
          </w:tcPr>
          <w:p w14:paraId="0215CC1F"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w:t>
            </w:r>
            <w:r w:rsidRPr="00E52DBB">
              <w:rPr>
                <w:rFonts w:ascii="Times New Roman" w:eastAsia="Calibri" w:hAnsi="Times New Roman" w:cs="Times New Roman"/>
                <w:sz w:val="24"/>
                <w:szCs w:val="24"/>
              </w:rPr>
              <w:t>WI &lt;18,5</w:t>
            </w:r>
          </w:p>
          <w:p w14:paraId="19447ABC"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weight loss</w:t>
            </w:r>
            <w:r w:rsidRPr="00E52DBB">
              <w:rPr>
                <w:rFonts w:ascii="Times New Roman" w:eastAsia="Calibri" w:hAnsi="Times New Roman" w:cs="Times New Roman"/>
                <w:sz w:val="24"/>
                <w:szCs w:val="24"/>
              </w:rPr>
              <w:t>)</w:t>
            </w:r>
          </w:p>
        </w:tc>
        <w:tc>
          <w:tcPr>
            <w:tcW w:w="2268" w:type="dxa"/>
            <w:vAlign w:val="center"/>
          </w:tcPr>
          <w:p w14:paraId="73253DFC"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1843" w:type="dxa"/>
            <w:vAlign w:val="center"/>
          </w:tcPr>
          <w:p w14:paraId="76C7EC85"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1127" w:type="dxa"/>
            <w:shd w:val="clear" w:color="auto" w:fill="F2F2F2"/>
            <w:vAlign w:val="center"/>
          </w:tcPr>
          <w:p w14:paraId="6EC9B3CF" w14:textId="77777777" w:rsidR="00DD566D" w:rsidRPr="00E52DBB" w:rsidRDefault="00DD566D" w:rsidP="00C90B56">
            <w:pPr>
              <w:spacing w:line="264" w:lineRule="auto"/>
              <w:jc w:val="center"/>
              <w:rPr>
                <w:rFonts w:ascii="Times New Roman" w:eastAsia="Calibri" w:hAnsi="Times New Roman" w:cs="Times New Roman"/>
                <w:sz w:val="24"/>
                <w:szCs w:val="24"/>
                <w:lang w:eastAsia="ru-RU"/>
              </w:rPr>
            </w:pPr>
            <w:r w:rsidRPr="00E52DBB">
              <w:rPr>
                <w:rFonts w:ascii="Times New Roman" w:eastAsia="Calibri" w:hAnsi="Times New Roman" w:cs="Times New Roman"/>
                <w:sz w:val="24"/>
                <w:szCs w:val="24"/>
                <w:lang w:eastAsia="ru-RU"/>
              </w:rPr>
              <w:t>-</w:t>
            </w:r>
          </w:p>
        </w:tc>
      </w:tr>
      <w:tr w:rsidR="00DD566D" w:rsidRPr="00E52DBB" w14:paraId="61459B3F" w14:textId="77777777" w:rsidTr="00C90B56">
        <w:trPr>
          <w:jc w:val="center"/>
        </w:trPr>
        <w:tc>
          <w:tcPr>
            <w:tcW w:w="4106" w:type="dxa"/>
            <w:vAlign w:val="center"/>
          </w:tcPr>
          <w:p w14:paraId="7168CAAF"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w:t>
            </w:r>
            <w:r w:rsidRPr="00E52DBB">
              <w:rPr>
                <w:rFonts w:ascii="Times New Roman" w:eastAsia="Calibri" w:hAnsi="Times New Roman" w:cs="Times New Roman"/>
                <w:sz w:val="24"/>
                <w:szCs w:val="24"/>
              </w:rPr>
              <w:t>WI = 18,5-25</w:t>
            </w:r>
          </w:p>
          <w:p w14:paraId="5C349B1A"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(standard)</w:t>
            </w:r>
          </w:p>
        </w:tc>
        <w:tc>
          <w:tcPr>
            <w:tcW w:w="2268" w:type="dxa"/>
            <w:vAlign w:val="center"/>
          </w:tcPr>
          <w:p w14:paraId="692F1447"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22 (20%)</w:t>
            </w:r>
          </w:p>
        </w:tc>
        <w:tc>
          <w:tcPr>
            <w:tcW w:w="1843" w:type="dxa"/>
            <w:vAlign w:val="center"/>
          </w:tcPr>
          <w:p w14:paraId="4E29CDD8"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1127" w:type="dxa"/>
            <w:shd w:val="clear" w:color="auto" w:fill="F2F2F2"/>
            <w:vAlign w:val="center"/>
          </w:tcPr>
          <w:p w14:paraId="34CAC072"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r>
      <w:tr w:rsidR="00DD566D" w:rsidRPr="00E52DBB" w14:paraId="44268C5A" w14:textId="77777777" w:rsidTr="00C90B56">
        <w:trPr>
          <w:jc w:val="center"/>
        </w:trPr>
        <w:tc>
          <w:tcPr>
            <w:tcW w:w="4106" w:type="dxa"/>
            <w:vAlign w:val="center"/>
          </w:tcPr>
          <w:p w14:paraId="4661A4D1"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w:t>
            </w:r>
            <w:r w:rsidRPr="00E52DBB">
              <w:rPr>
                <w:rFonts w:ascii="Times New Roman" w:eastAsia="Calibri" w:hAnsi="Times New Roman" w:cs="Times New Roman"/>
                <w:sz w:val="24"/>
                <w:szCs w:val="24"/>
              </w:rPr>
              <w:t>WI = 25-30</w:t>
            </w:r>
          </w:p>
          <w:p w14:paraId="2AFCB31B"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excess weight</w:t>
            </w:r>
            <w:r w:rsidRPr="00E52DBB">
              <w:rPr>
                <w:rFonts w:ascii="Times New Roman" w:eastAsia="Calibri" w:hAnsi="Times New Roman" w:cs="Times New Roman"/>
                <w:sz w:val="24"/>
                <w:szCs w:val="24"/>
              </w:rPr>
              <w:t>)</w:t>
            </w:r>
          </w:p>
        </w:tc>
        <w:tc>
          <w:tcPr>
            <w:tcW w:w="2268" w:type="dxa"/>
            <w:vAlign w:val="center"/>
          </w:tcPr>
          <w:p w14:paraId="3B6FC9BB"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48 (43,6%)</w:t>
            </w:r>
          </w:p>
        </w:tc>
        <w:tc>
          <w:tcPr>
            <w:tcW w:w="1843" w:type="dxa"/>
            <w:vAlign w:val="center"/>
          </w:tcPr>
          <w:p w14:paraId="4A9AEA3E"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1127" w:type="dxa"/>
            <w:shd w:val="clear" w:color="auto" w:fill="F2F2F2"/>
            <w:vAlign w:val="center"/>
          </w:tcPr>
          <w:p w14:paraId="34192829"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r>
      <w:tr w:rsidR="00DD566D" w:rsidRPr="00E52DBB" w14:paraId="4C44E80F" w14:textId="77777777" w:rsidTr="00C90B56">
        <w:trPr>
          <w:jc w:val="center"/>
        </w:trPr>
        <w:tc>
          <w:tcPr>
            <w:tcW w:w="4106" w:type="dxa"/>
            <w:vAlign w:val="center"/>
          </w:tcPr>
          <w:p w14:paraId="15E34246"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w:t>
            </w:r>
            <w:r w:rsidRPr="00E52DBB">
              <w:rPr>
                <w:rFonts w:ascii="Times New Roman" w:eastAsia="Calibri" w:hAnsi="Times New Roman" w:cs="Times New Roman"/>
                <w:sz w:val="24"/>
                <w:szCs w:val="24"/>
              </w:rPr>
              <w:t>WI = 30-35</w:t>
            </w:r>
          </w:p>
          <w:p w14:paraId="4A722848"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lastRenderedPageBreak/>
              <w:t>(</w:t>
            </w:r>
            <w:r w:rsidRPr="00E52DBB">
              <w:rPr>
                <w:rFonts w:ascii="Times New Roman" w:eastAsia="Calibri" w:hAnsi="Times New Roman" w:cs="Times New Roman"/>
                <w:sz w:val="24"/>
                <w:szCs w:val="24"/>
                <w:lang w:val="uz-Cyrl-UZ"/>
              </w:rPr>
              <w:t>obesity 1 degree</w:t>
            </w:r>
            <w:r w:rsidRPr="00E52DBB">
              <w:rPr>
                <w:rFonts w:ascii="Times New Roman" w:eastAsia="Calibri" w:hAnsi="Times New Roman" w:cs="Times New Roman"/>
                <w:sz w:val="24"/>
                <w:szCs w:val="24"/>
              </w:rPr>
              <w:t>)</w:t>
            </w:r>
          </w:p>
        </w:tc>
        <w:tc>
          <w:tcPr>
            <w:tcW w:w="2268" w:type="dxa"/>
            <w:vAlign w:val="center"/>
          </w:tcPr>
          <w:p w14:paraId="18803C7B"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lastRenderedPageBreak/>
              <w:t>27 (24,5%)</w:t>
            </w:r>
          </w:p>
        </w:tc>
        <w:tc>
          <w:tcPr>
            <w:tcW w:w="1843" w:type="dxa"/>
            <w:vAlign w:val="center"/>
          </w:tcPr>
          <w:p w14:paraId="0A9D0ADC"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 (1,8%)</w:t>
            </w:r>
            <w:r w:rsidRPr="00E52DBB">
              <w:rPr>
                <w:rFonts w:ascii="Times New Roman" w:eastAsia="Calibri" w:hAnsi="Times New Roman" w:cs="Times New Roman"/>
                <w:color w:val="000000"/>
                <w:sz w:val="24"/>
                <w:szCs w:val="24"/>
              </w:rPr>
              <w:t>*</w:t>
            </w:r>
          </w:p>
        </w:tc>
        <w:tc>
          <w:tcPr>
            <w:tcW w:w="1127" w:type="dxa"/>
            <w:shd w:val="clear" w:color="auto" w:fill="F2F2F2"/>
            <w:vAlign w:val="center"/>
          </w:tcPr>
          <w:p w14:paraId="45B65B09" w14:textId="77777777" w:rsidR="00DD566D" w:rsidRPr="00E52DBB" w:rsidRDefault="00DD566D" w:rsidP="00C90B56">
            <w:pPr>
              <w:spacing w:line="264" w:lineRule="auto"/>
              <w:jc w:val="center"/>
              <w:rPr>
                <w:rFonts w:ascii="Times New Roman" w:eastAsia="Calibri" w:hAnsi="Times New Roman" w:cs="Times New Roman"/>
                <w:i/>
                <w:color w:val="000000"/>
                <w:sz w:val="24"/>
                <w:szCs w:val="24"/>
              </w:rPr>
            </w:pPr>
          </w:p>
          <w:p w14:paraId="7FCF3C30"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i/>
                <w:color w:val="000000"/>
                <w:sz w:val="24"/>
                <w:szCs w:val="24"/>
              </w:rPr>
              <w:lastRenderedPageBreak/>
              <w:t>P&gt;0,05</w:t>
            </w:r>
          </w:p>
        </w:tc>
      </w:tr>
      <w:tr w:rsidR="00DD566D" w:rsidRPr="00E52DBB" w14:paraId="73E723AE" w14:textId="77777777" w:rsidTr="00C90B56">
        <w:trPr>
          <w:jc w:val="center"/>
        </w:trPr>
        <w:tc>
          <w:tcPr>
            <w:tcW w:w="4106" w:type="dxa"/>
            <w:vAlign w:val="center"/>
          </w:tcPr>
          <w:p w14:paraId="0A877393"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lastRenderedPageBreak/>
              <w:t>B</w:t>
            </w:r>
            <w:r w:rsidRPr="00E52DBB">
              <w:rPr>
                <w:rFonts w:ascii="Times New Roman" w:eastAsia="Calibri" w:hAnsi="Times New Roman" w:cs="Times New Roman"/>
                <w:sz w:val="24"/>
                <w:szCs w:val="24"/>
              </w:rPr>
              <w:t>WI = 35-40</w:t>
            </w:r>
          </w:p>
          <w:p w14:paraId="09698601" w14:textId="77777777" w:rsidR="00DD566D" w:rsidRPr="00E52DBB" w:rsidRDefault="00DD566D" w:rsidP="00C90B56">
            <w:pPr>
              <w:spacing w:line="264" w:lineRule="auto"/>
              <w:rPr>
                <w:rFonts w:ascii="Times New Roman" w:eastAsia="Calibri" w:hAnsi="Times New Roman" w:cs="Times New Roman"/>
                <w:sz w:val="24"/>
                <w:szCs w:val="24"/>
              </w:rPr>
            </w:pP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obesity 2 degree</w:t>
            </w:r>
            <w:r w:rsidRPr="00E52DBB">
              <w:rPr>
                <w:rFonts w:ascii="Times New Roman" w:eastAsia="Calibri" w:hAnsi="Times New Roman" w:cs="Times New Roman"/>
                <w:sz w:val="24"/>
                <w:szCs w:val="24"/>
              </w:rPr>
              <w:t>)</w:t>
            </w:r>
          </w:p>
        </w:tc>
        <w:tc>
          <w:tcPr>
            <w:tcW w:w="2268" w:type="dxa"/>
            <w:vAlign w:val="center"/>
          </w:tcPr>
          <w:p w14:paraId="30467F4C"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c>
          <w:tcPr>
            <w:tcW w:w="1843" w:type="dxa"/>
            <w:vAlign w:val="center"/>
          </w:tcPr>
          <w:p w14:paraId="1B8E6386"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11 (11%)</w:t>
            </w:r>
          </w:p>
        </w:tc>
        <w:tc>
          <w:tcPr>
            <w:tcW w:w="1127" w:type="dxa"/>
            <w:shd w:val="clear" w:color="auto" w:fill="F2F2F2"/>
            <w:vAlign w:val="center"/>
          </w:tcPr>
          <w:p w14:paraId="408CC826"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w:t>
            </w:r>
          </w:p>
        </w:tc>
      </w:tr>
      <w:tr w:rsidR="00DD566D" w:rsidRPr="00E52DBB" w14:paraId="39B095E4" w14:textId="77777777" w:rsidTr="00C90B56">
        <w:trPr>
          <w:jc w:val="center"/>
        </w:trPr>
        <w:tc>
          <w:tcPr>
            <w:tcW w:w="4106" w:type="dxa"/>
            <w:vAlign w:val="center"/>
          </w:tcPr>
          <w:p w14:paraId="0550CE2A"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total</w:t>
            </w:r>
          </w:p>
        </w:tc>
        <w:tc>
          <w:tcPr>
            <w:tcW w:w="2268" w:type="dxa"/>
            <w:vAlign w:val="center"/>
          </w:tcPr>
          <w:p w14:paraId="0801CFCB"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97 (88,1)</w:t>
            </w:r>
          </w:p>
        </w:tc>
        <w:tc>
          <w:tcPr>
            <w:tcW w:w="1843" w:type="dxa"/>
            <w:vAlign w:val="center"/>
          </w:tcPr>
          <w:p w14:paraId="488D4A81"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13 (11,8%)</w:t>
            </w:r>
            <w:r w:rsidRPr="00E52DBB">
              <w:rPr>
                <w:rFonts w:ascii="Times New Roman" w:eastAsia="Calibri" w:hAnsi="Times New Roman" w:cs="Times New Roman"/>
                <w:color w:val="000000"/>
                <w:sz w:val="24"/>
                <w:szCs w:val="24"/>
              </w:rPr>
              <w:t>*</w:t>
            </w:r>
          </w:p>
        </w:tc>
        <w:tc>
          <w:tcPr>
            <w:tcW w:w="1127" w:type="dxa"/>
            <w:shd w:val="clear" w:color="auto" w:fill="F2F2F2"/>
            <w:vAlign w:val="center"/>
          </w:tcPr>
          <w:p w14:paraId="6F7013B2" w14:textId="77777777" w:rsidR="00DD566D" w:rsidRPr="00E52DBB" w:rsidRDefault="00DD566D" w:rsidP="00C90B56">
            <w:pPr>
              <w:spacing w:line="264" w:lineRule="auto"/>
              <w:jc w:val="center"/>
              <w:rPr>
                <w:rFonts w:ascii="Times New Roman" w:eastAsia="Calibri" w:hAnsi="Times New Roman" w:cs="Times New Roman"/>
                <w:sz w:val="24"/>
                <w:szCs w:val="24"/>
              </w:rPr>
            </w:pPr>
            <w:r w:rsidRPr="00E52DBB">
              <w:rPr>
                <w:rFonts w:ascii="Times New Roman" w:eastAsia="Calibri" w:hAnsi="Times New Roman" w:cs="Times New Roman"/>
                <w:i/>
                <w:color w:val="000000"/>
                <w:sz w:val="24"/>
                <w:szCs w:val="24"/>
              </w:rPr>
              <w:t>P&gt;0,05</w:t>
            </w:r>
          </w:p>
        </w:tc>
      </w:tr>
    </w:tbl>
    <w:p w14:paraId="467319FA" w14:textId="77777777" w:rsidR="00DD566D" w:rsidRPr="00E52DBB" w:rsidRDefault="00DD566D" w:rsidP="00DD566D">
      <w:pPr>
        <w:spacing w:line="264" w:lineRule="auto"/>
        <w:ind w:firstLine="567"/>
        <w:jc w:val="both"/>
        <w:rPr>
          <w:rFonts w:eastAsia="Calibri" w:cs="Times New Roman"/>
          <w:sz w:val="24"/>
          <w:szCs w:val="24"/>
          <w:lang w:val="ru-RU"/>
        </w:rPr>
      </w:pPr>
    </w:p>
    <w:p w14:paraId="48B876F8" w14:textId="77777777" w:rsidR="00DD566D" w:rsidRDefault="00DD566D" w:rsidP="00DD566D">
      <w:pPr>
        <w:spacing w:line="264" w:lineRule="auto"/>
        <w:ind w:firstLine="567"/>
        <w:jc w:val="both"/>
        <w:rPr>
          <w:rFonts w:eastAsia="Calibri" w:cs="Times New Roman"/>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67B8D831" w14:textId="77777777" w:rsidR="00DD566D" w:rsidRPr="0049149C" w:rsidRDefault="00DD566D" w:rsidP="00DD566D">
      <w:pPr>
        <w:ind w:firstLine="567"/>
        <w:jc w:val="both"/>
        <w:rPr>
          <w:rFonts w:eastAsia="Calibri" w:cs="Times New Roman"/>
          <w:sz w:val="24"/>
          <w:szCs w:val="24"/>
        </w:rPr>
        <w:sectPr w:rsidR="00DD566D" w:rsidRPr="0049149C" w:rsidSect="0049149C">
          <w:type w:val="continuous"/>
          <w:pgSz w:w="11907" w:h="16840" w:code="9"/>
          <w:pgMar w:top="1418" w:right="1134" w:bottom="1134" w:left="1134" w:header="907" w:footer="794" w:gutter="0"/>
          <w:cols w:num="2" w:space="708"/>
          <w:docGrid w:linePitch="381"/>
        </w:sectPr>
      </w:pPr>
      <w:r w:rsidRPr="00E52DBB">
        <w:rPr>
          <w:rFonts w:eastAsia="Calibri" w:cs="Times New Roman"/>
          <w:sz w:val="24"/>
          <w:szCs w:val="24"/>
        </w:rPr>
        <w:t>The results of biochemical analysis, were presented in Table 4. The average index of AlAT and AsAT was 43,4±31,59 and 37,57±27,43 ED at the norm border. The aver</w:t>
      </w:r>
      <w:r>
        <w:rPr>
          <w:rFonts w:eastAsia="Calibri" w:cs="Times New Roman"/>
          <w:sz w:val="24"/>
          <w:szCs w:val="24"/>
        </w:rPr>
        <w:softHyphen/>
      </w:r>
      <w:r w:rsidRPr="00E52DBB">
        <w:rPr>
          <w:rFonts w:eastAsia="Calibri" w:cs="Times New Roman"/>
          <w:sz w:val="24"/>
          <w:szCs w:val="24"/>
        </w:rPr>
        <w:t>age amount of total bilirubin is 9,78±4,1 mmol / l. The total protein is 75,72±3,76 g / l. On av</w:t>
      </w:r>
      <w:r>
        <w:rPr>
          <w:rFonts w:eastAsia="Calibri" w:cs="Times New Roman"/>
          <w:sz w:val="24"/>
          <w:szCs w:val="24"/>
        </w:rPr>
        <w:softHyphen/>
      </w:r>
      <w:r w:rsidRPr="00E52DBB">
        <w:rPr>
          <w:rFonts w:eastAsia="Calibri" w:cs="Times New Roman"/>
          <w:sz w:val="24"/>
          <w:szCs w:val="24"/>
        </w:rPr>
        <w:t>erage, the amount of albumin is 37,02±2,36 g / l. Most patients, there was an increase in C re</w:t>
      </w:r>
      <w:r>
        <w:rPr>
          <w:rFonts w:eastAsia="Calibri" w:cs="Times New Roman"/>
          <w:sz w:val="24"/>
          <w:szCs w:val="24"/>
        </w:rPr>
        <w:softHyphen/>
      </w:r>
      <w:r w:rsidRPr="00E52DBB">
        <w:rPr>
          <w:rFonts w:eastAsia="Calibri" w:cs="Times New Roman"/>
          <w:sz w:val="24"/>
          <w:szCs w:val="24"/>
        </w:rPr>
        <w:t>active protein, 36,8±45,09 ED. The sugar con</w:t>
      </w:r>
      <w:r>
        <w:rPr>
          <w:rFonts w:eastAsia="Calibri" w:cs="Times New Roman"/>
          <w:sz w:val="24"/>
          <w:szCs w:val="24"/>
        </w:rPr>
        <w:softHyphen/>
      </w:r>
      <w:r w:rsidRPr="00E52DBB">
        <w:rPr>
          <w:rFonts w:eastAsia="Calibri" w:cs="Times New Roman"/>
          <w:sz w:val="24"/>
          <w:szCs w:val="24"/>
        </w:rPr>
        <w:t>tent in the blood was within the norm range, indicating 5,33±1,96 mmol/l. By involving us an increase in the amount of creatinine in the blood was equal to 92,65±25,73 mmol/l. Mo</w:t>
      </w:r>
      <w:r>
        <w:rPr>
          <w:rFonts w:eastAsia="Calibri" w:cs="Times New Roman"/>
          <w:sz w:val="24"/>
          <w:szCs w:val="24"/>
        </w:rPr>
        <w:softHyphen/>
      </w:r>
      <w:r w:rsidRPr="00E52DBB">
        <w:rPr>
          <w:rFonts w:eastAsia="Calibri" w:cs="Times New Roman"/>
          <w:sz w:val="24"/>
          <w:szCs w:val="24"/>
        </w:rPr>
        <w:t>chevina showed the last limit of the norm in the blood 5,87±1,9 mmol / l. Lactatdegidroginase (LDG) and amylase were detected in some pa</w:t>
      </w:r>
      <w:r>
        <w:rPr>
          <w:rFonts w:eastAsia="Calibri" w:cs="Times New Roman"/>
          <w:sz w:val="24"/>
          <w:szCs w:val="24"/>
        </w:rPr>
        <w:softHyphen/>
      </w:r>
      <w:r w:rsidRPr="00E52DBB">
        <w:rPr>
          <w:rFonts w:eastAsia="Calibri" w:cs="Times New Roman"/>
          <w:sz w:val="24"/>
          <w:szCs w:val="24"/>
        </w:rPr>
        <w:t>tients 240505±59,22 ED/l and 137,95±29,72 ED/l.</w:t>
      </w:r>
    </w:p>
    <w:p w14:paraId="394AB04F" w14:textId="77777777" w:rsidR="00DD566D" w:rsidRPr="00E52DBB" w:rsidRDefault="00DD566D" w:rsidP="00DD566D">
      <w:pPr>
        <w:spacing w:line="276" w:lineRule="auto"/>
        <w:ind w:firstLine="567"/>
        <w:jc w:val="right"/>
        <w:rPr>
          <w:rFonts w:eastAsia="Calibri" w:cs="Times New Roman"/>
          <w:b/>
          <w:i/>
          <w:iCs/>
          <w:sz w:val="24"/>
          <w:szCs w:val="24"/>
          <w:lang w:val="ru-RU"/>
        </w:rPr>
      </w:pPr>
      <w:r w:rsidRPr="00E52DBB">
        <w:rPr>
          <w:rFonts w:eastAsia="Calibri" w:cs="Times New Roman"/>
          <w:i/>
          <w:iCs/>
          <w:sz w:val="24"/>
          <w:szCs w:val="24"/>
          <w:lang w:val="uz-Cyrl-UZ"/>
        </w:rPr>
        <w:t xml:space="preserve">                                                                                                                   </w:t>
      </w:r>
      <w:r w:rsidRPr="00E52DBB">
        <w:rPr>
          <w:rFonts w:eastAsia="Calibri" w:cs="Times New Roman"/>
          <w:b/>
          <w:i/>
          <w:iCs/>
          <w:sz w:val="24"/>
          <w:szCs w:val="24"/>
          <w:lang w:val="uz-Cyrl-UZ"/>
        </w:rPr>
        <w:t>4</w:t>
      </w:r>
      <w:r w:rsidRPr="00E52DBB">
        <w:rPr>
          <w:rFonts w:eastAsia="Calibri" w:cs="Times New Roman"/>
          <w:b/>
          <w:i/>
          <w:iCs/>
          <w:sz w:val="24"/>
          <w:szCs w:val="24"/>
        </w:rPr>
        <w:t>-</w:t>
      </w:r>
      <w:r w:rsidRPr="00E52DBB">
        <w:rPr>
          <w:rFonts w:eastAsia="Calibri" w:cs="Times New Roman"/>
          <w:b/>
          <w:i/>
          <w:iCs/>
          <w:sz w:val="24"/>
          <w:szCs w:val="24"/>
          <w:lang w:val="uz-Cyrl-UZ"/>
        </w:rPr>
        <w:t xml:space="preserve"> graph</w:t>
      </w:r>
    </w:p>
    <w:p w14:paraId="015A9EBE" w14:textId="77777777" w:rsidR="00DD566D" w:rsidRDefault="00DD566D" w:rsidP="00DD566D">
      <w:pPr>
        <w:spacing w:line="276" w:lineRule="auto"/>
        <w:jc w:val="center"/>
        <w:rPr>
          <w:rFonts w:eastAsia="Calibri" w:cs="Times New Roman"/>
          <w:b/>
          <w:sz w:val="24"/>
          <w:szCs w:val="24"/>
        </w:rPr>
      </w:pPr>
      <w:r w:rsidRPr="00E52DBB">
        <w:rPr>
          <w:rFonts w:eastAsia="Calibri" w:cs="Times New Roman"/>
          <w:b/>
          <w:sz w:val="24"/>
          <w:szCs w:val="24"/>
        </w:rPr>
        <w:t>Features of biochemical parameters of blood</w:t>
      </w:r>
    </w:p>
    <w:p w14:paraId="0C88A2E9" w14:textId="77777777" w:rsidR="00DD566D" w:rsidRPr="00E52DBB" w:rsidRDefault="00DD566D" w:rsidP="00DD566D">
      <w:pPr>
        <w:spacing w:line="276" w:lineRule="auto"/>
        <w:ind w:firstLine="567"/>
        <w:jc w:val="both"/>
        <w:rPr>
          <w:rFonts w:eastAsia="Calibri" w:cs="Times New Roman"/>
          <w:b/>
          <w:sz w:val="24"/>
          <w:szCs w:val="24"/>
        </w:rPr>
      </w:pPr>
    </w:p>
    <w:tbl>
      <w:tblPr>
        <w:tblStyle w:val="22"/>
        <w:tblW w:w="0" w:type="auto"/>
        <w:jc w:val="center"/>
        <w:tblLook w:val="04A0" w:firstRow="1" w:lastRow="0" w:firstColumn="1" w:lastColumn="0" w:noHBand="0" w:noVBand="1"/>
      </w:tblPr>
      <w:tblGrid>
        <w:gridCol w:w="697"/>
        <w:gridCol w:w="3126"/>
        <w:gridCol w:w="992"/>
        <w:gridCol w:w="1984"/>
        <w:gridCol w:w="2545"/>
      </w:tblGrid>
      <w:tr w:rsidR="00DD566D" w:rsidRPr="00E52DBB" w14:paraId="37421E16" w14:textId="77777777" w:rsidTr="00C90B56">
        <w:trPr>
          <w:jc w:val="center"/>
        </w:trPr>
        <w:tc>
          <w:tcPr>
            <w:tcW w:w="697" w:type="dxa"/>
            <w:vAlign w:val="center"/>
          </w:tcPr>
          <w:p w14:paraId="70DE8DD9" w14:textId="77777777" w:rsidR="00DD566D" w:rsidRPr="00E52DBB" w:rsidRDefault="00DD566D" w:rsidP="00C90B56">
            <w:pPr>
              <w:spacing w:line="276" w:lineRule="auto"/>
              <w:jc w:val="center"/>
              <w:rPr>
                <w:rFonts w:ascii="Times New Roman" w:eastAsia="Calibri" w:hAnsi="Times New Roman" w:cs="Times New Roman"/>
                <w:b/>
                <w:bCs/>
                <w:sz w:val="24"/>
                <w:szCs w:val="24"/>
              </w:rPr>
            </w:pPr>
            <w:r w:rsidRPr="00E52DBB">
              <w:rPr>
                <w:rFonts w:ascii="Times New Roman" w:eastAsia="Calibri" w:hAnsi="Times New Roman" w:cs="Times New Roman"/>
                <w:b/>
                <w:bCs/>
                <w:sz w:val="24"/>
                <w:szCs w:val="24"/>
              </w:rPr>
              <w:t>№</w:t>
            </w:r>
          </w:p>
        </w:tc>
        <w:tc>
          <w:tcPr>
            <w:tcW w:w="3126" w:type="dxa"/>
            <w:vAlign w:val="center"/>
          </w:tcPr>
          <w:p w14:paraId="24F4B4EF" w14:textId="77777777" w:rsidR="00DD566D" w:rsidRPr="00E52DBB" w:rsidRDefault="00DD566D" w:rsidP="00C90B56">
            <w:pPr>
              <w:spacing w:line="276" w:lineRule="auto"/>
              <w:jc w:val="center"/>
              <w:rPr>
                <w:rFonts w:ascii="Times New Roman" w:eastAsia="Calibri" w:hAnsi="Times New Roman" w:cs="Times New Roman"/>
                <w:b/>
                <w:bCs/>
                <w:sz w:val="24"/>
                <w:szCs w:val="24"/>
                <w:lang w:val="uz-Cyrl-UZ"/>
              </w:rPr>
            </w:pPr>
            <w:r w:rsidRPr="0049149C">
              <w:rPr>
                <w:rFonts w:ascii="Times New Roman" w:eastAsia="Calibri" w:hAnsi="Times New Roman" w:cs="Times New Roman"/>
                <w:b/>
                <w:bCs/>
                <w:sz w:val="24"/>
                <w:szCs w:val="24"/>
                <w:lang w:val="uz-Cyrl-UZ"/>
              </w:rPr>
              <w:t>Indicators</w:t>
            </w:r>
          </w:p>
        </w:tc>
        <w:tc>
          <w:tcPr>
            <w:tcW w:w="2976" w:type="dxa"/>
            <w:gridSpan w:val="2"/>
            <w:vAlign w:val="center"/>
          </w:tcPr>
          <w:p w14:paraId="5ACDF0B1" w14:textId="77777777" w:rsidR="00DD566D" w:rsidRPr="00E52DBB" w:rsidRDefault="00DD566D" w:rsidP="00C90B56">
            <w:pPr>
              <w:spacing w:line="276" w:lineRule="auto"/>
              <w:jc w:val="center"/>
              <w:rPr>
                <w:rFonts w:ascii="Times New Roman" w:eastAsia="Calibri" w:hAnsi="Times New Roman" w:cs="Times New Roman"/>
                <w:b/>
                <w:bCs/>
                <w:sz w:val="24"/>
                <w:szCs w:val="24"/>
              </w:rPr>
            </w:pPr>
            <w:r w:rsidRPr="0049149C">
              <w:rPr>
                <w:rFonts w:ascii="Times New Roman" w:eastAsia="Calibri" w:hAnsi="Times New Roman" w:cs="Times New Roman"/>
                <w:b/>
                <w:bCs/>
                <w:sz w:val="24"/>
                <w:szCs w:val="24"/>
                <w:lang w:val="uz-Cyrl-UZ"/>
              </w:rPr>
              <w:t>Results</w:t>
            </w:r>
          </w:p>
        </w:tc>
        <w:tc>
          <w:tcPr>
            <w:tcW w:w="2545" w:type="dxa"/>
            <w:vAlign w:val="center"/>
          </w:tcPr>
          <w:p w14:paraId="29979529" w14:textId="77777777" w:rsidR="00DD566D" w:rsidRPr="00E52DBB" w:rsidRDefault="00DD566D" w:rsidP="00C90B56">
            <w:pPr>
              <w:spacing w:line="276" w:lineRule="auto"/>
              <w:jc w:val="center"/>
              <w:rPr>
                <w:rFonts w:ascii="Times New Roman" w:eastAsia="Calibri" w:hAnsi="Times New Roman" w:cs="Times New Roman"/>
                <w:b/>
                <w:bCs/>
                <w:sz w:val="24"/>
                <w:szCs w:val="24"/>
              </w:rPr>
            </w:pPr>
            <w:r w:rsidRPr="00E52DBB">
              <w:rPr>
                <w:rFonts w:ascii="Times New Roman" w:eastAsia="Calibri" w:hAnsi="Times New Roman" w:cs="Times New Roman"/>
                <w:b/>
                <w:bCs/>
                <w:sz w:val="24"/>
                <w:szCs w:val="24"/>
                <w:lang w:val="uz-Cyrl-UZ"/>
              </w:rPr>
              <w:t>Normative indicators</w:t>
            </w:r>
          </w:p>
        </w:tc>
      </w:tr>
      <w:tr w:rsidR="00DD566D" w:rsidRPr="00E52DBB" w14:paraId="0740AE6A" w14:textId="77777777" w:rsidTr="00C90B56">
        <w:trPr>
          <w:jc w:val="center"/>
        </w:trPr>
        <w:tc>
          <w:tcPr>
            <w:tcW w:w="697" w:type="dxa"/>
            <w:vAlign w:val="center"/>
          </w:tcPr>
          <w:p w14:paraId="7E8903C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w:t>
            </w:r>
          </w:p>
        </w:tc>
        <w:tc>
          <w:tcPr>
            <w:tcW w:w="3126" w:type="dxa"/>
            <w:vAlign w:val="center"/>
          </w:tcPr>
          <w:p w14:paraId="696429E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AlAT</w:t>
            </w:r>
            <w:r w:rsidRPr="00E52DBB">
              <w:rPr>
                <w:rFonts w:ascii="Times New Roman" w:eastAsia="Calibri" w:hAnsi="Times New Roman" w:cs="Times New Roman"/>
                <w:sz w:val="24"/>
                <w:szCs w:val="24"/>
              </w:rPr>
              <w:t xml:space="preserve"> (n=110)</w:t>
            </w:r>
          </w:p>
        </w:tc>
        <w:tc>
          <w:tcPr>
            <w:tcW w:w="992" w:type="dxa"/>
            <w:vAlign w:val="center"/>
          </w:tcPr>
          <w:p w14:paraId="42A7D5E3"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M±m</w:t>
            </w:r>
          </w:p>
        </w:tc>
        <w:tc>
          <w:tcPr>
            <w:tcW w:w="1984" w:type="dxa"/>
            <w:vAlign w:val="center"/>
          </w:tcPr>
          <w:p w14:paraId="3BC538EF"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43,4±31,59</w:t>
            </w:r>
          </w:p>
        </w:tc>
        <w:tc>
          <w:tcPr>
            <w:tcW w:w="2545" w:type="dxa"/>
            <w:vAlign w:val="center"/>
          </w:tcPr>
          <w:p w14:paraId="1826100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&lt;40 Ед/л</w:t>
            </w:r>
          </w:p>
        </w:tc>
      </w:tr>
      <w:tr w:rsidR="00DD566D" w:rsidRPr="00E52DBB" w14:paraId="3E0D818E" w14:textId="77777777" w:rsidTr="00C90B56">
        <w:trPr>
          <w:jc w:val="center"/>
        </w:trPr>
        <w:tc>
          <w:tcPr>
            <w:tcW w:w="697" w:type="dxa"/>
            <w:vAlign w:val="center"/>
          </w:tcPr>
          <w:p w14:paraId="576FC6E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w:t>
            </w:r>
          </w:p>
        </w:tc>
        <w:tc>
          <w:tcPr>
            <w:tcW w:w="3126" w:type="dxa"/>
            <w:vAlign w:val="center"/>
          </w:tcPr>
          <w:p w14:paraId="762DDD0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AsAT</w:t>
            </w:r>
            <w:r w:rsidRPr="00E52DBB">
              <w:rPr>
                <w:rFonts w:ascii="Times New Roman" w:eastAsia="Calibri" w:hAnsi="Times New Roman" w:cs="Times New Roman"/>
                <w:sz w:val="24"/>
                <w:szCs w:val="24"/>
              </w:rPr>
              <w:t xml:space="preserve"> (n=110)</w:t>
            </w:r>
          </w:p>
        </w:tc>
        <w:tc>
          <w:tcPr>
            <w:tcW w:w="992" w:type="dxa"/>
            <w:vAlign w:val="center"/>
          </w:tcPr>
          <w:p w14:paraId="5884A12B"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M±m</w:t>
            </w:r>
          </w:p>
        </w:tc>
        <w:tc>
          <w:tcPr>
            <w:tcW w:w="1984" w:type="dxa"/>
            <w:vAlign w:val="center"/>
          </w:tcPr>
          <w:p w14:paraId="7327C9CE"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37,57±27,43</w:t>
            </w:r>
          </w:p>
        </w:tc>
        <w:tc>
          <w:tcPr>
            <w:tcW w:w="2545" w:type="dxa"/>
            <w:vAlign w:val="center"/>
          </w:tcPr>
          <w:p w14:paraId="5875E63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&lt;35 Ед/л</w:t>
            </w:r>
          </w:p>
        </w:tc>
      </w:tr>
      <w:tr w:rsidR="00DD566D" w:rsidRPr="00E52DBB" w14:paraId="1CC46EDF" w14:textId="77777777" w:rsidTr="00C90B56">
        <w:trPr>
          <w:jc w:val="center"/>
        </w:trPr>
        <w:tc>
          <w:tcPr>
            <w:tcW w:w="697" w:type="dxa"/>
            <w:vAlign w:val="center"/>
          </w:tcPr>
          <w:p w14:paraId="272FF98E"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3</w:t>
            </w:r>
          </w:p>
        </w:tc>
        <w:tc>
          <w:tcPr>
            <w:tcW w:w="3126" w:type="dxa"/>
            <w:vAlign w:val="center"/>
          </w:tcPr>
          <w:p w14:paraId="768595AC"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bilirubin</w:t>
            </w:r>
            <w:r w:rsidRPr="00E52DBB">
              <w:rPr>
                <w:rFonts w:ascii="Times New Roman" w:eastAsia="Calibri" w:hAnsi="Times New Roman" w:cs="Times New Roman"/>
                <w:sz w:val="24"/>
                <w:szCs w:val="24"/>
              </w:rPr>
              <w:t xml:space="preserve"> (n=110)</w:t>
            </w:r>
          </w:p>
        </w:tc>
        <w:tc>
          <w:tcPr>
            <w:tcW w:w="992" w:type="dxa"/>
            <w:vAlign w:val="center"/>
          </w:tcPr>
          <w:p w14:paraId="7DCBE68F"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M±m</w:t>
            </w:r>
          </w:p>
        </w:tc>
        <w:tc>
          <w:tcPr>
            <w:tcW w:w="1984" w:type="dxa"/>
            <w:vAlign w:val="center"/>
          </w:tcPr>
          <w:p w14:paraId="1258FE8D"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9,78±4,1</w:t>
            </w:r>
          </w:p>
        </w:tc>
        <w:tc>
          <w:tcPr>
            <w:tcW w:w="2545" w:type="dxa"/>
            <w:vAlign w:val="center"/>
          </w:tcPr>
          <w:p w14:paraId="7B2A31C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3,4-20,5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58F21463" w14:textId="77777777" w:rsidTr="00C90B56">
        <w:trPr>
          <w:jc w:val="center"/>
        </w:trPr>
        <w:tc>
          <w:tcPr>
            <w:tcW w:w="697" w:type="dxa"/>
            <w:vAlign w:val="center"/>
          </w:tcPr>
          <w:p w14:paraId="36DE10E4"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4</w:t>
            </w:r>
          </w:p>
        </w:tc>
        <w:tc>
          <w:tcPr>
            <w:tcW w:w="3126" w:type="dxa"/>
            <w:vAlign w:val="center"/>
          </w:tcPr>
          <w:p w14:paraId="003AD74B"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albumin</w:t>
            </w:r>
            <w:r w:rsidRPr="00E52DBB">
              <w:rPr>
                <w:rFonts w:ascii="Times New Roman" w:eastAsia="Calibri" w:hAnsi="Times New Roman" w:cs="Times New Roman"/>
                <w:sz w:val="24"/>
                <w:szCs w:val="24"/>
              </w:rPr>
              <w:t xml:space="preserve"> (n=110)</w:t>
            </w:r>
          </w:p>
        </w:tc>
        <w:tc>
          <w:tcPr>
            <w:tcW w:w="992" w:type="dxa"/>
            <w:vAlign w:val="center"/>
          </w:tcPr>
          <w:p w14:paraId="6C621144"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M±m</w:t>
            </w:r>
          </w:p>
        </w:tc>
        <w:tc>
          <w:tcPr>
            <w:tcW w:w="1984" w:type="dxa"/>
            <w:vAlign w:val="center"/>
          </w:tcPr>
          <w:p w14:paraId="093D4050" w14:textId="77777777" w:rsidR="00DD566D" w:rsidRPr="00E52DBB" w:rsidRDefault="00DD566D" w:rsidP="00C90B56">
            <w:pPr>
              <w:spacing w:line="276" w:lineRule="auto"/>
              <w:jc w:val="center"/>
              <w:rPr>
                <w:rFonts w:ascii="Times New Roman" w:eastAsia="Calibri" w:hAnsi="Times New Roman" w:cs="Times New Roman"/>
                <w:b/>
                <w:sz w:val="24"/>
                <w:szCs w:val="24"/>
              </w:rPr>
            </w:pPr>
            <w:r w:rsidRPr="00E52DBB">
              <w:rPr>
                <w:rFonts w:ascii="Times New Roman" w:eastAsia="Calibri" w:hAnsi="Times New Roman" w:cs="Times New Roman"/>
                <w:sz w:val="24"/>
                <w:szCs w:val="24"/>
              </w:rPr>
              <w:t>37,02±2,36</w:t>
            </w:r>
          </w:p>
        </w:tc>
        <w:tc>
          <w:tcPr>
            <w:tcW w:w="2545" w:type="dxa"/>
            <w:vAlign w:val="center"/>
          </w:tcPr>
          <w:p w14:paraId="0DD9006D"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35-55 г/л</w:t>
            </w:r>
          </w:p>
        </w:tc>
      </w:tr>
      <w:tr w:rsidR="00DD566D" w:rsidRPr="00E52DBB" w14:paraId="76F7723D" w14:textId="77777777" w:rsidTr="00C90B56">
        <w:trPr>
          <w:jc w:val="center"/>
        </w:trPr>
        <w:tc>
          <w:tcPr>
            <w:tcW w:w="697" w:type="dxa"/>
            <w:vAlign w:val="center"/>
          </w:tcPr>
          <w:p w14:paraId="5A04FC0B"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5</w:t>
            </w:r>
          </w:p>
        </w:tc>
        <w:tc>
          <w:tcPr>
            <w:tcW w:w="3126" w:type="dxa"/>
            <w:vAlign w:val="center"/>
          </w:tcPr>
          <w:p w14:paraId="0C462949"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C reactive protein</w:t>
            </w:r>
            <w:r w:rsidRPr="00E52DBB">
              <w:rPr>
                <w:rFonts w:ascii="Times New Roman" w:eastAsia="Calibri" w:hAnsi="Times New Roman" w:cs="Times New Roman"/>
                <w:sz w:val="24"/>
                <w:szCs w:val="24"/>
              </w:rPr>
              <w:t xml:space="preserve"> (n=110)</w:t>
            </w:r>
          </w:p>
        </w:tc>
        <w:tc>
          <w:tcPr>
            <w:tcW w:w="992" w:type="dxa"/>
            <w:vAlign w:val="center"/>
          </w:tcPr>
          <w:p w14:paraId="7AAA8F9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7C5364ED"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36,8±45,09</w:t>
            </w:r>
          </w:p>
        </w:tc>
        <w:tc>
          <w:tcPr>
            <w:tcW w:w="2545" w:type="dxa"/>
            <w:vAlign w:val="center"/>
          </w:tcPr>
          <w:p w14:paraId="2653C69E"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0-6 мг/л</w:t>
            </w:r>
          </w:p>
        </w:tc>
      </w:tr>
      <w:tr w:rsidR="00DD566D" w:rsidRPr="00E52DBB" w14:paraId="2FF693A2" w14:textId="77777777" w:rsidTr="00C90B56">
        <w:trPr>
          <w:jc w:val="center"/>
        </w:trPr>
        <w:tc>
          <w:tcPr>
            <w:tcW w:w="697" w:type="dxa"/>
            <w:vAlign w:val="center"/>
          </w:tcPr>
          <w:p w14:paraId="0DE67C02"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6</w:t>
            </w:r>
          </w:p>
        </w:tc>
        <w:tc>
          <w:tcPr>
            <w:tcW w:w="3126" w:type="dxa"/>
            <w:vAlign w:val="center"/>
          </w:tcPr>
          <w:p w14:paraId="5E30174A"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Glucose (n=110)</w:t>
            </w:r>
          </w:p>
        </w:tc>
        <w:tc>
          <w:tcPr>
            <w:tcW w:w="992" w:type="dxa"/>
            <w:vAlign w:val="center"/>
          </w:tcPr>
          <w:p w14:paraId="75FA656B"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2211BD8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5,33±1,96</w:t>
            </w:r>
          </w:p>
        </w:tc>
        <w:tc>
          <w:tcPr>
            <w:tcW w:w="2545" w:type="dxa"/>
            <w:vAlign w:val="center"/>
          </w:tcPr>
          <w:p w14:paraId="1DA076B4"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3,2-6,1</w:t>
            </w:r>
            <w:r w:rsidRPr="00E52DBB">
              <w:rPr>
                <w:rFonts w:ascii="Times New Roman" w:eastAsia="Calibri" w:hAnsi="Times New Roman" w:cs="Times New Roman"/>
                <w:sz w:val="24"/>
                <w:szCs w:val="24"/>
              </w:rPr>
              <w:t xml:space="preserve">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798CC9FE" w14:textId="77777777" w:rsidTr="00C90B56">
        <w:trPr>
          <w:jc w:val="center"/>
        </w:trPr>
        <w:tc>
          <w:tcPr>
            <w:tcW w:w="697" w:type="dxa"/>
            <w:vAlign w:val="center"/>
          </w:tcPr>
          <w:p w14:paraId="218A893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7</w:t>
            </w:r>
          </w:p>
        </w:tc>
        <w:tc>
          <w:tcPr>
            <w:tcW w:w="3126" w:type="dxa"/>
            <w:vAlign w:val="center"/>
          </w:tcPr>
          <w:p w14:paraId="5ABDE06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creatinine</w:t>
            </w:r>
            <w:r w:rsidRPr="00E52DBB">
              <w:rPr>
                <w:rFonts w:ascii="Times New Roman" w:eastAsia="Calibri" w:hAnsi="Times New Roman" w:cs="Times New Roman"/>
                <w:sz w:val="24"/>
                <w:szCs w:val="24"/>
              </w:rPr>
              <w:t xml:space="preserve"> (n=46)</w:t>
            </w:r>
          </w:p>
        </w:tc>
        <w:tc>
          <w:tcPr>
            <w:tcW w:w="992" w:type="dxa"/>
            <w:vAlign w:val="center"/>
          </w:tcPr>
          <w:p w14:paraId="415609A9"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1CBD6E1D"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92,65±25,73</w:t>
            </w:r>
          </w:p>
        </w:tc>
        <w:tc>
          <w:tcPr>
            <w:tcW w:w="2545" w:type="dxa"/>
            <w:vAlign w:val="center"/>
          </w:tcPr>
          <w:p w14:paraId="2A362095"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44-115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1F1C9485" w14:textId="77777777" w:rsidTr="00C90B56">
        <w:trPr>
          <w:jc w:val="center"/>
        </w:trPr>
        <w:tc>
          <w:tcPr>
            <w:tcW w:w="697" w:type="dxa"/>
            <w:vAlign w:val="center"/>
          </w:tcPr>
          <w:p w14:paraId="292E1B9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8</w:t>
            </w:r>
          </w:p>
        </w:tc>
        <w:tc>
          <w:tcPr>
            <w:tcW w:w="3126" w:type="dxa"/>
            <w:vAlign w:val="center"/>
          </w:tcPr>
          <w:p w14:paraId="68E6707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Mochevina</w:t>
            </w:r>
            <w:r w:rsidRPr="00E52DBB">
              <w:rPr>
                <w:rFonts w:ascii="Times New Roman" w:eastAsia="Calibri" w:hAnsi="Times New Roman" w:cs="Times New Roman"/>
                <w:sz w:val="24"/>
                <w:szCs w:val="24"/>
              </w:rPr>
              <w:t xml:space="preserve"> (n=110</w:t>
            </w:r>
          </w:p>
        </w:tc>
        <w:tc>
          <w:tcPr>
            <w:tcW w:w="992" w:type="dxa"/>
            <w:vAlign w:val="center"/>
          </w:tcPr>
          <w:p w14:paraId="6B75469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0D21118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5,87±1,9</w:t>
            </w:r>
          </w:p>
        </w:tc>
        <w:tc>
          <w:tcPr>
            <w:tcW w:w="2545" w:type="dxa"/>
            <w:vAlign w:val="center"/>
          </w:tcPr>
          <w:p w14:paraId="48A939D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2,5-8,3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3973EDEE" w14:textId="77777777" w:rsidTr="00C90B56">
        <w:trPr>
          <w:jc w:val="center"/>
        </w:trPr>
        <w:tc>
          <w:tcPr>
            <w:tcW w:w="697" w:type="dxa"/>
            <w:vAlign w:val="center"/>
          </w:tcPr>
          <w:p w14:paraId="267A7AA0"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9</w:t>
            </w:r>
          </w:p>
        </w:tc>
        <w:tc>
          <w:tcPr>
            <w:tcW w:w="3126" w:type="dxa"/>
            <w:vAlign w:val="center"/>
          </w:tcPr>
          <w:p w14:paraId="43BF0A77" w14:textId="77777777" w:rsidR="00DD566D" w:rsidRPr="00E52DBB" w:rsidRDefault="00DD566D" w:rsidP="00C90B56">
            <w:pPr>
              <w:spacing w:line="276" w:lineRule="auto"/>
              <w:jc w:val="center"/>
              <w:rPr>
                <w:rFonts w:ascii="Times New Roman" w:eastAsia="Calibri" w:hAnsi="Times New Roman" w:cs="Times New Roman"/>
                <w:sz w:val="24"/>
                <w:szCs w:val="24"/>
                <w:lang w:val="uz-Cyrl-UZ"/>
              </w:rPr>
            </w:pPr>
            <w:r w:rsidRPr="00E52DBB">
              <w:rPr>
                <w:rFonts w:ascii="Times New Roman" w:eastAsia="Calibri" w:hAnsi="Times New Roman" w:cs="Times New Roman"/>
                <w:sz w:val="24"/>
                <w:szCs w:val="24"/>
                <w:lang w:val="uz-Cyrl-UZ"/>
              </w:rPr>
              <w:t xml:space="preserve">Total protein </w:t>
            </w:r>
            <w:r w:rsidRPr="00E52DBB">
              <w:rPr>
                <w:rFonts w:ascii="Times New Roman" w:eastAsia="Calibri" w:hAnsi="Times New Roman" w:cs="Times New Roman"/>
                <w:sz w:val="24"/>
                <w:szCs w:val="24"/>
              </w:rPr>
              <w:t>(n=110</w:t>
            </w:r>
            <w:r w:rsidRPr="00E52DBB">
              <w:rPr>
                <w:rFonts w:ascii="Times New Roman" w:eastAsia="Calibri" w:hAnsi="Times New Roman" w:cs="Times New Roman"/>
                <w:sz w:val="24"/>
                <w:szCs w:val="24"/>
                <w:lang w:val="uz-Cyrl-UZ"/>
              </w:rPr>
              <w:t>)</w:t>
            </w:r>
          </w:p>
        </w:tc>
        <w:tc>
          <w:tcPr>
            <w:tcW w:w="992" w:type="dxa"/>
            <w:vAlign w:val="center"/>
          </w:tcPr>
          <w:p w14:paraId="130155DE"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3547E8E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75,72±3,76</w:t>
            </w:r>
          </w:p>
        </w:tc>
        <w:tc>
          <w:tcPr>
            <w:tcW w:w="2545" w:type="dxa"/>
            <w:vAlign w:val="center"/>
          </w:tcPr>
          <w:p w14:paraId="22BFF70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66-85 г/л</w:t>
            </w:r>
          </w:p>
        </w:tc>
      </w:tr>
      <w:tr w:rsidR="00DD566D" w:rsidRPr="00E52DBB" w14:paraId="001EB8F8" w14:textId="77777777" w:rsidTr="00C90B56">
        <w:trPr>
          <w:jc w:val="center"/>
        </w:trPr>
        <w:tc>
          <w:tcPr>
            <w:tcW w:w="697" w:type="dxa"/>
            <w:vAlign w:val="center"/>
          </w:tcPr>
          <w:p w14:paraId="2F7B940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10</w:t>
            </w:r>
          </w:p>
        </w:tc>
        <w:tc>
          <w:tcPr>
            <w:tcW w:w="3126" w:type="dxa"/>
            <w:vAlign w:val="center"/>
          </w:tcPr>
          <w:p w14:paraId="32E9F4A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Calcium (n=43)</w:t>
            </w:r>
          </w:p>
        </w:tc>
        <w:tc>
          <w:tcPr>
            <w:tcW w:w="992" w:type="dxa"/>
            <w:vAlign w:val="center"/>
          </w:tcPr>
          <w:p w14:paraId="545C9CE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7FFB9CF5"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2,1±0,15</w:t>
            </w:r>
          </w:p>
        </w:tc>
        <w:tc>
          <w:tcPr>
            <w:tcW w:w="2545" w:type="dxa"/>
            <w:vAlign w:val="center"/>
          </w:tcPr>
          <w:p w14:paraId="72C163CE"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2-2,6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0C65A706" w14:textId="77777777" w:rsidTr="00C90B56">
        <w:trPr>
          <w:jc w:val="center"/>
        </w:trPr>
        <w:tc>
          <w:tcPr>
            <w:tcW w:w="697" w:type="dxa"/>
            <w:vAlign w:val="center"/>
          </w:tcPr>
          <w:p w14:paraId="35AAC18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11</w:t>
            </w:r>
          </w:p>
        </w:tc>
        <w:tc>
          <w:tcPr>
            <w:tcW w:w="3126" w:type="dxa"/>
            <w:vAlign w:val="center"/>
          </w:tcPr>
          <w:p w14:paraId="72D05F04"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Cholesterin (n=22)</w:t>
            </w:r>
          </w:p>
        </w:tc>
        <w:tc>
          <w:tcPr>
            <w:tcW w:w="992" w:type="dxa"/>
            <w:vAlign w:val="center"/>
          </w:tcPr>
          <w:p w14:paraId="3EDA236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518CDF2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3,18±0,79</w:t>
            </w:r>
          </w:p>
        </w:tc>
        <w:tc>
          <w:tcPr>
            <w:tcW w:w="2545" w:type="dxa"/>
            <w:vAlign w:val="center"/>
          </w:tcPr>
          <w:p w14:paraId="24592ED0"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&lt;5,2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347CDB71" w14:textId="77777777" w:rsidTr="00C90B56">
        <w:trPr>
          <w:jc w:val="center"/>
        </w:trPr>
        <w:tc>
          <w:tcPr>
            <w:tcW w:w="697" w:type="dxa"/>
            <w:vAlign w:val="center"/>
          </w:tcPr>
          <w:p w14:paraId="32C55344"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12</w:t>
            </w:r>
          </w:p>
        </w:tc>
        <w:tc>
          <w:tcPr>
            <w:tcW w:w="3126" w:type="dxa"/>
            <w:vAlign w:val="center"/>
          </w:tcPr>
          <w:p w14:paraId="5718397C"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Triglyceride (n=15)</w:t>
            </w:r>
          </w:p>
        </w:tc>
        <w:tc>
          <w:tcPr>
            <w:tcW w:w="992" w:type="dxa"/>
            <w:vAlign w:val="center"/>
          </w:tcPr>
          <w:p w14:paraId="57622575"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6B43EA6B"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2,35±0,76</w:t>
            </w:r>
          </w:p>
        </w:tc>
        <w:tc>
          <w:tcPr>
            <w:tcW w:w="2545" w:type="dxa"/>
            <w:vAlign w:val="center"/>
          </w:tcPr>
          <w:p w14:paraId="278500C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 xml:space="preserve">&lt;2,28 </w:t>
            </w:r>
            <w:r w:rsidRPr="00E52DBB">
              <w:rPr>
                <w:rFonts w:ascii="Times New Roman" w:eastAsia="Calibri" w:hAnsi="Times New Roman" w:cs="Times New Roman"/>
                <w:sz w:val="24"/>
                <w:szCs w:val="24"/>
                <w:lang w:val="uz-Cyrl-UZ"/>
              </w:rPr>
              <w:t>ммоль</w:t>
            </w:r>
            <w:r w:rsidRPr="00E52DBB">
              <w:rPr>
                <w:rFonts w:ascii="Times New Roman" w:eastAsia="Calibri" w:hAnsi="Times New Roman" w:cs="Times New Roman"/>
                <w:sz w:val="24"/>
                <w:szCs w:val="24"/>
              </w:rPr>
              <w:t>/</w:t>
            </w:r>
            <w:r w:rsidRPr="00E52DBB">
              <w:rPr>
                <w:rFonts w:ascii="Times New Roman" w:eastAsia="Calibri" w:hAnsi="Times New Roman" w:cs="Times New Roman"/>
                <w:sz w:val="24"/>
                <w:szCs w:val="24"/>
                <w:lang w:val="uz-Cyrl-UZ"/>
              </w:rPr>
              <w:t>л</w:t>
            </w:r>
          </w:p>
        </w:tc>
      </w:tr>
      <w:tr w:rsidR="00DD566D" w:rsidRPr="00E52DBB" w14:paraId="058AE8D0" w14:textId="77777777" w:rsidTr="00C90B56">
        <w:trPr>
          <w:jc w:val="center"/>
        </w:trPr>
        <w:tc>
          <w:tcPr>
            <w:tcW w:w="697" w:type="dxa"/>
            <w:vAlign w:val="center"/>
          </w:tcPr>
          <w:p w14:paraId="34FB5A83"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13</w:t>
            </w:r>
          </w:p>
        </w:tc>
        <w:tc>
          <w:tcPr>
            <w:tcW w:w="3126" w:type="dxa"/>
            <w:vAlign w:val="center"/>
          </w:tcPr>
          <w:p w14:paraId="29CC32FA"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lang w:val="uz-Cyrl-UZ"/>
              </w:rPr>
              <w:t>LDG</w:t>
            </w:r>
            <w:r w:rsidRPr="00E52DBB">
              <w:rPr>
                <w:rFonts w:ascii="Times New Roman" w:eastAsia="Calibri" w:hAnsi="Times New Roman" w:cs="Times New Roman"/>
                <w:sz w:val="24"/>
                <w:szCs w:val="24"/>
              </w:rPr>
              <w:t xml:space="preserve"> (n=17)</w:t>
            </w:r>
          </w:p>
        </w:tc>
        <w:tc>
          <w:tcPr>
            <w:tcW w:w="992" w:type="dxa"/>
            <w:vAlign w:val="center"/>
          </w:tcPr>
          <w:p w14:paraId="19CC5D1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501B0A26"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245,05±59,22</w:t>
            </w:r>
          </w:p>
        </w:tc>
        <w:tc>
          <w:tcPr>
            <w:tcW w:w="2545" w:type="dxa"/>
            <w:vAlign w:val="center"/>
          </w:tcPr>
          <w:p w14:paraId="38613DC1"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225-450 ЕД/л</w:t>
            </w:r>
          </w:p>
        </w:tc>
      </w:tr>
      <w:tr w:rsidR="00DD566D" w:rsidRPr="00E52DBB" w14:paraId="1D35E531" w14:textId="77777777" w:rsidTr="00C90B56">
        <w:trPr>
          <w:jc w:val="center"/>
        </w:trPr>
        <w:tc>
          <w:tcPr>
            <w:tcW w:w="697" w:type="dxa"/>
            <w:vAlign w:val="center"/>
          </w:tcPr>
          <w:p w14:paraId="3D1222EB"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14</w:t>
            </w:r>
          </w:p>
        </w:tc>
        <w:tc>
          <w:tcPr>
            <w:tcW w:w="3126" w:type="dxa"/>
            <w:vAlign w:val="center"/>
          </w:tcPr>
          <w:p w14:paraId="7BD2636A"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α-</w:t>
            </w:r>
            <w:r w:rsidRPr="00E52DBB">
              <w:rPr>
                <w:rFonts w:ascii="Times New Roman" w:eastAsia="Calibri" w:hAnsi="Times New Roman" w:cs="Times New Roman"/>
                <w:sz w:val="24"/>
                <w:szCs w:val="24"/>
                <w:lang w:val="uz-Cyrl-UZ"/>
              </w:rPr>
              <w:t xml:space="preserve"> amylase</w:t>
            </w:r>
            <w:r w:rsidRPr="00E52DBB">
              <w:rPr>
                <w:rFonts w:ascii="Times New Roman" w:eastAsia="Calibri" w:hAnsi="Times New Roman" w:cs="Times New Roman"/>
                <w:sz w:val="24"/>
                <w:szCs w:val="24"/>
              </w:rPr>
              <w:t xml:space="preserve"> (n=17)</w:t>
            </w:r>
          </w:p>
        </w:tc>
        <w:tc>
          <w:tcPr>
            <w:tcW w:w="992" w:type="dxa"/>
            <w:vAlign w:val="center"/>
          </w:tcPr>
          <w:p w14:paraId="513CD5BD"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M±m</w:t>
            </w:r>
          </w:p>
        </w:tc>
        <w:tc>
          <w:tcPr>
            <w:tcW w:w="1984" w:type="dxa"/>
            <w:vAlign w:val="center"/>
          </w:tcPr>
          <w:p w14:paraId="25E093CC"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137,95±29,72</w:t>
            </w:r>
          </w:p>
        </w:tc>
        <w:tc>
          <w:tcPr>
            <w:tcW w:w="2545" w:type="dxa"/>
            <w:vAlign w:val="center"/>
          </w:tcPr>
          <w:p w14:paraId="3392AE4F" w14:textId="77777777" w:rsidR="00DD566D" w:rsidRPr="00E52DBB" w:rsidRDefault="00DD566D" w:rsidP="00C90B56">
            <w:pPr>
              <w:spacing w:line="276" w:lineRule="auto"/>
              <w:jc w:val="center"/>
              <w:rPr>
                <w:rFonts w:ascii="Times New Roman" w:eastAsia="Calibri" w:hAnsi="Times New Roman" w:cs="Times New Roman"/>
                <w:sz w:val="24"/>
                <w:szCs w:val="24"/>
              </w:rPr>
            </w:pPr>
            <w:r w:rsidRPr="00E52DBB">
              <w:rPr>
                <w:rFonts w:ascii="Times New Roman" w:eastAsia="Calibri" w:hAnsi="Times New Roman" w:cs="Times New Roman"/>
                <w:sz w:val="24"/>
                <w:szCs w:val="24"/>
              </w:rPr>
              <w:t>0-220 ЕД/л</w:t>
            </w:r>
          </w:p>
        </w:tc>
      </w:tr>
    </w:tbl>
    <w:p w14:paraId="37A65022" w14:textId="77777777" w:rsidR="00DD566D" w:rsidRPr="00E52DBB" w:rsidRDefault="00DD566D" w:rsidP="00DD566D">
      <w:pPr>
        <w:spacing w:line="264" w:lineRule="auto"/>
        <w:ind w:firstLine="567"/>
        <w:jc w:val="both"/>
        <w:rPr>
          <w:rFonts w:eastAsia="Calibri" w:cs="Times New Roman"/>
          <w:b/>
          <w:sz w:val="24"/>
          <w:szCs w:val="24"/>
          <w:lang w:val="ru-RU"/>
        </w:rPr>
      </w:pPr>
    </w:p>
    <w:p w14:paraId="025CFF33" w14:textId="77777777" w:rsidR="00DD566D" w:rsidRPr="00E52DBB" w:rsidRDefault="00DD566D" w:rsidP="00DD566D">
      <w:pPr>
        <w:spacing w:line="276" w:lineRule="auto"/>
        <w:ind w:firstLine="567"/>
        <w:jc w:val="both"/>
        <w:rPr>
          <w:rFonts w:eastAsia="Calibri" w:cs="Times New Roman"/>
          <w:sz w:val="24"/>
          <w:szCs w:val="24"/>
          <w:lang w:val="uz-Cyrl-UZ"/>
        </w:rPr>
      </w:pPr>
      <w:r w:rsidRPr="00E52DBB">
        <w:rPr>
          <w:rFonts w:eastAsia="Calibri" w:cs="Times New Roman"/>
          <w:sz w:val="24"/>
          <w:szCs w:val="24"/>
          <w:lang w:val="uz-Cyrl-UZ"/>
        </w:rPr>
        <w:t>We studied the results of a survey and laboratory analysis after 3 months of medicamentous treatment. We analyzed the most disturbing complaints of patients, that is, the post-traumatic symptoms and placed them on the diagram (Figure 3).</w:t>
      </w:r>
    </w:p>
    <w:p w14:paraId="44B6E8A5" w14:textId="77777777" w:rsidR="00DD566D" w:rsidRPr="00E52DBB" w:rsidRDefault="00DD566D" w:rsidP="00DD566D">
      <w:pPr>
        <w:spacing w:line="276" w:lineRule="auto"/>
        <w:ind w:firstLine="567"/>
        <w:jc w:val="both"/>
        <w:rPr>
          <w:rFonts w:eastAsia="Calibri" w:cs="Times New Roman"/>
          <w:sz w:val="24"/>
          <w:szCs w:val="24"/>
          <w:lang w:val="uz-Cyrl-UZ"/>
        </w:rPr>
      </w:pPr>
    </w:p>
    <w:p w14:paraId="3807E6B9" w14:textId="77777777" w:rsidR="00DD566D" w:rsidRPr="00E52DBB" w:rsidRDefault="00DD566D" w:rsidP="00DD566D">
      <w:pPr>
        <w:spacing w:line="276" w:lineRule="auto"/>
        <w:ind w:firstLine="567"/>
        <w:jc w:val="both"/>
        <w:rPr>
          <w:rFonts w:eastAsia="Calibri" w:cs="Times New Roman"/>
          <w:sz w:val="24"/>
          <w:szCs w:val="24"/>
          <w:lang w:val="uz-Cyrl-UZ"/>
        </w:rPr>
      </w:pPr>
      <w:r w:rsidRPr="00E52DBB">
        <w:rPr>
          <w:rFonts w:eastAsia="Calibri" w:cs="Times New Roman"/>
          <w:noProof/>
          <w:sz w:val="24"/>
          <w:szCs w:val="24"/>
          <w:lang w:val="ru-RU" w:eastAsia="ru-RU"/>
        </w:rPr>
        <w:lastRenderedPageBreak/>
        <w:drawing>
          <wp:inline distT="0" distB="0" distL="0" distR="0" wp14:anchorId="66B907D1" wp14:editId="636DD782">
            <wp:extent cx="5514975" cy="260985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2B1D74"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 xml:space="preserve"> </w:t>
      </w:r>
    </w:p>
    <w:p w14:paraId="6B15A13D" w14:textId="77777777" w:rsidR="00DD566D" w:rsidRDefault="00DD566D" w:rsidP="00DD566D">
      <w:pPr>
        <w:spacing w:line="276" w:lineRule="auto"/>
        <w:ind w:firstLine="567"/>
        <w:jc w:val="both"/>
        <w:rPr>
          <w:rFonts w:eastAsia="Calibri" w:cs="Times New Roman"/>
          <w:sz w:val="24"/>
          <w:szCs w:val="24"/>
        </w:rPr>
        <w:sectPr w:rsidR="00DD566D" w:rsidSect="00995DC2">
          <w:type w:val="continuous"/>
          <w:pgSz w:w="11907" w:h="16840" w:code="9"/>
          <w:pgMar w:top="1418" w:right="1134" w:bottom="1134" w:left="1134" w:header="907" w:footer="794" w:gutter="0"/>
          <w:cols w:space="708"/>
          <w:docGrid w:linePitch="381"/>
        </w:sectPr>
      </w:pPr>
    </w:p>
    <w:p w14:paraId="37D7808B"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As can be seen from the diagram, most often encountered general inertia, nutritional deficiency, depression, changes in the diges</w:t>
      </w:r>
      <w:r>
        <w:rPr>
          <w:rFonts w:eastAsia="Calibri" w:cs="Times New Roman"/>
          <w:sz w:val="24"/>
          <w:szCs w:val="24"/>
        </w:rPr>
        <w:softHyphen/>
      </w:r>
      <w:r w:rsidRPr="00E52DBB">
        <w:rPr>
          <w:rFonts w:eastAsia="Calibri" w:cs="Times New Roman"/>
          <w:sz w:val="24"/>
          <w:szCs w:val="24"/>
        </w:rPr>
        <w:t>tive system and the bone marrow.</w:t>
      </w:r>
    </w:p>
    <w:p w14:paraId="616B372D"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 xml:space="preserve">Changes in liver aminotransferases were compared among themselves (Table 5). The </w:t>
      </w:r>
      <w:r w:rsidRPr="00E52DBB">
        <w:rPr>
          <w:rFonts w:eastAsia="Calibri" w:cs="Times New Roman"/>
          <w:sz w:val="24"/>
          <w:szCs w:val="24"/>
        </w:rPr>
        <w:t>maximum increase in AlAT and AsAT was ob</w:t>
      </w:r>
      <w:r>
        <w:rPr>
          <w:rFonts w:eastAsia="Calibri" w:cs="Times New Roman"/>
          <w:sz w:val="24"/>
          <w:szCs w:val="24"/>
        </w:rPr>
        <w:softHyphen/>
      </w:r>
      <w:r w:rsidRPr="00E52DBB">
        <w:rPr>
          <w:rFonts w:eastAsia="Calibri" w:cs="Times New Roman"/>
          <w:sz w:val="24"/>
          <w:szCs w:val="24"/>
        </w:rPr>
        <w:t>served in 5 days of follow-up. The average AlAT index was 43,4±31,59 until treatment, while 5 days were 102,59±75,93. Monitoring of cytolytic indicators showed that Alat nor</w:t>
      </w:r>
      <w:r>
        <w:rPr>
          <w:rFonts w:eastAsia="Calibri" w:cs="Times New Roman"/>
          <w:sz w:val="24"/>
          <w:szCs w:val="24"/>
        </w:rPr>
        <w:softHyphen/>
      </w:r>
      <w:r w:rsidRPr="00E52DBB">
        <w:rPr>
          <w:rFonts w:eastAsia="Calibri" w:cs="Times New Roman"/>
          <w:sz w:val="24"/>
          <w:szCs w:val="24"/>
        </w:rPr>
        <w:t xml:space="preserve">malized after 3 months 34,55±13,52.   </w:t>
      </w:r>
    </w:p>
    <w:p w14:paraId="69309BA7" w14:textId="77777777" w:rsidR="00DD566D" w:rsidRDefault="00DD566D" w:rsidP="00DD566D">
      <w:pPr>
        <w:spacing w:line="276" w:lineRule="auto"/>
        <w:ind w:firstLine="567"/>
        <w:jc w:val="both"/>
        <w:rPr>
          <w:rFonts w:eastAsia="Calibri" w:cs="Times New Roman"/>
          <w:sz w:val="24"/>
          <w:szCs w:val="24"/>
        </w:rPr>
        <w:sectPr w:rsidR="00DD566D" w:rsidSect="0049149C">
          <w:type w:val="continuous"/>
          <w:pgSz w:w="11907" w:h="16840" w:code="9"/>
          <w:pgMar w:top="1418" w:right="1134" w:bottom="1134" w:left="1134" w:header="907" w:footer="794" w:gutter="0"/>
          <w:cols w:num="2" w:space="708"/>
          <w:docGrid w:linePitch="381"/>
        </w:sectPr>
      </w:pPr>
    </w:p>
    <w:p w14:paraId="08D03B80" w14:textId="77777777" w:rsidR="00DD566D"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 xml:space="preserve">                                                                                                             </w:t>
      </w:r>
    </w:p>
    <w:p w14:paraId="37874B35" w14:textId="77777777" w:rsidR="00DD566D" w:rsidRPr="00E52DBB" w:rsidRDefault="00DD566D" w:rsidP="00DD566D">
      <w:pPr>
        <w:spacing w:line="276" w:lineRule="auto"/>
        <w:ind w:firstLine="567"/>
        <w:jc w:val="right"/>
        <w:rPr>
          <w:rFonts w:eastAsia="Calibri" w:cs="Times New Roman"/>
          <w:b/>
          <w:i/>
          <w:iCs/>
          <w:sz w:val="24"/>
          <w:szCs w:val="24"/>
        </w:rPr>
      </w:pPr>
      <w:r w:rsidRPr="00E52DBB">
        <w:rPr>
          <w:rFonts w:eastAsia="Calibri" w:cs="Times New Roman"/>
          <w:i/>
          <w:iCs/>
          <w:sz w:val="24"/>
          <w:szCs w:val="24"/>
        </w:rPr>
        <w:t xml:space="preserve">      </w:t>
      </w:r>
      <w:r w:rsidRPr="00E52DBB">
        <w:rPr>
          <w:rFonts w:eastAsia="Calibri" w:cs="Times New Roman"/>
          <w:b/>
          <w:i/>
          <w:iCs/>
          <w:sz w:val="24"/>
          <w:szCs w:val="24"/>
        </w:rPr>
        <w:t>5- graph</w:t>
      </w:r>
    </w:p>
    <w:p w14:paraId="5C5D0273" w14:textId="77777777" w:rsidR="00DD566D" w:rsidRPr="00E52DBB" w:rsidRDefault="00DD566D" w:rsidP="00DD566D">
      <w:pPr>
        <w:spacing w:line="276" w:lineRule="auto"/>
        <w:jc w:val="center"/>
        <w:rPr>
          <w:rFonts w:eastAsia="Calibri" w:cs="Times New Roman"/>
          <w:b/>
          <w:sz w:val="24"/>
          <w:szCs w:val="24"/>
        </w:rPr>
      </w:pPr>
      <w:r w:rsidRPr="00E52DBB">
        <w:rPr>
          <w:rFonts w:eastAsia="Calibri" w:cs="Times New Roman"/>
          <w:b/>
          <w:sz w:val="24"/>
          <w:szCs w:val="24"/>
        </w:rPr>
        <w:t>Dynamics of aminotransferases in the general group of patients (n=110).</w:t>
      </w:r>
    </w:p>
    <w:p w14:paraId="7733D994"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 xml:space="preserve"> </w:t>
      </w:r>
    </w:p>
    <w:tbl>
      <w:tblPr>
        <w:tblStyle w:val="22"/>
        <w:tblW w:w="9380" w:type="dxa"/>
        <w:jc w:val="center"/>
        <w:tblLook w:val="04A0" w:firstRow="1" w:lastRow="0" w:firstColumn="1" w:lastColumn="0" w:noHBand="0" w:noVBand="1"/>
      </w:tblPr>
      <w:tblGrid>
        <w:gridCol w:w="2289"/>
        <w:gridCol w:w="2376"/>
        <w:gridCol w:w="2397"/>
        <w:gridCol w:w="2318"/>
      </w:tblGrid>
      <w:tr w:rsidR="00DD566D" w:rsidRPr="00E52DBB" w14:paraId="20A204C8" w14:textId="77777777" w:rsidTr="00C90B56">
        <w:trPr>
          <w:trHeight w:val="315"/>
          <w:jc w:val="center"/>
        </w:trPr>
        <w:tc>
          <w:tcPr>
            <w:tcW w:w="2289" w:type="dxa"/>
            <w:vAlign w:val="center"/>
          </w:tcPr>
          <w:p w14:paraId="1B2F00DF"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indicators</w:t>
            </w:r>
          </w:p>
        </w:tc>
        <w:tc>
          <w:tcPr>
            <w:tcW w:w="2376" w:type="dxa"/>
            <w:vAlign w:val="center"/>
          </w:tcPr>
          <w:p w14:paraId="75413975"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until treatment</w:t>
            </w:r>
          </w:p>
        </w:tc>
        <w:tc>
          <w:tcPr>
            <w:tcW w:w="2397" w:type="dxa"/>
            <w:vAlign w:val="center"/>
          </w:tcPr>
          <w:p w14:paraId="62464486"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5-day</w:t>
            </w:r>
          </w:p>
        </w:tc>
        <w:tc>
          <w:tcPr>
            <w:tcW w:w="2318" w:type="dxa"/>
            <w:vAlign w:val="center"/>
          </w:tcPr>
          <w:p w14:paraId="3CBFAECF"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After 3 months</w:t>
            </w:r>
          </w:p>
        </w:tc>
      </w:tr>
      <w:tr w:rsidR="00DD566D" w:rsidRPr="00E52DBB" w14:paraId="166C2CE4" w14:textId="77777777" w:rsidTr="00C90B56">
        <w:trPr>
          <w:trHeight w:val="315"/>
          <w:jc w:val="center"/>
        </w:trPr>
        <w:tc>
          <w:tcPr>
            <w:tcW w:w="2289" w:type="dxa"/>
            <w:vAlign w:val="center"/>
          </w:tcPr>
          <w:p w14:paraId="029E2E5F"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AlAT</w:t>
            </w:r>
          </w:p>
        </w:tc>
        <w:tc>
          <w:tcPr>
            <w:tcW w:w="2376" w:type="dxa"/>
            <w:vAlign w:val="center"/>
          </w:tcPr>
          <w:p w14:paraId="0965B175"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43,4±31,59</w:t>
            </w:r>
          </w:p>
        </w:tc>
        <w:tc>
          <w:tcPr>
            <w:tcW w:w="2397" w:type="dxa"/>
            <w:vAlign w:val="center"/>
          </w:tcPr>
          <w:p w14:paraId="1D5578CD"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102,59±75,93</w:t>
            </w:r>
          </w:p>
        </w:tc>
        <w:tc>
          <w:tcPr>
            <w:tcW w:w="2318" w:type="dxa"/>
            <w:vAlign w:val="center"/>
          </w:tcPr>
          <w:p w14:paraId="730809C8"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34,55±13,52</w:t>
            </w:r>
          </w:p>
        </w:tc>
      </w:tr>
      <w:tr w:rsidR="00DD566D" w:rsidRPr="00E52DBB" w14:paraId="7FFDDA6B" w14:textId="77777777" w:rsidTr="00C90B56">
        <w:trPr>
          <w:trHeight w:val="315"/>
          <w:jc w:val="center"/>
        </w:trPr>
        <w:tc>
          <w:tcPr>
            <w:tcW w:w="2289" w:type="dxa"/>
            <w:vAlign w:val="center"/>
          </w:tcPr>
          <w:p w14:paraId="4F02DFFF"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AsAT</w:t>
            </w:r>
          </w:p>
        </w:tc>
        <w:tc>
          <w:tcPr>
            <w:tcW w:w="2376" w:type="dxa"/>
            <w:vAlign w:val="center"/>
          </w:tcPr>
          <w:p w14:paraId="3C582A2E"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37.57±27,43</w:t>
            </w:r>
          </w:p>
        </w:tc>
        <w:tc>
          <w:tcPr>
            <w:tcW w:w="2397" w:type="dxa"/>
            <w:vAlign w:val="center"/>
          </w:tcPr>
          <w:p w14:paraId="1D56F9CF"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65,79±47,95</w:t>
            </w:r>
          </w:p>
        </w:tc>
        <w:tc>
          <w:tcPr>
            <w:tcW w:w="2318" w:type="dxa"/>
            <w:vAlign w:val="center"/>
          </w:tcPr>
          <w:p w14:paraId="2CBA3E89" w14:textId="77777777" w:rsidR="00DD566D" w:rsidRPr="00E52DBB" w:rsidRDefault="00DD566D" w:rsidP="00C90B56">
            <w:pPr>
              <w:spacing w:line="276" w:lineRule="auto"/>
              <w:jc w:val="center"/>
              <w:rPr>
                <w:rFonts w:ascii="Times New Roman" w:eastAsia="Calibri" w:hAnsi="Times New Roman" w:cs="Times New Roman"/>
                <w:sz w:val="24"/>
                <w:szCs w:val="24"/>
                <w:lang w:val="en-US"/>
              </w:rPr>
            </w:pPr>
            <w:r w:rsidRPr="00E52DBB">
              <w:rPr>
                <w:rFonts w:ascii="Times New Roman" w:eastAsia="Calibri" w:hAnsi="Times New Roman" w:cs="Times New Roman"/>
                <w:sz w:val="24"/>
                <w:szCs w:val="24"/>
                <w:lang w:val="en-US"/>
              </w:rPr>
              <w:t>21,6±8,55</w:t>
            </w:r>
          </w:p>
        </w:tc>
      </w:tr>
    </w:tbl>
    <w:p w14:paraId="48B1341B" w14:textId="77777777" w:rsidR="00DD566D" w:rsidRPr="00E52DBB" w:rsidRDefault="00DD566D" w:rsidP="00DD566D">
      <w:pPr>
        <w:spacing w:line="276" w:lineRule="auto"/>
        <w:ind w:firstLine="567"/>
        <w:jc w:val="both"/>
        <w:rPr>
          <w:rFonts w:eastAsia="Calibri" w:cs="Times New Roman"/>
          <w:sz w:val="24"/>
          <w:szCs w:val="24"/>
        </w:rPr>
      </w:pPr>
    </w:p>
    <w:p w14:paraId="5128C5C0"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AsAT the mean amount of treatment was 37,57±27,43, 5 days, up to 65,79±47,95. The monitor of AsAT returned to the norm after 3 months 21,6±8,55.</w:t>
      </w:r>
    </w:p>
    <w:p w14:paraId="24373DB4" w14:textId="77777777" w:rsidR="00DD566D" w:rsidRPr="00E52DBB" w:rsidRDefault="00DD566D" w:rsidP="00DD566D">
      <w:pPr>
        <w:spacing w:line="276" w:lineRule="auto"/>
        <w:ind w:firstLine="567"/>
        <w:jc w:val="both"/>
        <w:rPr>
          <w:rFonts w:eastAsia="Calibri" w:cs="Times New Roman"/>
          <w:sz w:val="24"/>
          <w:szCs w:val="24"/>
        </w:rPr>
      </w:pPr>
    </w:p>
    <w:p w14:paraId="7646EBE4" w14:textId="77777777" w:rsidR="00DD566D" w:rsidRPr="00E52DBB" w:rsidRDefault="00DD566D" w:rsidP="00DD566D">
      <w:pPr>
        <w:spacing w:line="276" w:lineRule="auto"/>
        <w:jc w:val="center"/>
        <w:rPr>
          <w:rFonts w:eastAsia="Calibri" w:cs="Times New Roman"/>
          <w:sz w:val="24"/>
          <w:szCs w:val="24"/>
        </w:rPr>
      </w:pPr>
      <w:r w:rsidRPr="00E52DBB">
        <w:rPr>
          <w:rFonts w:eastAsia="Calibri" w:cs="Times New Roman"/>
          <w:noProof/>
          <w:sz w:val="24"/>
          <w:szCs w:val="24"/>
          <w:lang w:eastAsia="ru-RU"/>
        </w:rPr>
        <w:lastRenderedPageBreak/>
        <w:drawing>
          <wp:inline distT="0" distB="0" distL="0" distR="0" wp14:anchorId="07F1765D" wp14:editId="555682FC">
            <wp:extent cx="2921329" cy="3194050"/>
            <wp:effectExtent l="0" t="0" r="1270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52DBB">
        <w:rPr>
          <w:rFonts w:eastAsia="Calibri" w:cs="Times New Roman"/>
          <w:noProof/>
          <w:sz w:val="24"/>
          <w:szCs w:val="24"/>
          <w:lang w:eastAsia="ru-RU"/>
        </w:rPr>
        <w:drawing>
          <wp:inline distT="0" distB="0" distL="0" distR="0" wp14:anchorId="72EBD609" wp14:editId="5C7F04F7">
            <wp:extent cx="2921329" cy="3194050"/>
            <wp:effectExtent l="0" t="0" r="1270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D4914D" w14:textId="77777777" w:rsidR="00DD566D" w:rsidRPr="00E52DBB" w:rsidRDefault="00DD566D" w:rsidP="00DD566D">
      <w:pPr>
        <w:spacing w:line="276" w:lineRule="auto"/>
        <w:ind w:firstLine="567"/>
        <w:jc w:val="both"/>
        <w:rPr>
          <w:rFonts w:eastAsia="Calibri" w:cs="Times New Roman"/>
          <w:sz w:val="24"/>
          <w:szCs w:val="24"/>
        </w:rPr>
      </w:pPr>
    </w:p>
    <w:p w14:paraId="0AD6FA09" w14:textId="77777777" w:rsidR="00DD566D" w:rsidRDefault="00DD566D" w:rsidP="00DD566D">
      <w:pPr>
        <w:spacing w:line="276" w:lineRule="auto"/>
        <w:ind w:firstLine="567"/>
        <w:contextualSpacing/>
        <w:jc w:val="both"/>
        <w:rPr>
          <w:rFonts w:eastAsia="Calibri" w:cs="Times New Roman"/>
          <w:sz w:val="24"/>
          <w:szCs w:val="24"/>
        </w:rPr>
        <w:sectPr w:rsidR="00DD566D" w:rsidSect="00995DC2">
          <w:type w:val="continuous"/>
          <w:pgSz w:w="11907" w:h="16840" w:code="9"/>
          <w:pgMar w:top="1418" w:right="1134" w:bottom="1134" w:left="1134" w:header="907" w:footer="794" w:gutter="0"/>
          <w:cols w:space="708"/>
          <w:docGrid w:linePitch="381"/>
        </w:sectPr>
      </w:pPr>
    </w:p>
    <w:p w14:paraId="7442F48C"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sz w:val="24"/>
          <w:szCs w:val="24"/>
        </w:rPr>
        <w:t>Despite the 5th table, even after 3 months, there was an increase in liver ferment in some patients. They were 22 patients, 17 of them were young people. It turned out that in 22 patients with high BWI. This means that most young people, excess weight and obesity are observed, as long as the cytolytic indicators are high.</w:t>
      </w:r>
    </w:p>
    <w:p w14:paraId="47AC916D"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b/>
          <w:bCs/>
          <w:sz w:val="24"/>
          <w:szCs w:val="24"/>
        </w:rPr>
        <w:t>Conclusion</w:t>
      </w:r>
      <w:r w:rsidRPr="00E52DBB">
        <w:rPr>
          <w:rFonts w:eastAsia="Calibri" w:cs="Times New Roman"/>
          <w:sz w:val="24"/>
          <w:szCs w:val="24"/>
        </w:rPr>
        <w:t>.</w:t>
      </w:r>
    </w:p>
    <w:p w14:paraId="4253D219"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sz w:val="24"/>
          <w:szCs w:val="24"/>
        </w:rPr>
        <w:t>1. Medical rehabilitation, complaints are observed in patients, which in turn requires complex rehabilitation for 3 months.</w:t>
      </w:r>
    </w:p>
    <w:p w14:paraId="24AFD835"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sz w:val="24"/>
          <w:szCs w:val="24"/>
        </w:rPr>
        <w:t>2. Patients were more likely to have com</w:t>
      </w:r>
      <w:r>
        <w:rPr>
          <w:rFonts w:eastAsia="Calibri" w:cs="Times New Roman"/>
          <w:sz w:val="24"/>
          <w:szCs w:val="24"/>
        </w:rPr>
        <w:softHyphen/>
      </w:r>
      <w:r w:rsidRPr="00E52DBB">
        <w:rPr>
          <w:rFonts w:eastAsia="Calibri" w:cs="Times New Roman"/>
          <w:sz w:val="24"/>
          <w:szCs w:val="24"/>
        </w:rPr>
        <w:t>plaints, which were mainly nutritive, specific to the movement and nervous system, need to choose diffirencial rehabilitation for such pa</w:t>
      </w:r>
      <w:r>
        <w:rPr>
          <w:rFonts w:eastAsia="Calibri" w:cs="Times New Roman"/>
          <w:sz w:val="24"/>
          <w:szCs w:val="24"/>
        </w:rPr>
        <w:softHyphen/>
      </w:r>
      <w:r w:rsidRPr="00E52DBB">
        <w:rPr>
          <w:rFonts w:eastAsia="Calibri" w:cs="Times New Roman"/>
          <w:sz w:val="24"/>
          <w:szCs w:val="24"/>
        </w:rPr>
        <w:t>tients.</w:t>
      </w:r>
    </w:p>
    <w:p w14:paraId="09063BE7"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sz w:val="24"/>
          <w:szCs w:val="24"/>
        </w:rPr>
        <w:t>3. Liver fermens were detected in pa</w:t>
      </w:r>
      <w:r>
        <w:rPr>
          <w:rFonts w:eastAsia="Calibri" w:cs="Times New Roman"/>
          <w:sz w:val="24"/>
          <w:szCs w:val="24"/>
        </w:rPr>
        <w:softHyphen/>
      </w:r>
      <w:r w:rsidRPr="00E52DBB">
        <w:rPr>
          <w:rFonts w:eastAsia="Calibri" w:cs="Times New Roman"/>
          <w:sz w:val="24"/>
          <w:szCs w:val="24"/>
        </w:rPr>
        <w:t>tients who did not return to the norm, even af</w:t>
      </w:r>
      <w:r>
        <w:rPr>
          <w:rFonts w:eastAsia="Calibri" w:cs="Times New Roman"/>
          <w:sz w:val="24"/>
          <w:szCs w:val="24"/>
        </w:rPr>
        <w:softHyphen/>
      </w:r>
      <w:r w:rsidRPr="00E52DBB">
        <w:rPr>
          <w:rFonts w:eastAsia="Calibri" w:cs="Times New Roman"/>
          <w:sz w:val="24"/>
          <w:szCs w:val="24"/>
        </w:rPr>
        <w:t>ter the treatment of medikamentosis. They were formed mainly by young people; it was determined that young people have different levels of obesity.</w:t>
      </w:r>
    </w:p>
    <w:p w14:paraId="4F34CDCE" w14:textId="77777777" w:rsidR="00DD566D" w:rsidRPr="00E52DBB" w:rsidRDefault="00DD566D" w:rsidP="00DD566D">
      <w:pPr>
        <w:spacing w:line="276" w:lineRule="auto"/>
        <w:ind w:firstLine="567"/>
        <w:contextualSpacing/>
        <w:jc w:val="both"/>
        <w:rPr>
          <w:rFonts w:eastAsia="Calibri" w:cs="Times New Roman"/>
          <w:sz w:val="24"/>
          <w:szCs w:val="24"/>
        </w:rPr>
      </w:pPr>
      <w:r w:rsidRPr="00E52DBB">
        <w:rPr>
          <w:rFonts w:eastAsia="Calibri" w:cs="Times New Roman"/>
          <w:sz w:val="24"/>
          <w:szCs w:val="24"/>
        </w:rPr>
        <w:t>4. At times, correctly selected and early-onset rehabilitation can reduce syndrome of encountering post-traumatic syndromes</w:t>
      </w:r>
    </w:p>
    <w:p w14:paraId="37C83D37" w14:textId="77777777" w:rsidR="00DD566D" w:rsidRDefault="00DD566D" w:rsidP="00DD566D">
      <w:pPr>
        <w:spacing w:line="276" w:lineRule="auto"/>
        <w:jc w:val="both"/>
        <w:rPr>
          <w:rFonts w:eastAsia="Calibri" w:cs="Times New Roman"/>
          <w:b/>
          <w:sz w:val="24"/>
          <w:szCs w:val="24"/>
        </w:rPr>
      </w:pPr>
    </w:p>
    <w:p w14:paraId="17E1379B" w14:textId="77777777" w:rsidR="00DD566D" w:rsidRPr="00B62084" w:rsidRDefault="00DD566D" w:rsidP="00DD566D">
      <w:pPr>
        <w:spacing w:line="276" w:lineRule="auto"/>
        <w:jc w:val="center"/>
        <w:rPr>
          <w:rFonts w:eastAsia="Calibri" w:cs="Times New Roman"/>
          <w:b/>
          <w:sz w:val="24"/>
          <w:szCs w:val="24"/>
          <w:lang w:val="it-IT"/>
        </w:rPr>
      </w:pPr>
      <w:r w:rsidRPr="00B62084">
        <w:rPr>
          <w:rFonts w:eastAsia="Calibri" w:cs="Times New Roman"/>
          <w:b/>
          <w:sz w:val="24"/>
          <w:szCs w:val="24"/>
          <w:lang w:val="it-IT"/>
        </w:rPr>
        <w:t>LITERATURE</w:t>
      </w:r>
    </w:p>
    <w:p w14:paraId="361EF9DE" w14:textId="77777777" w:rsidR="00DD566D" w:rsidRPr="00B62084" w:rsidRDefault="00DD566D" w:rsidP="00DD566D">
      <w:pPr>
        <w:spacing w:line="276" w:lineRule="auto"/>
        <w:jc w:val="center"/>
        <w:rPr>
          <w:rFonts w:eastAsia="Calibri" w:cs="Times New Roman"/>
          <w:b/>
          <w:sz w:val="24"/>
          <w:szCs w:val="24"/>
          <w:lang w:val="it-IT"/>
        </w:rPr>
      </w:pPr>
    </w:p>
    <w:p w14:paraId="5D649B34" w14:textId="77777777" w:rsidR="00DD566D" w:rsidRPr="00B62084" w:rsidRDefault="00DD566D" w:rsidP="00DD566D">
      <w:pPr>
        <w:spacing w:line="276" w:lineRule="auto"/>
        <w:ind w:firstLine="567"/>
        <w:jc w:val="both"/>
        <w:rPr>
          <w:rFonts w:eastAsia="Calibri" w:cs="Times New Roman"/>
          <w:sz w:val="24"/>
          <w:szCs w:val="24"/>
          <w:lang w:val="it-IT"/>
        </w:rPr>
      </w:pPr>
      <w:r w:rsidRPr="00B62084">
        <w:rPr>
          <w:rFonts w:eastAsia="Calibri" w:cs="Times New Roman"/>
          <w:sz w:val="24"/>
          <w:szCs w:val="24"/>
          <w:lang w:val="it-IT"/>
        </w:rPr>
        <w:t>1. Ivanova G. E., Tall I. N., Fortunately I. S. I dr. Medisinskaya rehabilitation pri no</w:t>
      </w:r>
      <w:r w:rsidRPr="00B62084">
        <w:rPr>
          <w:rFonts w:eastAsia="Calibri" w:cs="Times New Roman"/>
          <w:sz w:val="24"/>
          <w:szCs w:val="24"/>
          <w:lang w:val="it-IT"/>
        </w:rPr>
        <w:softHyphen/>
        <w:t>voy koronavirusnoy infektsii (COVID-19) / / fiz. I Rehabilitation. medisina, med. rehabilita</w:t>
      </w:r>
      <w:r w:rsidRPr="00B62084">
        <w:rPr>
          <w:rFonts w:eastAsia="Calibri" w:cs="Times New Roman"/>
          <w:sz w:val="24"/>
          <w:szCs w:val="24"/>
          <w:lang w:val="it-IT"/>
        </w:rPr>
        <w:softHyphen/>
        <w:t>tion. – 2020. - T. 2, № 2. - What? 140-189. Doi: 10.36425/rehab34231.</w:t>
      </w:r>
    </w:p>
    <w:p w14:paraId="77A306C2" w14:textId="77777777" w:rsidR="00DD566D" w:rsidRPr="00E52DBB" w:rsidRDefault="00DD566D" w:rsidP="00DD566D">
      <w:pPr>
        <w:spacing w:line="276" w:lineRule="auto"/>
        <w:ind w:firstLine="567"/>
        <w:jc w:val="both"/>
        <w:rPr>
          <w:rFonts w:eastAsia="Calibri" w:cs="Times New Roman"/>
          <w:sz w:val="24"/>
          <w:szCs w:val="24"/>
        </w:rPr>
      </w:pPr>
      <w:r w:rsidRPr="00B62084">
        <w:rPr>
          <w:rFonts w:eastAsia="Calibri" w:cs="Times New Roman"/>
          <w:sz w:val="24"/>
          <w:szCs w:val="24"/>
          <w:lang w:val="it-IT"/>
        </w:rPr>
        <w:t xml:space="preserve">2. Razumav A. N., Ponomarenko G. N., Badtieva V. A. Medisinskaya rehabilitation pasientov s pneumoniami, assosiirovannimi s novoy koronavirusnoy infektsiey COVID-19 // Vopr. kurortologii, physioterapii i lecheb. </w:t>
      </w:r>
      <w:r w:rsidRPr="00E52DBB">
        <w:rPr>
          <w:rFonts w:eastAsia="Calibri" w:cs="Times New Roman"/>
          <w:sz w:val="24"/>
          <w:szCs w:val="24"/>
        </w:rPr>
        <w:t>Oh, fiz. the culture. – 2020. - T. 97, № 3. - What? 5-13. Doi: 10.17116/kurort2020970315.</w:t>
      </w:r>
    </w:p>
    <w:p w14:paraId="44473DC2" w14:textId="77777777" w:rsidR="00DD566D" w:rsidRPr="00E52DBB" w:rsidRDefault="00DD566D" w:rsidP="00DD566D">
      <w:pPr>
        <w:spacing w:line="276" w:lineRule="auto"/>
        <w:ind w:firstLine="567"/>
        <w:jc w:val="both"/>
        <w:rPr>
          <w:rFonts w:eastAsia="Calibri" w:cs="Times New Roman"/>
          <w:sz w:val="24"/>
          <w:szCs w:val="24"/>
          <w:lang w:val="ru-RU"/>
        </w:rPr>
      </w:pPr>
      <w:r w:rsidRPr="00E52DBB">
        <w:rPr>
          <w:rFonts w:eastAsia="Calibri" w:cs="Times New Roman"/>
          <w:sz w:val="24"/>
          <w:szCs w:val="24"/>
        </w:rPr>
        <w:t>3. European Centre for Disease Preven</w:t>
      </w:r>
      <w:r>
        <w:rPr>
          <w:rFonts w:eastAsia="Calibri" w:cs="Times New Roman"/>
          <w:sz w:val="24"/>
          <w:szCs w:val="24"/>
        </w:rPr>
        <w:softHyphen/>
      </w:r>
      <w:r w:rsidRPr="00E52DBB">
        <w:rPr>
          <w:rFonts w:eastAsia="Calibri" w:cs="Times New Roman"/>
          <w:sz w:val="24"/>
          <w:szCs w:val="24"/>
        </w:rPr>
        <w:t>tion and Control. Outbreak ofsevere acute res</w:t>
      </w:r>
      <w:r>
        <w:rPr>
          <w:rFonts w:eastAsia="Calibri" w:cs="Times New Roman"/>
          <w:sz w:val="24"/>
          <w:szCs w:val="24"/>
        </w:rPr>
        <w:softHyphen/>
      </w:r>
      <w:r w:rsidRPr="00E52DBB">
        <w:rPr>
          <w:rFonts w:eastAsia="Calibri" w:cs="Times New Roman"/>
          <w:sz w:val="24"/>
          <w:szCs w:val="24"/>
        </w:rPr>
        <w:t>piratory syndrome coronavirus 2 (SARS-CoV-2): increased transmission beyondChina – fourth update, 14 February 2020. ECDC</w:t>
      </w:r>
      <w:r w:rsidRPr="00B62084">
        <w:rPr>
          <w:rFonts w:eastAsia="Calibri" w:cs="Times New Roman"/>
          <w:sz w:val="24"/>
          <w:szCs w:val="24"/>
          <w:lang w:val="ru-RU"/>
        </w:rPr>
        <w:t xml:space="preserve">. </w:t>
      </w:r>
      <w:r w:rsidRPr="00E52DBB">
        <w:rPr>
          <w:rFonts w:eastAsia="Calibri" w:cs="Times New Roman"/>
          <w:sz w:val="24"/>
          <w:szCs w:val="24"/>
        </w:rPr>
        <w:t>Stockholm</w:t>
      </w:r>
      <w:r w:rsidRPr="00B62084">
        <w:rPr>
          <w:rFonts w:eastAsia="Calibri" w:cs="Times New Roman"/>
          <w:sz w:val="24"/>
          <w:szCs w:val="24"/>
          <w:lang w:val="ru-RU"/>
        </w:rPr>
        <w:t xml:space="preserve">. 2020. </w:t>
      </w:r>
      <w:r w:rsidRPr="00E52DBB">
        <w:rPr>
          <w:rFonts w:eastAsia="Calibri" w:cs="Times New Roman"/>
          <w:sz w:val="24"/>
          <w:szCs w:val="24"/>
        </w:rPr>
        <w:t>URL</w:t>
      </w:r>
      <w:r w:rsidRPr="00E52DBB">
        <w:rPr>
          <w:rFonts w:eastAsia="Calibri" w:cs="Times New Roman"/>
          <w:sz w:val="24"/>
          <w:szCs w:val="24"/>
          <w:lang w:val="ru-RU"/>
        </w:rPr>
        <w:t xml:space="preserve">: </w:t>
      </w:r>
      <w:r w:rsidRPr="00E52DBB">
        <w:rPr>
          <w:rFonts w:eastAsia="Calibri" w:cs="Times New Roman"/>
          <w:sz w:val="24"/>
          <w:szCs w:val="24"/>
        </w:rPr>
        <w:t>https</w:t>
      </w:r>
      <w:r w:rsidRPr="00E52DBB">
        <w:rPr>
          <w:rFonts w:eastAsia="Calibri" w:cs="Times New Roman"/>
          <w:sz w:val="24"/>
          <w:szCs w:val="24"/>
          <w:lang w:val="ru-RU"/>
        </w:rPr>
        <w:t>://</w:t>
      </w:r>
      <w:r w:rsidRPr="00E52DBB">
        <w:rPr>
          <w:rFonts w:eastAsia="Calibri" w:cs="Times New Roman"/>
          <w:sz w:val="24"/>
          <w:szCs w:val="24"/>
        </w:rPr>
        <w:t>www</w:t>
      </w:r>
      <w:r w:rsidRPr="00E52DBB">
        <w:rPr>
          <w:rFonts w:eastAsia="Calibri" w:cs="Times New Roman"/>
          <w:sz w:val="24"/>
          <w:szCs w:val="24"/>
          <w:lang w:val="ru-RU"/>
        </w:rPr>
        <w:t>.</w:t>
      </w:r>
      <w:r w:rsidRPr="00E52DBB">
        <w:rPr>
          <w:rFonts w:eastAsia="Calibri" w:cs="Times New Roman"/>
          <w:sz w:val="24"/>
          <w:szCs w:val="24"/>
        </w:rPr>
        <w:t>ecdc</w:t>
      </w:r>
      <w:r w:rsidRPr="00E52DBB">
        <w:rPr>
          <w:rFonts w:eastAsia="Calibri" w:cs="Times New Roman"/>
          <w:sz w:val="24"/>
          <w:szCs w:val="24"/>
          <w:lang w:val="ru-RU"/>
        </w:rPr>
        <w:t>.</w:t>
      </w:r>
      <w:r w:rsidRPr="00E52DBB">
        <w:rPr>
          <w:rFonts w:eastAsia="Calibri" w:cs="Times New Roman"/>
          <w:sz w:val="24"/>
          <w:szCs w:val="24"/>
        </w:rPr>
        <w:t>eu</w:t>
      </w:r>
      <w:r w:rsidRPr="00A362AA">
        <w:rPr>
          <w:rFonts w:eastAsia="Calibri" w:cs="Times New Roman"/>
          <w:sz w:val="24"/>
          <w:szCs w:val="24"/>
          <w:lang w:val="ru-RU"/>
        </w:rPr>
        <w:softHyphen/>
      </w:r>
      <w:r w:rsidRPr="00E52DBB">
        <w:rPr>
          <w:rFonts w:eastAsia="Calibri" w:cs="Times New Roman"/>
          <w:sz w:val="24"/>
          <w:szCs w:val="24"/>
        </w:rPr>
        <w:t>ropa</w:t>
      </w:r>
      <w:r w:rsidRPr="00E52DBB">
        <w:rPr>
          <w:rFonts w:eastAsia="Calibri" w:cs="Times New Roman"/>
          <w:sz w:val="24"/>
          <w:szCs w:val="24"/>
          <w:lang w:val="ru-RU"/>
        </w:rPr>
        <w:t>.</w:t>
      </w:r>
      <w:r w:rsidRPr="00E52DBB">
        <w:rPr>
          <w:rFonts w:eastAsia="Calibri" w:cs="Times New Roman"/>
          <w:sz w:val="24"/>
          <w:szCs w:val="24"/>
        </w:rPr>
        <w:t>eu</w:t>
      </w:r>
      <w:r w:rsidRPr="00E52DBB">
        <w:rPr>
          <w:rFonts w:eastAsia="Calibri" w:cs="Times New Roman"/>
          <w:sz w:val="24"/>
          <w:szCs w:val="24"/>
          <w:lang w:val="ru-RU"/>
        </w:rPr>
        <w:t>/</w:t>
      </w:r>
      <w:r w:rsidRPr="00E52DBB">
        <w:rPr>
          <w:rFonts w:eastAsia="Calibri" w:cs="Times New Roman"/>
          <w:sz w:val="24"/>
          <w:szCs w:val="24"/>
        </w:rPr>
        <w:t>en</w:t>
      </w:r>
      <w:r w:rsidRPr="00E52DBB">
        <w:rPr>
          <w:rFonts w:eastAsia="Calibri" w:cs="Times New Roman"/>
          <w:sz w:val="24"/>
          <w:szCs w:val="24"/>
          <w:lang w:val="ru-RU"/>
        </w:rPr>
        <w:t>/</w:t>
      </w:r>
      <w:r w:rsidRPr="00E52DBB">
        <w:rPr>
          <w:rFonts w:eastAsia="Calibri" w:cs="Times New Roman"/>
          <w:sz w:val="24"/>
          <w:szCs w:val="24"/>
        </w:rPr>
        <w:t>publications</w:t>
      </w:r>
      <w:r w:rsidRPr="00E52DBB">
        <w:rPr>
          <w:rFonts w:eastAsia="Calibri" w:cs="Times New Roman"/>
          <w:sz w:val="24"/>
          <w:szCs w:val="24"/>
          <w:lang w:val="ru-RU"/>
        </w:rPr>
        <w:t>-</w:t>
      </w:r>
      <w:r w:rsidRPr="00E52DBB">
        <w:rPr>
          <w:rFonts w:eastAsia="Calibri" w:cs="Times New Roman"/>
          <w:sz w:val="24"/>
          <w:szCs w:val="24"/>
        </w:rPr>
        <w:t>data</w:t>
      </w:r>
      <w:r w:rsidRPr="00E52DBB">
        <w:rPr>
          <w:rFonts w:eastAsia="Calibri" w:cs="Times New Roman"/>
          <w:sz w:val="24"/>
          <w:szCs w:val="24"/>
          <w:lang w:val="ru-RU"/>
        </w:rPr>
        <w:t>/</w:t>
      </w:r>
      <w:r w:rsidRPr="00E52DBB">
        <w:rPr>
          <w:rFonts w:eastAsia="Calibri" w:cs="Times New Roman"/>
          <w:sz w:val="24"/>
          <w:szCs w:val="24"/>
        </w:rPr>
        <w:t>outbreak</w:t>
      </w:r>
      <w:r w:rsidRPr="00E52DBB">
        <w:rPr>
          <w:rFonts w:eastAsia="Calibri" w:cs="Times New Roman"/>
          <w:sz w:val="24"/>
          <w:szCs w:val="24"/>
          <w:lang w:val="ru-RU"/>
        </w:rPr>
        <w:t>-</w:t>
      </w:r>
      <w:r w:rsidRPr="00E52DBB">
        <w:rPr>
          <w:rFonts w:eastAsia="Calibri" w:cs="Times New Roman"/>
          <w:sz w:val="24"/>
          <w:szCs w:val="24"/>
        </w:rPr>
        <w:t>severe</w:t>
      </w:r>
      <w:r w:rsidRPr="00E52DBB">
        <w:rPr>
          <w:rFonts w:eastAsia="Calibri" w:cs="Times New Roman"/>
          <w:sz w:val="24"/>
          <w:szCs w:val="24"/>
          <w:lang w:val="ru-RU"/>
        </w:rPr>
        <w:t>-</w:t>
      </w:r>
      <w:r w:rsidRPr="00E52DBB">
        <w:rPr>
          <w:rFonts w:eastAsia="Calibri" w:cs="Times New Roman"/>
          <w:sz w:val="24"/>
          <w:szCs w:val="24"/>
        </w:rPr>
        <w:t>acute</w:t>
      </w:r>
      <w:r w:rsidRPr="00E52DBB">
        <w:rPr>
          <w:rFonts w:eastAsia="Calibri" w:cs="Times New Roman"/>
          <w:sz w:val="24"/>
          <w:szCs w:val="24"/>
          <w:lang w:val="ru-RU"/>
        </w:rPr>
        <w:t>-</w:t>
      </w:r>
      <w:r w:rsidRPr="00E52DBB">
        <w:rPr>
          <w:rFonts w:eastAsia="Calibri" w:cs="Times New Roman"/>
          <w:sz w:val="24"/>
          <w:szCs w:val="24"/>
        </w:rPr>
        <w:t>respiratory</w:t>
      </w:r>
      <w:r w:rsidRPr="00E52DBB">
        <w:rPr>
          <w:rFonts w:eastAsia="Calibri" w:cs="Times New Roman"/>
          <w:sz w:val="24"/>
          <w:szCs w:val="24"/>
          <w:lang w:val="ru-RU"/>
        </w:rPr>
        <w:t>-</w:t>
      </w:r>
      <w:r w:rsidRPr="00E52DBB">
        <w:rPr>
          <w:rFonts w:eastAsia="Calibri" w:cs="Times New Roman"/>
          <w:sz w:val="24"/>
          <w:szCs w:val="24"/>
        </w:rPr>
        <w:t>syndrome</w:t>
      </w:r>
      <w:r w:rsidRPr="00E52DBB">
        <w:rPr>
          <w:rFonts w:eastAsia="Calibri" w:cs="Times New Roman"/>
          <w:sz w:val="24"/>
          <w:szCs w:val="24"/>
          <w:lang w:val="ru-RU"/>
        </w:rPr>
        <w:t>-</w:t>
      </w:r>
      <w:r w:rsidRPr="00E52DBB">
        <w:rPr>
          <w:rFonts w:eastAsia="Calibri" w:cs="Times New Roman"/>
          <w:sz w:val="24"/>
          <w:szCs w:val="24"/>
        </w:rPr>
        <w:t>coronavirus</w:t>
      </w:r>
      <w:r w:rsidRPr="00E52DBB">
        <w:rPr>
          <w:rFonts w:eastAsia="Calibri" w:cs="Times New Roman"/>
          <w:sz w:val="24"/>
          <w:szCs w:val="24"/>
          <w:lang w:val="ru-RU"/>
        </w:rPr>
        <w:t>-2-</w:t>
      </w:r>
      <w:r w:rsidRPr="00E52DBB">
        <w:rPr>
          <w:rFonts w:eastAsia="Calibri" w:cs="Times New Roman"/>
          <w:sz w:val="24"/>
          <w:szCs w:val="24"/>
        </w:rPr>
        <w:t>sars</w:t>
      </w:r>
      <w:r w:rsidRPr="00E52DBB">
        <w:rPr>
          <w:rFonts w:eastAsia="Calibri" w:cs="Times New Roman"/>
          <w:sz w:val="24"/>
          <w:szCs w:val="24"/>
          <w:lang w:val="ru-RU"/>
        </w:rPr>
        <w:t>-</w:t>
      </w:r>
      <w:r w:rsidRPr="00E52DBB">
        <w:rPr>
          <w:rFonts w:eastAsia="Calibri" w:cs="Times New Roman"/>
          <w:sz w:val="24"/>
          <w:szCs w:val="24"/>
        </w:rPr>
        <w:t>cov</w:t>
      </w:r>
      <w:r w:rsidRPr="00E52DBB">
        <w:rPr>
          <w:rFonts w:eastAsia="Calibri" w:cs="Times New Roman"/>
          <w:sz w:val="24"/>
          <w:szCs w:val="24"/>
          <w:lang w:val="ru-RU"/>
        </w:rPr>
        <w:t>-2-</w:t>
      </w:r>
      <w:r w:rsidRPr="00E52DBB">
        <w:rPr>
          <w:rFonts w:eastAsia="Calibri" w:cs="Times New Roman"/>
          <w:sz w:val="24"/>
          <w:szCs w:val="24"/>
        </w:rPr>
        <w:t>increased</w:t>
      </w:r>
      <w:r w:rsidRPr="00E52DBB">
        <w:rPr>
          <w:rFonts w:eastAsia="Calibri" w:cs="Times New Roman"/>
          <w:sz w:val="24"/>
          <w:szCs w:val="24"/>
          <w:lang w:val="ru-RU"/>
        </w:rPr>
        <w:t xml:space="preserve"> (дата обращения: 03.05.2020).</w:t>
      </w:r>
    </w:p>
    <w:p w14:paraId="7C1909EC"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4. Sobirova G. H., Bafoyeva Z. O. Deter</w:t>
      </w:r>
      <w:r>
        <w:rPr>
          <w:rFonts w:eastAsia="Calibri" w:cs="Times New Roman"/>
          <w:sz w:val="24"/>
          <w:szCs w:val="24"/>
        </w:rPr>
        <w:softHyphen/>
      </w:r>
      <w:r w:rsidRPr="00E52DBB">
        <w:rPr>
          <w:rFonts w:eastAsia="Calibri" w:cs="Times New Roman"/>
          <w:sz w:val="24"/>
          <w:szCs w:val="24"/>
        </w:rPr>
        <w:t xml:space="preserve">mination and Analysis of Changes in the Hepatobiliar System in Patients with COVID-19 American Journal of Medicine and Medical </w:t>
      </w:r>
      <w:r w:rsidRPr="00E52DBB">
        <w:rPr>
          <w:rFonts w:eastAsia="Calibri" w:cs="Times New Roman"/>
          <w:sz w:val="24"/>
          <w:szCs w:val="24"/>
        </w:rPr>
        <w:lastRenderedPageBreak/>
        <w:t>Sciences 2021, 11(2): 145-147 DOI: 10.5923/j.ajmms.20211102.17.</w:t>
      </w:r>
    </w:p>
    <w:p w14:paraId="679EA9C1"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5.Thomas P., Baldwin C., Bissett B. et al. Physiotherapy management for COVID-19 in the acute hospital setting: clinical practice rec</w:t>
      </w:r>
      <w:r>
        <w:rPr>
          <w:rFonts w:eastAsia="Calibri" w:cs="Times New Roman"/>
          <w:sz w:val="24"/>
          <w:szCs w:val="24"/>
        </w:rPr>
        <w:softHyphen/>
      </w:r>
      <w:r w:rsidRPr="00E52DBB">
        <w:rPr>
          <w:rFonts w:eastAsia="Calibri" w:cs="Times New Roman"/>
          <w:sz w:val="24"/>
          <w:szCs w:val="24"/>
        </w:rPr>
        <w:t>ommendations // J. Physiother. – 2020. – Vol. 66, № 2. – P. 73–82. Doi: 10.1016/j.jphys.2020.03.011.</w:t>
      </w:r>
    </w:p>
    <w:p w14:paraId="4CE3373D" w14:textId="77777777" w:rsidR="00DD566D" w:rsidRPr="00E52DBB" w:rsidRDefault="00DD566D" w:rsidP="00DD566D">
      <w:pPr>
        <w:spacing w:line="276" w:lineRule="auto"/>
        <w:ind w:firstLine="567"/>
        <w:jc w:val="both"/>
        <w:rPr>
          <w:rFonts w:eastAsia="Calibri" w:cs="Times New Roman"/>
          <w:sz w:val="24"/>
          <w:szCs w:val="24"/>
        </w:rPr>
      </w:pPr>
      <w:r w:rsidRPr="00E52DBB">
        <w:rPr>
          <w:rFonts w:eastAsia="Calibri" w:cs="Times New Roman"/>
          <w:sz w:val="24"/>
          <w:szCs w:val="24"/>
        </w:rPr>
        <w:t xml:space="preserve">6. 11. Wang D., Hu B., Hu C., Zhu F., Liu X., Zhang J. et al. Clinical characteristics of 138 hospitalized patients with 2019 novel </w:t>
      </w:r>
      <w:r w:rsidRPr="00E52DBB">
        <w:rPr>
          <w:rFonts w:eastAsia="Calibri" w:cs="Times New Roman"/>
          <w:sz w:val="24"/>
          <w:szCs w:val="24"/>
        </w:rPr>
        <w:t>coronavirus-infected pneumonia in Wuhan, China. JAMA. 2020;323(11):1061-1069. DOI:10.1001/jama.2020.1585</w:t>
      </w:r>
    </w:p>
    <w:p w14:paraId="43CB0F1A" w14:textId="77777777" w:rsidR="00DD566D" w:rsidRPr="00F20187" w:rsidRDefault="00DD566D" w:rsidP="00DD566D">
      <w:pPr>
        <w:spacing w:line="276" w:lineRule="auto"/>
        <w:ind w:firstLine="567"/>
        <w:jc w:val="both"/>
        <w:rPr>
          <w:rFonts w:eastAsia="Times New Roman" w:cs="Times New Roman"/>
          <w:color w:val="666666"/>
          <w:sz w:val="24"/>
          <w:szCs w:val="24"/>
          <w:lang w:eastAsia="ru-RU"/>
        </w:rPr>
      </w:pPr>
      <w:r w:rsidRPr="00E52DBB">
        <w:rPr>
          <w:rFonts w:eastAsia="Times New Roman" w:cs="Times New Roman"/>
          <w:color w:val="000000"/>
          <w:sz w:val="24"/>
          <w:szCs w:val="24"/>
          <w:lang w:eastAsia="ru-RU"/>
        </w:rPr>
        <w:t>7. Zhu Z, Hasegawa K, Ma B, Fujiogi M, Camargo CA, Liang L. Association of obesity and its genetic predisposition with the risk of severe COVID-19: analysis of population-based cohort data. Metabolism</w:t>
      </w:r>
      <w:r w:rsidRPr="00F20187">
        <w:rPr>
          <w:rFonts w:eastAsia="Times New Roman" w:cs="Times New Roman"/>
          <w:color w:val="000000"/>
          <w:sz w:val="24"/>
          <w:szCs w:val="24"/>
          <w:lang w:eastAsia="ru-RU"/>
        </w:rPr>
        <w:t xml:space="preserve">. 2020;112:154345. </w:t>
      </w:r>
      <w:hyperlink r:id="rId26" w:history="1">
        <w:r w:rsidRPr="00E52DBB">
          <w:rPr>
            <w:rStyle w:val="a3"/>
            <w:rFonts w:eastAsia="Times New Roman" w:cs="Times New Roman"/>
            <w:sz w:val="24"/>
            <w:szCs w:val="24"/>
            <w:lang w:eastAsia="ru-RU"/>
          </w:rPr>
          <w:t>https</w:t>
        </w:r>
        <w:r w:rsidRPr="00F20187">
          <w:rPr>
            <w:rStyle w:val="a3"/>
            <w:rFonts w:eastAsia="Times New Roman" w:cs="Times New Roman"/>
            <w:sz w:val="24"/>
            <w:szCs w:val="24"/>
            <w:lang w:eastAsia="ru-RU"/>
          </w:rPr>
          <w:t>://</w:t>
        </w:r>
        <w:r w:rsidRPr="00E52DBB">
          <w:rPr>
            <w:rStyle w:val="a3"/>
            <w:rFonts w:eastAsia="Times New Roman" w:cs="Times New Roman"/>
            <w:sz w:val="24"/>
            <w:szCs w:val="24"/>
            <w:lang w:eastAsia="ru-RU"/>
          </w:rPr>
          <w:t>doi</w:t>
        </w:r>
        <w:r w:rsidRPr="00F20187">
          <w:rPr>
            <w:rStyle w:val="a3"/>
            <w:rFonts w:eastAsia="Times New Roman" w:cs="Times New Roman"/>
            <w:sz w:val="24"/>
            <w:szCs w:val="24"/>
            <w:lang w:eastAsia="ru-RU"/>
          </w:rPr>
          <w:t>.</w:t>
        </w:r>
        <w:r w:rsidRPr="00E52DBB">
          <w:rPr>
            <w:rStyle w:val="a3"/>
            <w:rFonts w:eastAsia="Times New Roman" w:cs="Times New Roman"/>
            <w:sz w:val="24"/>
            <w:szCs w:val="24"/>
            <w:lang w:eastAsia="ru-RU"/>
          </w:rPr>
          <w:t>org</w:t>
        </w:r>
        <w:r w:rsidRPr="00F20187">
          <w:rPr>
            <w:rStyle w:val="a3"/>
            <w:rFonts w:eastAsia="Times New Roman" w:cs="Times New Roman"/>
            <w:sz w:val="24"/>
            <w:szCs w:val="24"/>
            <w:lang w:eastAsia="ru-RU"/>
          </w:rPr>
          <w:t>/10.1016/</w:t>
        </w:r>
        <w:r w:rsidRPr="00E52DBB">
          <w:rPr>
            <w:rStyle w:val="a3"/>
            <w:rFonts w:eastAsia="Times New Roman" w:cs="Times New Roman"/>
            <w:sz w:val="24"/>
            <w:szCs w:val="24"/>
            <w:lang w:eastAsia="ru-RU"/>
          </w:rPr>
          <w:t>j</w:t>
        </w:r>
        <w:r w:rsidRPr="00F20187">
          <w:rPr>
            <w:rStyle w:val="a3"/>
            <w:rFonts w:eastAsia="Times New Roman" w:cs="Times New Roman"/>
            <w:sz w:val="24"/>
            <w:szCs w:val="24"/>
            <w:lang w:eastAsia="ru-RU"/>
          </w:rPr>
          <w:t xml:space="preserve">. </w:t>
        </w:r>
        <w:r w:rsidRPr="00E52DBB">
          <w:rPr>
            <w:rStyle w:val="a3"/>
            <w:rFonts w:eastAsia="Times New Roman" w:cs="Times New Roman"/>
            <w:sz w:val="24"/>
            <w:szCs w:val="24"/>
            <w:lang w:eastAsia="ru-RU"/>
          </w:rPr>
          <w:t>metabol</w:t>
        </w:r>
        <w:r w:rsidRPr="00F20187">
          <w:rPr>
            <w:rStyle w:val="a3"/>
            <w:rFonts w:eastAsia="Times New Roman" w:cs="Times New Roman"/>
            <w:sz w:val="24"/>
            <w:szCs w:val="24"/>
            <w:lang w:eastAsia="ru-RU"/>
          </w:rPr>
          <w:t xml:space="preserve"> .2020.154345.</w:t>
        </w:r>
      </w:hyperlink>
      <w:r w:rsidRPr="00F20187">
        <w:rPr>
          <w:rFonts w:eastAsia="Times New Roman" w:cs="Times New Roman"/>
          <w:color w:val="666666"/>
          <w:sz w:val="24"/>
          <w:szCs w:val="24"/>
          <w:lang w:eastAsia="ru-RU"/>
        </w:rPr>
        <w:t xml:space="preserve"> </w:t>
      </w:r>
    </w:p>
    <w:p w14:paraId="600F4085" w14:textId="77777777" w:rsidR="00DD566D" w:rsidRDefault="00DD566D" w:rsidP="00DD566D">
      <w:pPr>
        <w:spacing w:line="276" w:lineRule="auto"/>
        <w:ind w:firstLine="567"/>
        <w:jc w:val="both"/>
        <w:rPr>
          <w:rFonts w:eastAsia="Calibri" w:cs="Times New Roman"/>
          <w:sz w:val="24"/>
          <w:szCs w:val="24"/>
          <w:lang w:val="uz-Cyrl-UZ"/>
        </w:rPr>
        <w:sectPr w:rsidR="00DD566D" w:rsidSect="00A362AA">
          <w:type w:val="continuous"/>
          <w:pgSz w:w="11907" w:h="16840" w:code="9"/>
          <w:pgMar w:top="1418" w:right="1134" w:bottom="1134" w:left="1134" w:header="907" w:footer="794" w:gutter="0"/>
          <w:cols w:num="2" w:space="708"/>
          <w:docGrid w:linePitch="381"/>
        </w:sectPr>
      </w:pPr>
    </w:p>
    <w:p w14:paraId="442B139F" w14:textId="77777777" w:rsidR="00DD566D" w:rsidRPr="00E52DBB" w:rsidRDefault="00DD566D" w:rsidP="00DD566D">
      <w:pPr>
        <w:spacing w:line="276" w:lineRule="auto"/>
        <w:ind w:firstLine="567"/>
        <w:jc w:val="both"/>
        <w:rPr>
          <w:rFonts w:eastAsia="Calibri" w:cs="Times New Roman"/>
          <w:sz w:val="24"/>
          <w:szCs w:val="24"/>
          <w:lang w:val="uz-Cyrl-UZ"/>
        </w:rPr>
      </w:pPr>
    </w:p>
    <w:p w14:paraId="439C846B" w14:textId="77777777" w:rsidR="00DD566D" w:rsidRPr="00E52DBB" w:rsidRDefault="00DD566D" w:rsidP="00DD566D">
      <w:pPr>
        <w:spacing w:line="276" w:lineRule="auto"/>
        <w:ind w:firstLine="567"/>
        <w:jc w:val="both"/>
        <w:rPr>
          <w:rFonts w:eastAsia="Calibri" w:cs="Times New Roman"/>
          <w:sz w:val="24"/>
          <w:szCs w:val="24"/>
          <w:lang w:val="uz-Cyrl-UZ"/>
        </w:rPr>
      </w:pPr>
    </w:p>
    <w:p w14:paraId="6690C58D" w14:textId="77777777" w:rsidR="00DD566D" w:rsidRPr="00E52DBB" w:rsidRDefault="00DD566D" w:rsidP="00DD566D">
      <w:pPr>
        <w:spacing w:line="276" w:lineRule="auto"/>
        <w:ind w:firstLine="567"/>
        <w:jc w:val="both"/>
        <w:rPr>
          <w:rFonts w:cs="Times New Roman"/>
          <w:sz w:val="24"/>
          <w:szCs w:val="24"/>
          <w:lang w:val="uz-Latn-UZ"/>
        </w:rPr>
      </w:pPr>
    </w:p>
    <w:p w14:paraId="5AF79367" w14:textId="77777777" w:rsidR="00DD566D" w:rsidRPr="00E52DBB" w:rsidRDefault="00DD566D" w:rsidP="00DD566D">
      <w:pPr>
        <w:spacing w:line="276" w:lineRule="auto"/>
        <w:ind w:firstLine="567"/>
        <w:jc w:val="both"/>
        <w:rPr>
          <w:rFonts w:cs="Times New Roman"/>
          <w:sz w:val="24"/>
          <w:szCs w:val="24"/>
          <w:lang w:val="uz-Latn-UZ"/>
        </w:rPr>
      </w:pPr>
    </w:p>
    <w:p w14:paraId="66DEC6CF" w14:textId="77777777" w:rsidR="00DD566D" w:rsidRDefault="00DD566D" w:rsidP="00DD566D">
      <w:pPr>
        <w:ind w:firstLine="567"/>
        <w:jc w:val="both"/>
        <w:rPr>
          <w:sz w:val="24"/>
          <w:lang w:val="uz-Latn-UZ"/>
        </w:rPr>
      </w:pPr>
    </w:p>
    <w:p w14:paraId="0B7DDEBA" w14:textId="77777777" w:rsidR="00DD566D" w:rsidRDefault="00DD566D" w:rsidP="00DD566D">
      <w:pPr>
        <w:ind w:firstLine="567"/>
        <w:jc w:val="both"/>
        <w:rPr>
          <w:sz w:val="24"/>
          <w:lang w:val="uz-Latn-UZ"/>
        </w:rPr>
      </w:pPr>
    </w:p>
    <w:p w14:paraId="76D62BC8" w14:textId="77777777" w:rsidR="00DD566D" w:rsidRDefault="00DD566D" w:rsidP="00DD566D">
      <w:pPr>
        <w:ind w:firstLine="567"/>
        <w:jc w:val="both"/>
        <w:rPr>
          <w:sz w:val="24"/>
          <w:lang w:val="uz-Latn-UZ"/>
        </w:rPr>
      </w:pPr>
    </w:p>
    <w:p w14:paraId="115A89ED" w14:textId="77777777" w:rsidR="00DD566D" w:rsidRDefault="00DD566D" w:rsidP="00DD566D">
      <w:pPr>
        <w:ind w:firstLine="567"/>
        <w:jc w:val="both"/>
        <w:rPr>
          <w:sz w:val="24"/>
          <w:lang w:val="uz-Latn-UZ"/>
        </w:rPr>
      </w:pPr>
    </w:p>
    <w:p w14:paraId="5969FCB9" w14:textId="77777777" w:rsidR="00DD566D" w:rsidRDefault="00DD566D" w:rsidP="00DD566D">
      <w:pPr>
        <w:ind w:firstLine="567"/>
        <w:jc w:val="both"/>
        <w:rPr>
          <w:sz w:val="24"/>
          <w:lang w:val="uz-Latn-UZ"/>
        </w:rPr>
      </w:pPr>
    </w:p>
    <w:p w14:paraId="521124D1" w14:textId="77777777" w:rsidR="00DD566D" w:rsidRDefault="00DD566D" w:rsidP="00DD566D">
      <w:pPr>
        <w:ind w:firstLine="567"/>
        <w:jc w:val="both"/>
        <w:rPr>
          <w:sz w:val="24"/>
          <w:lang w:val="uz-Latn-UZ"/>
        </w:rPr>
      </w:pPr>
    </w:p>
    <w:p w14:paraId="76BE3712" w14:textId="77777777" w:rsidR="00DD566D" w:rsidRDefault="00DD566D" w:rsidP="00DD566D">
      <w:pPr>
        <w:ind w:firstLine="567"/>
        <w:jc w:val="both"/>
        <w:rPr>
          <w:sz w:val="24"/>
          <w:lang w:val="uz-Latn-UZ"/>
        </w:rPr>
      </w:pPr>
    </w:p>
    <w:p w14:paraId="7A53A2E0" w14:textId="77777777" w:rsidR="00DD566D" w:rsidRDefault="00DD566D" w:rsidP="00DD566D">
      <w:pPr>
        <w:ind w:firstLine="567"/>
        <w:jc w:val="both"/>
        <w:rPr>
          <w:sz w:val="24"/>
          <w:lang w:val="uz-Latn-UZ"/>
        </w:rPr>
      </w:pPr>
    </w:p>
    <w:p w14:paraId="759C5698" w14:textId="77777777" w:rsidR="00DD566D" w:rsidRDefault="00DD566D" w:rsidP="00DD566D">
      <w:pPr>
        <w:ind w:firstLine="567"/>
        <w:jc w:val="both"/>
        <w:rPr>
          <w:sz w:val="24"/>
          <w:lang w:val="uz-Latn-UZ"/>
        </w:rPr>
      </w:pPr>
    </w:p>
    <w:p w14:paraId="09B302BA" w14:textId="77777777" w:rsidR="00DD566D" w:rsidRDefault="00DD566D" w:rsidP="00DD566D">
      <w:pPr>
        <w:ind w:firstLine="567"/>
        <w:jc w:val="both"/>
        <w:rPr>
          <w:sz w:val="24"/>
          <w:lang w:val="uz-Latn-UZ"/>
        </w:rPr>
      </w:pPr>
    </w:p>
    <w:p w14:paraId="337C56A3" w14:textId="77777777" w:rsidR="00DD566D" w:rsidRDefault="00DD566D" w:rsidP="00DD566D">
      <w:pPr>
        <w:ind w:firstLine="567"/>
        <w:jc w:val="both"/>
        <w:rPr>
          <w:sz w:val="24"/>
          <w:lang w:val="uz-Latn-UZ"/>
        </w:rPr>
      </w:pPr>
    </w:p>
    <w:p w14:paraId="4414867A" w14:textId="77777777" w:rsidR="00DD566D" w:rsidRDefault="00DD566D" w:rsidP="00DD566D">
      <w:pPr>
        <w:ind w:firstLine="567"/>
        <w:jc w:val="both"/>
        <w:rPr>
          <w:sz w:val="24"/>
          <w:lang w:val="uz-Latn-UZ"/>
        </w:rPr>
      </w:pPr>
    </w:p>
    <w:p w14:paraId="6277D94C" w14:textId="77777777" w:rsidR="00DD566D" w:rsidRDefault="00DD566D" w:rsidP="00DD566D">
      <w:pPr>
        <w:ind w:firstLine="567"/>
        <w:jc w:val="both"/>
        <w:rPr>
          <w:sz w:val="24"/>
          <w:lang w:val="uz-Latn-UZ"/>
        </w:rPr>
      </w:pPr>
    </w:p>
    <w:p w14:paraId="2AD836CA" w14:textId="77777777" w:rsidR="00DD566D" w:rsidRDefault="00DD566D" w:rsidP="00DD566D">
      <w:pPr>
        <w:ind w:firstLine="567"/>
        <w:jc w:val="both"/>
        <w:rPr>
          <w:sz w:val="24"/>
          <w:lang w:val="uz-Latn-UZ"/>
        </w:rPr>
      </w:pPr>
    </w:p>
    <w:p w14:paraId="43BAB8BA" w14:textId="77777777" w:rsidR="00DD566D" w:rsidRDefault="00DD566D" w:rsidP="00DD566D">
      <w:pPr>
        <w:ind w:firstLine="567"/>
        <w:jc w:val="both"/>
        <w:rPr>
          <w:sz w:val="24"/>
          <w:lang w:val="uz-Latn-UZ"/>
        </w:rPr>
      </w:pPr>
    </w:p>
    <w:p w14:paraId="6D4D8D23" w14:textId="77777777" w:rsidR="00DD566D" w:rsidRDefault="00DD566D" w:rsidP="00DD566D">
      <w:pPr>
        <w:ind w:firstLine="567"/>
        <w:jc w:val="both"/>
        <w:rPr>
          <w:sz w:val="24"/>
          <w:lang w:val="uz-Latn-UZ"/>
        </w:rPr>
      </w:pPr>
    </w:p>
    <w:p w14:paraId="532C6230" w14:textId="77777777" w:rsidR="00DD566D" w:rsidRDefault="00DD566D" w:rsidP="00DD566D">
      <w:pPr>
        <w:ind w:firstLine="567"/>
        <w:jc w:val="both"/>
        <w:rPr>
          <w:sz w:val="24"/>
          <w:lang w:val="uz-Latn-UZ"/>
        </w:rPr>
      </w:pPr>
    </w:p>
    <w:p w14:paraId="68BFA99F" w14:textId="77777777" w:rsidR="00DD566D" w:rsidRDefault="00DD566D" w:rsidP="00DD566D">
      <w:pPr>
        <w:ind w:firstLine="567"/>
        <w:jc w:val="both"/>
        <w:rPr>
          <w:sz w:val="24"/>
          <w:lang w:val="uz-Latn-UZ"/>
        </w:rPr>
      </w:pPr>
    </w:p>
    <w:p w14:paraId="1BDB1EF7" w14:textId="77777777" w:rsidR="00DD566D" w:rsidRDefault="00DD566D" w:rsidP="00DD566D">
      <w:pPr>
        <w:ind w:firstLine="567"/>
        <w:jc w:val="both"/>
        <w:rPr>
          <w:sz w:val="24"/>
          <w:lang w:val="uz-Latn-UZ"/>
        </w:rPr>
      </w:pPr>
    </w:p>
    <w:p w14:paraId="403FBA47" w14:textId="77777777" w:rsidR="00DD566D" w:rsidRDefault="00DD566D" w:rsidP="00DD566D">
      <w:pPr>
        <w:ind w:firstLine="567"/>
        <w:jc w:val="both"/>
        <w:rPr>
          <w:sz w:val="24"/>
          <w:lang w:val="uz-Latn-UZ"/>
        </w:rPr>
      </w:pPr>
    </w:p>
    <w:p w14:paraId="67DA19BF" w14:textId="77777777" w:rsidR="00DD566D" w:rsidRDefault="00DD566D" w:rsidP="00DD566D">
      <w:pPr>
        <w:ind w:firstLine="567"/>
        <w:jc w:val="both"/>
        <w:rPr>
          <w:sz w:val="24"/>
          <w:lang w:val="uz-Latn-UZ"/>
        </w:rPr>
      </w:pPr>
    </w:p>
    <w:p w14:paraId="351A9A11" w14:textId="77777777" w:rsidR="00DD566D" w:rsidRDefault="00DD566D" w:rsidP="00DD566D">
      <w:pPr>
        <w:ind w:firstLine="567"/>
        <w:jc w:val="both"/>
        <w:rPr>
          <w:sz w:val="24"/>
          <w:lang w:val="uz-Latn-UZ"/>
        </w:rPr>
      </w:pPr>
    </w:p>
    <w:p w14:paraId="5895444F" w14:textId="77777777" w:rsidR="00DD566D" w:rsidRDefault="00DD566D" w:rsidP="00DD566D">
      <w:pPr>
        <w:ind w:firstLine="567"/>
        <w:jc w:val="both"/>
        <w:rPr>
          <w:sz w:val="24"/>
          <w:lang w:val="uz-Latn-UZ"/>
        </w:rPr>
      </w:pPr>
    </w:p>
    <w:p w14:paraId="716A6523" w14:textId="77777777" w:rsidR="00DD566D" w:rsidRPr="00F20187" w:rsidRDefault="00DD566D" w:rsidP="00DD566D">
      <w:pPr>
        <w:spacing w:line="276" w:lineRule="auto"/>
        <w:jc w:val="both"/>
        <w:rPr>
          <w:rFonts w:eastAsia="Gabriola" w:cs="Times New Roman"/>
          <w:sz w:val="24"/>
          <w:szCs w:val="24"/>
          <w:lang w:eastAsia="ru-RU"/>
        </w:rPr>
      </w:pPr>
      <w:r>
        <w:rPr>
          <w:rFonts w:eastAsia="Gabriola" w:cs="Times New Roman"/>
          <w:sz w:val="24"/>
          <w:szCs w:val="24"/>
          <w:lang w:eastAsia="ru-RU"/>
        </w:rPr>
        <w:t>UDC</w:t>
      </w:r>
      <w:r w:rsidRPr="00F20187">
        <w:rPr>
          <w:rFonts w:eastAsia="Gabriola" w:cs="Times New Roman"/>
          <w:sz w:val="24"/>
          <w:szCs w:val="24"/>
          <w:lang w:eastAsia="ru-RU"/>
        </w:rPr>
        <w:t>: 617.731:616-73.65-085</w:t>
      </w:r>
    </w:p>
    <w:p w14:paraId="19B6D2C6" w14:textId="77777777" w:rsidR="00DD566D" w:rsidRPr="00F20187" w:rsidRDefault="00DD566D" w:rsidP="00DD566D">
      <w:pPr>
        <w:spacing w:line="276" w:lineRule="auto"/>
        <w:ind w:firstLine="567"/>
        <w:jc w:val="both"/>
        <w:rPr>
          <w:rFonts w:eastAsia="Gabriola" w:cs="Times New Roman"/>
          <w:b/>
          <w:bCs/>
          <w:sz w:val="24"/>
          <w:szCs w:val="24"/>
          <w:lang w:eastAsia="ru-RU"/>
        </w:rPr>
      </w:pPr>
    </w:p>
    <w:p w14:paraId="15C0AE81" w14:textId="77777777" w:rsidR="00DD566D" w:rsidRPr="001828E2" w:rsidRDefault="00DD566D" w:rsidP="00DD566D">
      <w:pPr>
        <w:pStyle w:val="1"/>
      </w:pPr>
      <w:bookmarkStart w:id="11" w:name="_Toc104745756"/>
      <w:r w:rsidRPr="001828E2">
        <w:t>USE OF NEUROPROTECTIVE – GLIATILIN IN THE TREATMENT OF OPTIC NERVE ATROPHY</w:t>
      </w:r>
      <w:bookmarkEnd w:id="11"/>
    </w:p>
    <w:p w14:paraId="1BF343A9" w14:textId="77777777" w:rsidR="00DD566D" w:rsidRPr="002A2904" w:rsidRDefault="00DD566D" w:rsidP="00DD566D">
      <w:pPr>
        <w:spacing w:line="276" w:lineRule="auto"/>
        <w:jc w:val="center"/>
        <w:rPr>
          <w:rFonts w:eastAsia="Gabriola" w:cs="Times New Roman"/>
          <w:b/>
          <w:bCs/>
          <w:sz w:val="24"/>
          <w:szCs w:val="24"/>
          <w:lang w:eastAsia="ru-RU"/>
        </w:rPr>
      </w:pPr>
    </w:p>
    <w:p w14:paraId="5E777818" w14:textId="77777777" w:rsidR="00DD566D" w:rsidRPr="001828E2" w:rsidRDefault="00DD566D" w:rsidP="00DD566D">
      <w:pPr>
        <w:spacing w:line="276" w:lineRule="auto"/>
        <w:jc w:val="center"/>
        <w:rPr>
          <w:rFonts w:eastAsia="Gabriola" w:cs="Times New Roman"/>
          <w:b/>
          <w:bCs/>
          <w:sz w:val="24"/>
          <w:szCs w:val="24"/>
          <w:lang w:val="ru-RU" w:eastAsia="ru-RU"/>
        </w:rPr>
      </w:pPr>
      <w:r w:rsidRPr="001828E2">
        <w:rPr>
          <w:rFonts w:eastAsia="Gabriola" w:cs="Times New Roman"/>
          <w:b/>
          <w:bCs/>
          <w:sz w:val="24"/>
          <w:szCs w:val="24"/>
          <w:lang w:val="ru-RU" w:eastAsia="ru-RU"/>
        </w:rPr>
        <w:t>ЛЕЧЕНИЕ АТРОФИИ ЗРИТЕЛЬНОГО НЕРВАС ИСПОЛЬЗОВАНИЕМ НЕЙРОПРОТЕКТОРА - ГЛИАТИЛИНА</w:t>
      </w:r>
    </w:p>
    <w:p w14:paraId="2847186C" w14:textId="77777777" w:rsidR="00DD566D" w:rsidRPr="001828E2" w:rsidRDefault="00DD566D" w:rsidP="00DD566D">
      <w:pPr>
        <w:spacing w:line="276" w:lineRule="auto"/>
        <w:ind w:firstLine="567"/>
        <w:jc w:val="both"/>
        <w:rPr>
          <w:rFonts w:eastAsia="Times New Roman" w:cs="Times New Roman"/>
          <w:sz w:val="24"/>
          <w:szCs w:val="24"/>
          <w:lang w:val="ru-RU" w:eastAsia="ru-RU"/>
        </w:rPr>
      </w:pPr>
    </w:p>
    <w:p w14:paraId="4A80A9B2" w14:textId="77777777" w:rsidR="00DD566D" w:rsidRPr="001828E2" w:rsidRDefault="00DD566D" w:rsidP="00DD566D">
      <w:pPr>
        <w:tabs>
          <w:tab w:val="left" w:pos="4536"/>
        </w:tabs>
        <w:spacing w:line="276" w:lineRule="auto"/>
        <w:jc w:val="center"/>
        <w:rPr>
          <w:rFonts w:eastAsia="Times New Roman" w:cs="Times New Roman"/>
          <w:b/>
          <w:sz w:val="24"/>
          <w:szCs w:val="24"/>
          <w:lang w:val="ru-RU" w:eastAsia="ru-RU"/>
        </w:rPr>
      </w:pPr>
      <w:r w:rsidRPr="001828E2">
        <w:rPr>
          <w:rFonts w:eastAsia="Times New Roman" w:cs="Times New Roman"/>
          <w:b/>
          <w:sz w:val="24"/>
          <w:szCs w:val="24"/>
          <w:lang w:eastAsia="ru-RU"/>
        </w:rPr>
        <w:t>KO</w:t>
      </w:r>
      <w:r w:rsidRPr="001828E2">
        <w:rPr>
          <w:rFonts w:eastAsia="Times New Roman" w:cs="Times New Roman"/>
          <w:b/>
          <w:sz w:val="24"/>
          <w:szCs w:val="24"/>
          <w:lang w:val="ru-RU" w:eastAsia="ru-RU"/>
        </w:rPr>
        <w:t>’</w:t>
      </w:r>
      <w:r w:rsidRPr="001828E2">
        <w:rPr>
          <w:rFonts w:eastAsia="Times New Roman" w:cs="Times New Roman"/>
          <w:b/>
          <w:sz w:val="24"/>
          <w:szCs w:val="24"/>
          <w:lang w:eastAsia="ru-RU"/>
        </w:rPr>
        <w:t>RUV</w:t>
      </w:r>
      <w:r w:rsidRPr="001828E2">
        <w:rPr>
          <w:rFonts w:eastAsia="Times New Roman" w:cs="Times New Roman"/>
          <w:b/>
          <w:sz w:val="24"/>
          <w:szCs w:val="24"/>
          <w:lang w:val="ru-RU" w:eastAsia="ru-RU"/>
        </w:rPr>
        <w:t xml:space="preserve"> </w:t>
      </w:r>
      <w:r w:rsidRPr="001828E2">
        <w:rPr>
          <w:rFonts w:eastAsia="Times New Roman" w:cs="Times New Roman"/>
          <w:b/>
          <w:sz w:val="24"/>
          <w:szCs w:val="24"/>
          <w:lang w:eastAsia="ru-RU"/>
        </w:rPr>
        <w:t>NERVI</w:t>
      </w:r>
      <w:r w:rsidRPr="001828E2">
        <w:rPr>
          <w:rFonts w:eastAsia="Times New Roman" w:cs="Times New Roman"/>
          <w:b/>
          <w:sz w:val="24"/>
          <w:szCs w:val="24"/>
          <w:lang w:val="ru-RU" w:eastAsia="ru-RU"/>
        </w:rPr>
        <w:t xml:space="preserve"> </w:t>
      </w:r>
      <w:r w:rsidRPr="001828E2">
        <w:rPr>
          <w:rFonts w:eastAsia="Times New Roman" w:cs="Times New Roman"/>
          <w:b/>
          <w:sz w:val="24"/>
          <w:szCs w:val="24"/>
          <w:lang w:eastAsia="ru-RU"/>
        </w:rPr>
        <w:t>ATROFIYASINI</w:t>
      </w:r>
      <w:r w:rsidRPr="001828E2">
        <w:rPr>
          <w:rFonts w:eastAsia="Times New Roman" w:cs="Times New Roman"/>
          <w:b/>
          <w:sz w:val="24"/>
          <w:szCs w:val="24"/>
          <w:lang w:val="ru-RU" w:eastAsia="ru-RU"/>
        </w:rPr>
        <w:t xml:space="preserve"> </w:t>
      </w:r>
      <w:r w:rsidRPr="001828E2">
        <w:rPr>
          <w:rFonts w:eastAsia="Times New Roman" w:cs="Times New Roman"/>
          <w:b/>
          <w:sz w:val="24"/>
          <w:szCs w:val="24"/>
          <w:lang w:eastAsia="ru-RU"/>
        </w:rPr>
        <w:t>NEYROPROTEKTOR</w:t>
      </w:r>
      <w:r w:rsidRPr="001828E2">
        <w:rPr>
          <w:rFonts w:eastAsia="Times New Roman" w:cs="Times New Roman"/>
          <w:b/>
          <w:sz w:val="24"/>
          <w:szCs w:val="24"/>
          <w:lang w:val="ru-RU" w:eastAsia="ru-RU"/>
        </w:rPr>
        <w:t xml:space="preserve">- </w:t>
      </w:r>
      <w:r w:rsidRPr="001828E2">
        <w:rPr>
          <w:rFonts w:eastAsia="Times New Roman" w:cs="Times New Roman"/>
          <w:b/>
          <w:sz w:val="24"/>
          <w:szCs w:val="24"/>
          <w:lang w:eastAsia="ru-RU"/>
        </w:rPr>
        <w:t>GLIATININNING</w:t>
      </w:r>
      <w:r w:rsidRPr="001828E2">
        <w:rPr>
          <w:rFonts w:eastAsia="Times New Roman" w:cs="Times New Roman"/>
          <w:b/>
          <w:sz w:val="24"/>
          <w:szCs w:val="24"/>
          <w:lang w:val="ru-RU" w:eastAsia="ru-RU"/>
        </w:rPr>
        <w:t xml:space="preserve"> </w:t>
      </w:r>
      <w:r w:rsidRPr="001828E2">
        <w:rPr>
          <w:rFonts w:eastAsia="Times New Roman" w:cs="Times New Roman"/>
          <w:b/>
          <w:sz w:val="24"/>
          <w:szCs w:val="24"/>
          <w:lang w:eastAsia="ru-RU"/>
        </w:rPr>
        <w:t>QO</w:t>
      </w:r>
      <w:r w:rsidRPr="001828E2">
        <w:rPr>
          <w:rFonts w:eastAsia="Times New Roman" w:cs="Times New Roman"/>
          <w:b/>
          <w:sz w:val="24"/>
          <w:szCs w:val="24"/>
          <w:lang w:val="ru-RU" w:eastAsia="ru-RU"/>
        </w:rPr>
        <w:t>’</w:t>
      </w:r>
      <w:r w:rsidRPr="001828E2">
        <w:rPr>
          <w:rFonts w:eastAsia="Times New Roman" w:cs="Times New Roman"/>
          <w:b/>
          <w:sz w:val="24"/>
          <w:szCs w:val="24"/>
          <w:lang w:eastAsia="ru-RU"/>
        </w:rPr>
        <w:t>LLANILISHI</w:t>
      </w:r>
    </w:p>
    <w:p w14:paraId="44FAEFED" w14:textId="77777777" w:rsidR="00DD566D" w:rsidRPr="001828E2" w:rsidRDefault="00DD566D" w:rsidP="00DD566D">
      <w:pPr>
        <w:tabs>
          <w:tab w:val="left" w:pos="4536"/>
        </w:tabs>
        <w:spacing w:line="276" w:lineRule="auto"/>
        <w:ind w:firstLine="567"/>
        <w:jc w:val="both"/>
        <w:rPr>
          <w:rFonts w:eastAsia="Times New Roman" w:cs="Times New Roman"/>
          <w:b/>
          <w:sz w:val="24"/>
          <w:szCs w:val="24"/>
          <w:lang w:val="ru-RU" w:eastAsia="ru-RU"/>
        </w:rPr>
      </w:pPr>
    </w:p>
    <w:p w14:paraId="69D31DE7" w14:textId="77777777" w:rsidR="00DD566D" w:rsidRDefault="00DD566D" w:rsidP="00DD566D">
      <w:pPr>
        <w:tabs>
          <w:tab w:val="left" w:pos="4536"/>
        </w:tabs>
        <w:spacing w:line="276" w:lineRule="auto"/>
        <w:jc w:val="center"/>
        <w:rPr>
          <w:rFonts w:eastAsia="Times New Roman" w:cs="Times New Roman"/>
          <w:b/>
          <w:sz w:val="24"/>
          <w:szCs w:val="24"/>
          <w:lang w:eastAsia="ru-RU"/>
        </w:rPr>
      </w:pPr>
      <w:r w:rsidRPr="001828E2">
        <w:rPr>
          <w:rFonts w:eastAsia="Times New Roman" w:cs="Times New Roman"/>
          <w:b/>
          <w:sz w:val="24"/>
          <w:szCs w:val="24"/>
          <w:lang w:eastAsia="ru-RU"/>
        </w:rPr>
        <w:t>Ochildiyev Muhiddin Bahodirovich</w:t>
      </w:r>
      <w:r>
        <w:rPr>
          <w:rFonts w:eastAsia="Times New Roman" w:cs="Times New Roman"/>
          <w:b/>
          <w:sz w:val="24"/>
          <w:szCs w:val="24"/>
          <w:lang w:eastAsia="ru-RU"/>
        </w:rPr>
        <w:t>,</w:t>
      </w:r>
      <w:r w:rsidRPr="001828E2">
        <w:rPr>
          <w:rFonts w:eastAsia="Times New Roman" w:cs="Times New Roman"/>
          <w:b/>
          <w:sz w:val="24"/>
          <w:szCs w:val="24"/>
          <w:lang w:eastAsia="ru-RU"/>
        </w:rPr>
        <w:t xml:space="preserve"> assistant</w:t>
      </w:r>
    </w:p>
    <w:p w14:paraId="632F19B5" w14:textId="77777777" w:rsidR="00DD566D" w:rsidRPr="00EA25EE" w:rsidRDefault="00DD566D" w:rsidP="00DD566D">
      <w:pPr>
        <w:tabs>
          <w:tab w:val="left" w:pos="4536"/>
        </w:tabs>
        <w:spacing w:line="276" w:lineRule="auto"/>
        <w:jc w:val="center"/>
        <w:rPr>
          <w:rFonts w:eastAsia="Times New Roman" w:cs="Times New Roman"/>
          <w:bCs/>
          <w:sz w:val="24"/>
          <w:szCs w:val="24"/>
          <w:lang w:eastAsia="ru-RU"/>
        </w:rPr>
      </w:pPr>
      <w:r w:rsidRPr="001828E2">
        <w:rPr>
          <w:rFonts w:eastAsia="Times New Roman" w:cs="Times New Roman"/>
          <w:bCs/>
          <w:sz w:val="24"/>
          <w:szCs w:val="24"/>
          <w:lang w:eastAsia="ru-RU"/>
        </w:rPr>
        <w:t xml:space="preserve">Department of </w:t>
      </w:r>
      <w:r w:rsidRPr="00EA25EE">
        <w:rPr>
          <w:rFonts w:eastAsia="Times New Roman" w:cs="Times New Roman"/>
          <w:bCs/>
          <w:sz w:val="24"/>
          <w:szCs w:val="24"/>
          <w:lang w:eastAsia="ru-RU"/>
        </w:rPr>
        <w:t xml:space="preserve">ophthalmology </w:t>
      </w:r>
      <w:r w:rsidRPr="001828E2">
        <w:rPr>
          <w:rFonts w:eastAsia="Times New Roman" w:cs="Times New Roman"/>
          <w:bCs/>
          <w:sz w:val="24"/>
          <w:szCs w:val="24"/>
          <w:lang w:eastAsia="ru-RU"/>
        </w:rPr>
        <w:t xml:space="preserve">Termiz branch of the Tashkent </w:t>
      </w:r>
      <w:r w:rsidRPr="00EA25EE">
        <w:rPr>
          <w:rFonts w:eastAsia="Times New Roman" w:cs="Times New Roman"/>
          <w:bCs/>
          <w:sz w:val="24"/>
          <w:szCs w:val="24"/>
          <w:lang w:eastAsia="ru-RU"/>
        </w:rPr>
        <w:t>medical academy</w:t>
      </w:r>
    </w:p>
    <w:p w14:paraId="20FA1916" w14:textId="77777777" w:rsidR="00DD566D" w:rsidRPr="001828E2" w:rsidRDefault="00DD566D" w:rsidP="00DD566D">
      <w:pPr>
        <w:tabs>
          <w:tab w:val="left" w:pos="4536"/>
        </w:tabs>
        <w:spacing w:line="276" w:lineRule="auto"/>
        <w:jc w:val="center"/>
        <w:rPr>
          <w:rFonts w:eastAsia="Times New Roman" w:cs="Times New Roman"/>
          <w:bCs/>
          <w:sz w:val="24"/>
          <w:szCs w:val="24"/>
          <w:lang w:eastAsia="ru-RU"/>
        </w:rPr>
      </w:pPr>
      <w:r w:rsidRPr="001828E2">
        <w:rPr>
          <w:rFonts w:eastAsia="Times New Roman" w:cs="Times New Roman"/>
          <w:bCs/>
          <w:sz w:val="24"/>
          <w:szCs w:val="24"/>
          <w:lang w:eastAsia="ru-RU"/>
        </w:rPr>
        <w:t>Termiz</w:t>
      </w:r>
      <w:r w:rsidRPr="00EA25EE">
        <w:rPr>
          <w:rFonts w:eastAsia="Times New Roman" w:cs="Times New Roman"/>
          <w:bCs/>
          <w:sz w:val="24"/>
          <w:szCs w:val="24"/>
          <w:lang w:eastAsia="ru-RU"/>
        </w:rPr>
        <w:t>, Uzbekistan</w:t>
      </w:r>
    </w:p>
    <w:p w14:paraId="35A11CC9" w14:textId="77777777" w:rsidR="00DD566D" w:rsidRPr="001828E2" w:rsidRDefault="00DD566D" w:rsidP="00DD566D">
      <w:pPr>
        <w:tabs>
          <w:tab w:val="left" w:pos="4536"/>
        </w:tabs>
        <w:spacing w:line="276" w:lineRule="auto"/>
        <w:jc w:val="center"/>
        <w:rPr>
          <w:rFonts w:eastAsia="Times New Roman" w:cs="Times New Roman"/>
          <w:b/>
          <w:sz w:val="24"/>
          <w:szCs w:val="24"/>
          <w:lang w:eastAsia="ru-RU"/>
        </w:rPr>
      </w:pPr>
    </w:p>
    <w:p w14:paraId="00DA22EA" w14:textId="77777777" w:rsidR="00DD566D" w:rsidRDefault="00DD566D" w:rsidP="00DD566D">
      <w:pPr>
        <w:tabs>
          <w:tab w:val="left" w:pos="4536"/>
        </w:tabs>
        <w:spacing w:line="276" w:lineRule="auto"/>
        <w:jc w:val="center"/>
        <w:rPr>
          <w:rFonts w:eastAsia="Times New Roman" w:cs="Times New Roman"/>
          <w:b/>
          <w:sz w:val="24"/>
          <w:szCs w:val="24"/>
          <w:lang w:eastAsia="ru-RU"/>
        </w:rPr>
      </w:pPr>
      <w:r w:rsidRPr="001828E2">
        <w:rPr>
          <w:rFonts w:eastAsia="Times New Roman" w:cs="Times New Roman"/>
          <w:b/>
          <w:sz w:val="24"/>
          <w:szCs w:val="24"/>
          <w:lang w:eastAsia="ru-RU"/>
        </w:rPr>
        <w:t>O’ralova Sumbula Sobirovna</w:t>
      </w:r>
      <w:r>
        <w:rPr>
          <w:rFonts w:eastAsia="Times New Roman" w:cs="Times New Roman"/>
          <w:b/>
          <w:sz w:val="24"/>
          <w:szCs w:val="24"/>
          <w:lang w:eastAsia="ru-RU"/>
        </w:rPr>
        <w:t>,</w:t>
      </w:r>
      <w:r w:rsidRPr="001828E2">
        <w:rPr>
          <w:rFonts w:eastAsia="Times New Roman" w:cs="Times New Roman"/>
          <w:b/>
          <w:sz w:val="24"/>
          <w:szCs w:val="24"/>
          <w:lang w:eastAsia="ru-RU"/>
        </w:rPr>
        <w:t xml:space="preserve"> student</w:t>
      </w:r>
    </w:p>
    <w:p w14:paraId="4B7A20F5" w14:textId="77777777" w:rsidR="00DD566D" w:rsidRPr="00EA25EE" w:rsidRDefault="00DD566D" w:rsidP="00DD566D">
      <w:pPr>
        <w:tabs>
          <w:tab w:val="left" w:pos="4536"/>
        </w:tabs>
        <w:spacing w:line="276" w:lineRule="auto"/>
        <w:jc w:val="center"/>
        <w:rPr>
          <w:rFonts w:eastAsia="Times New Roman" w:cs="Times New Roman"/>
          <w:bCs/>
          <w:sz w:val="24"/>
          <w:szCs w:val="24"/>
          <w:lang w:eastAsia="ru-RU"/>
        </w:rPr>
      </w:pPr>
      <w:r w:rsidRPr="001828E2">
        <w:rPr>
          <w:rFonts w:eastAsia="Times New Roman" w:cs="Times New Roman"/>
          <w:bCs/>
          <w:sz w:val="24"/>
          <w:szCs w:val="24"/>
          <w:lang w:eastAsia="ru-RU"/>
        </w:rPr>
        <w:t xml:space="preserve">Medical faculty of the Tashkent </w:t>
      </w:r>
      <w:r w:rsidRPr="00EA25EE">
        <w:rPr>
          <w:rFonts w:eastAsia="Times New Roman" w:cs="Times New Roman"/>
          <w:bCs/>
          <w:sz w:val="24"/>
          <w:szCs w:val="24"/>
          <w:lang w:eastAsia="ru-RU"/>
        </w:rPr>
        <w:t>medical akademy</w:t>
      </w:r>
    </w:p>
    <w:p w14:paraId="274F2874" w14:textId="77777777" w:rsidR="00DD566D" w:rsidRPr="001828E2" w:rsidRDefault="00DD566D" w:rsidP="00DD566D">
      <w:pPr>
        <w:tabs>
          <w:tab w:val="left" w:pos="4536"/>
        </w:tabs>
        <w:spacing w:line="276" w:lineRule="auto"/>
        <w:jc w:val="center"/>
        <w:rPr>
          <w:rFonts w:eastAsia="Times New Roman" w:cs="Times New Roman"/>
          <w:bCs/>
          <w:sz w:val="24"/>
          <w:szCs w:val="24"/>
          <w:lang w:eastAsia="ru-RU"/>
        </w:rPr>
      </w:pPr>
      <w:r w:rsidRPr="00EA25EE">
        <w:rPr>
          <w:rFonts w:eastAsia="Times New Roman" w:cs="Times New Roman"/>
          <w:bCs/>
          <w:sz w:val="24"/>
          <w:szCs w:val="24"/>
          <w:lang w:eastAsia="ru-RU"/>
        </w:rPr>
        <w:t>Tashkent, Uzbekistan</w:t>
      </w:r>
    </w:p>
    <w:p w14:paraId="22CFBA17" w14:textId="77777777" w:rsidR="00DD566D" w:rsidRPr="001828E2" w:rsidRDefault="00DD566D" w:rsidP="00DD566D">
      <w:pPr>
        <w:tabs>
          <w:tab w:val="left" w:pos="4536"/>
        </w:tabs>
        <w:spacing w:line="276" w:lineRule="auto"/>
        <w:ind w:firstLine="567"/>
        <w:jc w:val="both"/>
        <w:rPr>
          <w:rFonts w:eastAsia="Times New Roman" w:cs="Times New Roman"/>
          <w:b/>
          <w:sz w:val="24"/>
          <w:szCs w:val="24"/>
          <w:lang w:eastAsia="ru-RU"/>
        </w:rPr>
      </w:pPr>
    </w:p>
    <w:p w14:paraId="1622D6EE" w14:textId="77777777" w:rsidR="00DD566D" w:rsidRPr="001828E2" w:rsidRDefault="00DD566D" w:rsidP="00DD566D">
      <w:pPr>
        <w:tabs>
          <w:tab w:val="left" w:pos="4536"/>
        </w:tabs>
        <w:spacing w:line="276" w:lineRule="auto"/>
        <w:ind w:firstLine="567"/>
        <w:jc w:val="both"/>
        <w:rPr>
          <w:rFonts w:eastAsia="Times New Roman" w:cs="Times New Roman"/>
          <w:i/>
          <w:sz w:val="24"/>
          <w:szCs w:val="24"/>
          <w:lang w:eastAsia="ru-RU"/>
        </w:rPr>
      </w:pPr>
      <w:r w:rsidRPr="001828E2">
        <w:rPr>
          <w:rFonts w:eastAsia="Times New Roman" w:cs="Times New Roman"/>
          <w:i/>
          <w:sz w:val="24"/>
          <w:szCs w:val="24"/>
          <w:lang w:eastAsia="ru-RU"/>
        </w:rPr>
        <w:t>The effectiveness of treatment of partial atrophy of the optic nerve of various origins with a peptide bioregulator (gliatilin) ​​was studied. Patients with partial atrophy of the optic nerve of various etiologies were treated. The first group (main) included 30 patients (34 eyes) who were treated with gliatilin parabulbar. The second group (control) - 28 patients (36 eyes) was treated according to the traditional scheme (use of vasodilator, vitamin-tissue therapy).</w:t>
      </w:r>
    </w:p>
    <w:p w14:paraId="519C2261"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b/>
          <w:i/>
          <w:iCs/>
          <w:sz w:val="24"/>
          <w:szCs w:val="24"/>
          <w:lang w:eastAsia="ru-RU"/>
        </w:rPr>
        <w:t>Key words</w:t>
      </w:r>
      <w:r w:rsidRPr="001828E2">
        <w:rPr>
          <w:rFonts w:eastAsia="Times New Roman" w:cs="Times New Roman"/>
          <w:i/>
          <w:iCs/>
          <w:sz w:val="24"/>
          <w:szCs w:val="24"/>
          <w:lang w:eastAsia="ru-RU"/>
        </w:rPr>
        <w:t>:</w:t>
      </w:r>
      <w:r w:rsidRPr="001828E2">
        <w:rPr>
          <w:rFonts w:eastAsia="Times New Roman" w:cs="Times New Roman"/>
          <w:sz w:val="24"/>
          <w:szCs w:val="24"/>
          <w:lang w:eastAsia="ru-RU"/>
        </w:rPr>
        <w:t xml:space="preserve"> </w:t>
      </w:r>
      <w:r w:rsidRPr="001828E2">
        <w:rPr>
          <w:rFonts w:eastAsia="Times New Roman" w:cs="Times New Roman"/>
          <w:i/>
          <w:sz w:val="24"/>
          <w:szCs w:val="24"/>
          <w:lang w:eastAsia="ru-RU"/>
        </w:rPr>
        <w:t>optic nerve atrophy, peptide preparations.</w:t>
      </w:r>
    </w:p>
    <w:p w14:paraId="6DDFCCBC" w14:textId="77777777" w:rsidR="00DD566D" w:rsidRDefault="00DD566D" w:rsidP="00DD566D">
      <w:pPr>
        <w:tabs>
          <w:tab w:val="left" w:pos="4536"/>
        </w:tabs>
        <w:spacing w:line="276" w:lineRule="auto"/>
        <w:ind w:firstLine="567"/>
        <w:jc w:val="both"/>
        <w:rPr>
          <w:rFonts w:eastAsia="Times New Roman" w:cs="Times New Roman"/>
          <w:b/>
          <w:sz w:val="24"/>
          <w:szCs w:val="24"/>
          <w:lang w:eastAsia="ru-RU"/>
        </w:rPr>
      </w:pPr>
    </w:p>
    <w:p w14:paraId="3DBE3EE9" w14:textId="77777777" w:rsidR="00DD566D" w:rsidRDefault="00DD566D" w:rsidP="00DD566D">
      <w:pPr>
        <w:tabs>
          <w:tab w:val="left" w:pos="4536"/>
        </w:tabs>
        <w:spacing w:line="276" w:lineRule="auto"/>
        <w:ind w:firstLine="567"/>
        <w:jc w:val="both"/>
        <w:rPr>
          <w:rFonts w:eastAsia="Times New Roman" w:cs="Times New Roman"/>
          <w:b/>
          <w:sz w:val="24"/>
          <w:szCs w:val="24"/>
          <w:lang w:eastAsia="ru-RU"/>
        </w:rPr>
        <w:sectPr w:rsidR="00DD566D" w:rsidSect="00995DC2">
          <w:type w:val="continuous"/>
          <w:pgSz w:w="11907" w:h="16840" w:code="9"/>
          <w:pgMar w:top="1418" w:right="1134" w:bottom="1134" w:left="1134" w:header="907" w:footer="794" w:gutter="0"/>
          <w:cols w:space="708"/>
          <w:docGrid w:linePitch="381"/>
        </w:sectPr>
      </w:pPr>
    </w:p>
    <w:p w14:paraId="468038CD"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b/>
          <w:sz w:val="24"/>
          <w:szCs w:val="24"/>
          <w:lang w:eastAsia="ru-RU"/>
        </w:rPr>
        <w:t>Relevance</w:t>
      </w:r>
      <w:r>
        <w:rPr>
          <w:rFonts w:eastAsia="Times New Roman" w:cs="Times New Roman"/>
          <w:b/>
          <w:sz w:val="24"/>
          <w:szCs w:val="24"/>
          <w:lang w:eastAsia="ru-RU"/>
        </w:rPr>
        <w:t xml:space="preserve">. </w:t>
      </w:r>
      <w:r w:rsidRPr="001828E2">
        <w:rPr>
          <w:rFonts w:eastAsia="Times New Roman" w:cs="Times New Roman"/>
          <w:sz w:val="24"/>
          <w:szCs w:val="24"/>
          <w:lang w:eastAsia="ru-RU"/>
        </w:rPr>
        <w:t>Partial atrophy of the optic nerve is a severe pathology of the organ of vi</w:t>
      </w:r>
      <w:r>
        <w:rPr>
          <w:rFonts w:eastAsia="Times New Roman" w:cs="Times New Roman"/>
          <w:sz w:val="24"/>
          <w:szCs w:val="24"/>
          <w:lang w:eastAsia="ru-RU"/>
        </w:rPr>
        <w:softHyphen/>
      </w:r>
      <w:r w:rsidRPr="001828E2">
        <w:rPr>
          <w:rFonts w:eastAsia="Times New Roman" w:cs="Times New Roman"/>
          <w:sz w:val="24"/>
          <w:szCs w:val="24"/>
          <w:lang w:eastAsia="ru-RU"/>
        </w:rPr>
        <w:t>sion, leading to low vision, blindness, and dis</w:t>
      </w:r>
      <w:r>
        <w:rPr>
          <w:rFonts w:eastAsia="Times New Roman" w:cs="Times New Roman"/>
          <w:sz w:val="24"/>
          <w:szCs w:val="24"/>
          <w:lang w:eastAsia="ru-RU"/>
        </w:rPr>
        <w:softHyphen/>
      </w:r>
      <w:r w:rsidRPr="001828E2">
        <w:rPr>
          <w:rFonts w:eastAsia="Times New Roman" w:cs="Times New Roman"/>
          <w:sz w:val="24"/>
          <w:szCs w:val="24"/>
          <w:lang w:eastAsia="ru-RU"/>
        </w:rPr>
        <w:t>ability [1].</w:t>
      </w:r>
    </w:p>
    <w:p w14:paraId="400FE73D"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Currently, the diagnosis, treatment and rehabilitation of patients with partial atrophy of the optic nerve is considered as an important medical and social problem. The steady in</w:t>
      </w:r>
      <w:r>
        <w:rPr>
          <w:rFonts w:eastAsia="Times New Roman" w:cs="Times New Roman"/>
          <w:sz w:val="24"/>
          <w:szCs w:val="24"/>
          <w:lang w:eastAsia="ru-RU"/>
        </w:rPr>
        <w:softHyphen/>
      </w:r>
      <w:r w:rsidRPr="001828E2">
        <w:rPr>
          <w:rFonts w:eastAsia="Times New Roman" w:cs="Times New Roman"/>
          <w:sz w:val="24"/>
          <w:szCs w:val="24"/>
          <w:lang w:eastAsia="ru-RU"/>
        </w:rPr>
        <w:t>crease in the disability of the population due to this pathology indicates the insufficient effec</w:t>
      </w:r>
      <w:r>
        <w:rPr>
          <w:rFonts w:eastAsia="Times New Roman" w:cs="Times New Roman"/>
          <w:sz w:val="24"/>
          <w:szCs w:val="24"/>
          <w:lang w:eastAsia="ru-RU"/>
        </w:rPr>
        <w:softHyphen/>
      </w:r>
      <w:r w:rsidRPr="001828E2">
        <w:rPr>
          <w:rFonts w:eastAsia="Times New Roman" w:cs="Times New Roman"/>
          <w:sz w:val="24"/>
          <w:szCs w:val="24"/>
          <w:lang w:eastAsia="ru-RU"/>
        </w:rPr>
        <w:t>tiveness of the traditional system rehabilitation activities. 98% of visually impaired people with optic nerve atrophy need social rehabili</w:t>
      </w:r>
      <w:r>
        <w:rPr>
          <w:rFonts w:eastAsia="Times New Roman" w:cs="Times New Roman"/>
          <w:sz w:val="24"/>
          <w:szCs w:val="24"/>
          <w:lang w:eastAsia="ru-RU"/>
        </w:rPr>
        <w:softHyphen/>
      </w:r>
      <w:r w:rsidRPr="001828E2">
        <w:rPr>
          <w:rFonts w:eastAsia="Times New Roman" w:cs="Times New Roman"/>
          <w:sz w:val="24"/>
          <w:szCs w:val="24"/>
          <w:lang w:eastAsia="ru-RU"/>
        </w:rPr>
        <w:t>tation. Optic nerve atrophy is a polyetiological disease and is the end result of a whole group of pathological conditions of the body.</w:t>
      </w:r>
    </w:p>
    <w:p w14:paraId="3D26F60A"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Modern methods of treatment of patients with partial atrophy of the optic nerve include the use of pharmacotherapy (vasodilators, met</w:t>
      </w:r>
      <w:r>
        <w:rPr>
          <w:rFonts w:eastAsia="Times New Roman" w:cs="Times New Roman"/>
          <w:sz w:val="24"/>
          <w:szCs w:val="24"/>
          <w:lang w:eastAsia="ru-RU"/>
        </w:rPr>
        <w:softHyphen/>
      </w:r>
      <w:r w:rsidRPr="001828E2">
        <w:rPr>
          <w:rFonts w:eastAsia="Times New Roman" w:cs="Times New Roman"/>
          <w:sz w:val="24"/>
          <w:szCs w:val="24"/>
          <w:lang w:eastAsia="ru-RU"/>
        </w:rPr>
        <w:t>abolic drugs with the use of both periocularly in the form of injections and with the help of various irrigation systems). In recent years, peptide bioregulators have been widely used in clinical practice for the prevention and treat</w:t>
      </w:r>
      <w:r>
        <w:rPr>
          <w:rFonts w:eastAsia="Times New Roman" w:cs="Times New Roman"/>
          <w:sz w:val="24"/>
          <w:szCs w:val="24"/>
          <w:lang w:eastAsia="ru-RU"/>
        </w:rPr>
        <w:softHyphen/>
      </w:r>
      <w:r w:rsidRPr="001828E2">
        <w:rPr>
          <w:rFonts w:eastAsia="Times New Roman" w:cs="Times New Roman"/>
          <w:sz w:val="24"/>
          <w:szCs w:val="24"/>
          <w:lang w:eastAsia="ru-RU"/>
        </w:rPr>
        <w:t>ment of various diseases of the organ of vision. In modern medicine, bioregulatory therapy is a promising direction of pathogenetic influence [4].</w:t>
      </w:r>
    </w:p>
    <w:p w14:paraId="1AB9A02C"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The use of cytomedines contributes to the restoration and preservation of the regula</w:t>
      </w:r>
      <w:r>
        <w:rPr>
          <w:rFonts w:eastAsia="Times New Roman" w:cs="Times New Roman"/>
          <w:sz w:val="24"/>
          <w:szCs w:val="24"/>
          <w:lang w:eastAsia="ru-RU"/>
        </w:rPr>
        <w:softHyphen/>
      </w:r>
      <w:r w:rsidRPr="001828E2">
        <w:rPr>
          <w:rFonts w:eastAsia="Times New Roman" w:cs="Times New Roman"/>
          <w:sz w:val="24"/>
          <w:szCs w:val="24"/>
          <w:lang w:eastAsia="ru-RU"/>
        </w:rPr>
        <w:t>tory mechanisms for the synthesis of the nec</w:t>
      </w:r>
      <w:r>
        <w:rPr>
          <w:rFonts w:eastAsia="Times New Roman" w:cs="Times New Roman"/>
          <w:sz w:val="24"/>
          <w:szCs w:val="24"/>
          <w:lang w:eastAsia="ru-RU"/>
        </w:rPr>
        <w:softHyphen/>
      </w:r>
      <w:r w:rsidRPr="001828E2">
        <w:rPr>
          <w:rFonts w:eastAsia="Times New Roman" w:cs="Times New Roman"/>
          <w:sz w:val="24"/>
          <w:szCs w:val="24"/>
          <w:lang w:eastAsia="ru-RU"/>
        </w:rPr>
        <w:t>essary protein substrates, which leads to the normalization of homeostasis and an increase in the intensity of the protective functions of the body.</w:t>
      </w:r>
    </w:p>
    <w:p w14:paraId="5E4276D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In the Termizi branch of the Tashkent Medical Academy on the basis of the Depart</w:t>
      </w:r>
      <w:r>
        <w:rPr>
          <w:rFonts w:eastAsia="Times New Roman" w:cs="Times New Roman"/>
          <w:sz w:val="24"/>
          <w:szCs w:val="24"/>
          <w:lang w:eastAsia="ru-RU"/>
        </w:rPr>
        <w:softHyphen/>
      </w:r>
      <w:r w:rsidRPr="001828E2">
        <w:rPr>
          <w:rFonts w:eastAsia="Times New Roman" w:cs="Times New Roman"/>
          <w:sz w:val="24"/>
          <w:szCs w:val="24"/>
          <w:lang w:eastAsia="ru-RU"/>
        </w:rPr>
        <w:t>ment of Ophthalmology, as well as in the Termizi branch of the Republican Scientific and Practical Center for Eye Microsurgery from 2021 to 2022. gliatilin was used in the treatment of optic nerve atrophy.</w:t>
      </w:r>
    </w:p>
    <w:p w14:paraId="36D64BE2"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Gliatilin was administered in the form of parabulbar injections.</w:t>
      </w:r>
    </w:p>
    <w:p w14:paraId="5629E9E7"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b/>
          <w:sz w:val="24"/>
          <w:szCs w:val="24"/>
          <w:lang w:eastAsia="ru-RU"/>
        </w:rPr>
        <w:t>Purpose of the study</w:t>
      </w:r>
      <w:r>
        <w:rPr>
          <w:rFonts w:eastAsia="Times New Roman" w:cs="Times New Roman"/>
          <w:b/>
          <w:sz w:val="24"/>
          <w:szCs w:val="24"/>
          <w:lang w:eastAsia="ru-RU"/>
        </w:rPr>
        <w:t>.</w:t>
      </w:r>
      <w:r w:rsidRPr="001828E2">
        <w:rPr>
          <w:rFonts w:eastAsia="Times New Roman" w:cs="Times New Roman"/>
          <w:b/>
          <w:sz w:val="24"/>
          <w:szCs w:val="24"/>
          <w:lang w:val="uz-Cyrl-UZ" w:eastAsia="ru-RU"/>
        </w:rPr>
        <w:t xml:space="preserve"> </w:t>
      </w:r>
      <w:r w:rsidRPr="001828E2">
        <w:rPr>
          <w:rFonts w:eastAsia="Times New Roman" w:cs="Times New Roman"/>
          <w:sz w:val="24"/>
          <w:szCs w:val="24"/>
          <w:lang w:eastAsia="ru-RU"/>
        </w:rPr>
        <w:t>To study the ef</w:t>
      </w:r>
      <w:r>
        <w:rPr>
          <w:rFonts w:eastAsia="Times New Roman" w:cs="Times New Roman"/>
          <w:sz w:val="24"/>
          <w:szCs w:val="24"/>
          <w:lang w:eastAsia="ru-RU"/>
        </w:rPr>
        <w:softHyphen/>
      </w:r>
      <w:r w:rsidRPr="001828E2">
        <w:rPr>
          <w:rFonts w:eastAsia="Times New Roman" w:cs="Times New Roman"/>
          <w:sz w:val="24"/>
          <w:szCs w:val="24"/>
          <w:lang w:eastAsia="ru-RU"/>
        </w:rPr>
        <w:t>fectiveness of treatment of partial atrophy of the optic nerve of various origins with the pep</w:t>
      </w:r>
      <w:r>
        <w:rPr>
          <w:rFonts w:eastAsia="Times New Roman" w:cs="Times New Roman"/>
          <w:sz w:val="24"/>
          <w:szCs w:val="24"/>
          <w:lang w:eastAsia="ru-RU"/>
        </w:rPr>
        <w:softHyphen/>
      </w:r>
      <w:r w:rsidRPr="001828E2">
        <w:rPr>
          <w:rFonts w:eastAsia="Times New Roman" w:cs="Times New Roman"/>
          <w:sz w:val="24"/>
          <w:szCs w:val="24"/>
          <w:lang w:eastAsia="ru-RU"/>
        </w:rPr>
        <w:t>tide bioregulator gliatilin.</w:t>
      </w:r>
    </w:p>
    <w:p w14:paraId="20FF23BA" w14:textId="77777777" w:rsidR="00DD566D" w:rsidRPr="001828E2" w:rsidRDefault="00DD566D" w:rsidP="00DD566D">
      <w:pPr>
        <w:tabs>
          <w:tab w:val="left" w:pos="4536"/>
        </w:tabs>
        <w:spacing w:line="276" w:lineRule="auto"/>
        <w:ind w:firstLine="567"/>
        <w:jc w:val="both"/>
        <w:rPr>
          <w:rFonts w:eastAsia="Times New Roman" w:cs="Times New Roman"/>
          <w:b/>
          <w:sz w:val="24"/>
          <w:szCs w:val="24"/>
          <w:lang w:eastAsia="ru-RU"/>
        </w:rPr>
      </w:pPr>
      <w:r w:rsidRPr="001828E2">
        <w:rPr>
          <w:rFonts w:eastAsia="Times New Roman" w:cs="Times New Roman"/>
          <w:b/>
          <w:sz w:val="24"/>
          <w:szCs w:val="24"/>
          <w:lang w:eastAsia="ru-RU"/>
        </w:rPr>
        <w:t>Materials and methods</w:t>
      </w:r>
    </w:p>
    <w:p w14:paraId="770A641E"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r w:rsidRPr="001828E2">
        <w:rPr>
          <w:rFonts w:eastAsia="Times New Roman" w:cs="Times New Roman"/>
          <w:sz w:val="24"/>
          <w:szCs w:val="24"/>
          <w:lang w:eastAsia="ru-RU"/>
        </w:rPr>
        <w:t>Under observation were 58 patients (70 eyes) aged 25 to 69 years with unilateral or bi</w:t>
      </w:r>
      <w:r>
        <w:rPr>
          <w:rFonts w:eastAsia="Times New Roman" w:cs="Times New Roman"/>
          <w:sz w:val="24"/>
          <w:szCs w:val="24"/>
          <w:lang w:eastAsia="ru-RU"/>
        </w:rPr>
        <w:softHyphen/>
      </w:r>
      <w:r w:rsidRPr="001828E2">
        <w:rPr>
          <w:rFonts w:eastAsia="Times New Roman" w:cs="Times New Roman"/>
          <w:sz w:val="24"/>
          <w:szCs w:val="24"/>
          <w:lang w:eastAsia="ru-RU"/>
        </w:rPr>
        <w:t>lateral partial atrophy of the optic nerve of var</w:t>
      </w:r>
      <w:r>
        <w:rPr>
          <w:rFonts w:eastAsia="Times New Roman" w:cs="Times New Roman"/>
          <w:sz w:val="24"/>
          <w:szCs w:val="24"/>
          <w:lang w:eastAsia="ru-RU"/>
        </w:rPr>
        <w:softHyphen/>
      </w:r>
      <w:r w:rsidRPr="001828E2">
        <w:rPr>
          <w:rFonts w:eastAsia="Times New Roman" w:cs="Times New Roman"/>
          <w:sz w:val="24"/>
          <w:szCs w:val="24"/>
          <w:lang w:eastAsia="ru-RU"/>
        </w:rPr>
        <w:t>ious etiologies. The patients are divided into two groups. The first group (main) included 30 patients (34 eyes) who were treated with gliatilin parabulbarno for 10 days, 2.5 mg daily.</w:t>
      </w:r>
    </w:p>
    <w:p w14:paraId="64AFD306"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r w:rsidRPr="001828E2">
        <w:rPr>
          <w:rFonts w:eastAsia="Times New Roman" w:cs="Times New Roman"/>
          <w:sz w:val="24"/>
          <w:szCs w:val="24"/>
          <w:lang w:eastAsia="ru-RU"/>
        </w:rPr>
        <w:lastRenderedPageBreak/>
        <w:t>The second group (control) included 28 patients (36 eyes) who were treated according to the traditional scheme. Traditional therapy included: parabulbar trental, emoxipin under the conjunctiva, B vitamins subcutaneously, biostimulants (fibs, aloe s/c), physiotherapy (biomag, etc.).</w:t>
      </w:r>
    </w:p>
    <w:p w14:paraId="483F7E65"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The etiological factors in the develop</w:t>
      </w:r>
      <w:r>
        <w:rPr>
          <w:rFonts w:eastAsia="Times New Roman" w:cs="Times New Roman"/>
          <w:sz w:val="24"/>
          <w:szCs w:val="24"/>
          <w:lang w:eastAsia="ru-RU"/>
        </w:rPr>
        <w:softHyphen/>
      </w:r>
      <w:r w:rsidRPr="001828E2">
        <w:rPr>
          <w:rFonts w:eastAsia="Times New Roman" w:cs="Times New Roman"/>
          <w:sz w:val="24"/>
          <w:szCs w:val="24"/>
          <w:lang w:eastAsia="ru-RU"/>
        </w:rPr>
        <w:t>ment of partial optic nerve atrophy (POA) were: primary open-angle glaucoma, postis</w:t>
      </w:r>
      <w:r>
        <w:rPr>
          <w:rFonts w:eastAsia="Times New Roman" w:cs="Times New Roman"/>
          <w:sz w:val="24"/>
          <w:szCs w:val="24"/>
          <w:lang w:eastAsia="ru-RU"/>
        </w:rPr>
        <w:softHyphen/>
      </w:r>
      <w:r w:rsidRPr="001828E2">
        <w:rPr>
          <w:rFonts w:eastAsia="Times New Roman" w:cs="Times New Roman"/>
          <w:sz w:val="24"/>
          <w:szCs w:val="24"/>
          <w:lang w:eastAsia="ru-RU"/>
        </w:rPr>
        <w:t>chemic neuroopticopathy, intoxication, post-concussion nature.</w:t>
      </w:r>
    </w:p>
    <w:p w14:paraId="46E0D423"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Before the start of treatment, a therapist, a neuropathologist, examined all patients. If necessary, MRI examination of the brain was performed. In case of pathology, somatic pa</w:t>
      </w:r>
      <w:r>
        <w:rPr>
          <w:rFonts w:eastAsia="Times New Roman" w:cs="Times New Roman"/>
          <w:sz w:val="24"/>
          <w:szCs w:val="24"/>
          <w:lang w:eastAsia="ru-RU"/>
        </w:rPr>
        <w:softHyphen/>
      </w:r>
      <w:r w:rsidRPr="001828E2">
        <w:rPr>
          <w:rFonts w:eastAsia="Times New Roman" w:cs="Times New Roman"/>
          <w:sz w:val="24"/>
          <w:szCs w:val="24"/>
          <w:lang w:eastAsia="ru-RU"/>
        </w:rPr>
        <w:t>thology was corrected.</w:t>
      </w:r>
      <w:r w:rsidRPr="001828E2">
        <w:rPr>
          <w:rFonts w:eastAsia="Times New Roman" w:cs="Times New Roman"/>
          <w:sz w:val="24"/>
          <w:szCs w:val="24"/>
          <w:lang w:val="uz-Cyrl-UZ" w:eastAsia="ru-RU"/>
        </w:rPr>
        <w:t xml:space="preserve"> </w:t>
      </w:r>
      <w:r w:rsidRPr="001828E2">
        <w:rPr>
          <w:rFonts w:eastAsia="Times New Roman" w:cs="Times New Roman"/>
          <w:sz w:val="24"/>
          <w:szCs w:val="24"/>
          <w:lang w:eastAsia="ru-RU"/>
        </w:rPr>
        <w:t>Ophthalmological ex</w:t>
      </w:r>
      <w:r>
        <w:rPr>
          <w:rFonts w:eastAsia="Times New Roman" w:cs="Times New Roman"/>
          <w:sz w:val="24"/>
          <w:szCs w:val="24"/>
          <w:lang w:eastAsia="ru-RU"/>
        </w:rPr>
        <w:softHyphen/>
      </w:r>
      <w:r w:rsidRPr="001828E2">
        <w:rPr>
          <w:rFonts w:eastAsia="Times New Roman" w:cs="Times New Roman"/>
          <w:sz w:val="24"/>
          <w:szCs w:val="24"/>
          <w:lang w:eastAsia="ru-RU"/>
        </w:rPr>
        <w:t>amination included visometry, perimetry, computerized perimetry, tonometry, electro</w:t>
      </w:r>
      <w:r>
        <w:rPr>
          <w:rFonts w:eastAsia="Times New Roman" w:cs="Times New Roman"/>
          <w:sz w:val="24"/>
          <w:szCs w:val="24"/>
          <w:lang w:eastAsia="ru-RU"/>
        </w:rPr>
        <w:softHyphen/>
      </w:r>
      <w:r w:rsidRPr="001828E2">
        <w:rPr>
          <w:rFonts w:eastAsia="Times New Roman" w:cs="Times New Roman"/>
          <w:sz w:val="24"/>
          <w:szCs w:val="24"/>
          <w:lang w:eastAsia="ru-RU"/>
        </w:rPr>
        <w:t>physiological studies of the functional state of the visual analyzer (VEP).</w:t>
      </w:r>
    </w:p>
    <w:p w14:paraId="3A372EB0"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According to the initial visual acuity, the patients were presented:</w:t>
      </w:r>
    </w:p>
    <w:p w14:paraId="7206E5F5"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Distance visual acuity was determined according to the Sivtsev-Golovin tables, with the help of sign projectors, which is part of the Thorson ophthalmological workplace, the study of the visual field was carried out on the PRP-60 arc projection perimeter, on the Humphrey visual field analyzer. Biomicros</w:t>
      </w:r>
      <w:r>
        <w:rPr>
          <w:rFonts w:eastAsia="Times New Roman" w:cs="Times New Roman"/>
          <w:sz w:val="24"/>
          <w:szCs w:val="24"/>
          <w:lang w:eastAsia="ru-RU"/>
        </w:rPr>
        <w:softHyphen/>
      </w:r>
      <w:r w:rsidRPr="001828E2">
        <w:rPr>
          <w:rFonts w:eastAsia="Times New Roman" w:cs="Times New Roman"/>
          <w:sz w:val="24"/>
          <w:szCs w:val="24"/>
          <w:lang w:eastAsia="ru-RU"/>
        </w:rPr>
        <w:t>copy was performed using slit lamps. Ophthal</w:t>
      </w:r>
      <w:r>
        <w:rPr>
          <w:rFonts w:eastAsia="Times New Roman" w:cs="Times New Roman"/>
          <w:sz w:val="24"/>
          <w:szCs w:val="24"/>
          <w:lang w:eastAsia="ru-RU"/>
        </w:rPr>
        <w:softHyphen/>
      </w:r>
      <w:r w:rsidRPr="001828E2">
        <w:rPr>
          <w:rFonts w:eastAsia="Times New Roman" w:cs="Times New Roman"/>
          <w:sz w:val="24"/>
          <w:szCs w:val="24"/>
          <w:lang w:eastAsia="ru-RU"/>
        </w:rPr>
        <w:t>moscopy was performed in reverse and direct view, as well as examination of the fundus with a three-mirror lens. Electrophysiological study of EFI (visual evoked potentials VEP) was car</w:t>
      </w:r>
      <w:r>
        <w:rPr>
          <w:rFonts w:eastAsia="Times New Roman" w:cs="Times New Roman"/>
          <w:sz w:val="24"/>
          <w:szCs w:val="24"/>
          <w:lang w:eastAsia="ru-RU"/>
        </w:rPr>
        <w:softHyphen/>
      </w:r>
      <w:r w:rsidRPr="001828E2">
        <w:rPr>
          <w:rFonts w:eastAsia="Times New Roman" w:cs="Times New Roman"/>
          <w:sz w:val="24"/>
          <w:szCs w:val="24"/>
          <w:lang w:eastAsia="ru-RU"/>
        </w:rPr>
        <w:t>ried out using the system for EFI Neuropto "Medelec" (England).</w:t>
      </w:r>
    </w:p>
    <w:p w14:paraId="0DB0E7E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Visual functions were monitored for 10 treatments. Courses of complex therapy were repeated after 3 months. The observation pe</w:t>
      </w:r>
      <w:r>
        <w:rPr>
          <w:rFonts w:eastAsia="Times New Roman" w:cs="Times New Roman"/>
          <w:sz w:val="24"/>
          <w:szCs w:val="24"/>
          <w:lang w:eastAsia="ru-RU"/>
        </w:rPr>
        <w:softHyphen/>
      </w:r>
      <w:r w:rsidRPr="001828E2">
        <w:rPr>
          <w:rFonts w:eastAsia="Times New Roman" w:cs="Times New Roman"/>
          <w:sz w:val="24"/>
          <w:szCs w:val="24"/>
          <w:lang w:eastAsia="ru-RU"/>
        </w:rPr>
        <w:t>riod is 6 months.</w:t>
      </w:r>
    </w:p>
    <w:p w14:paraId="56BD8B84" w14:textId="77777777" w:rsidR="00DD566D" w:rsidRDefault="00DD566D" w:rsidP="00DD566D">
      <w:pPr>
        <w:tabs>
          <w:tab w:val="left" w:pos="4536"/>
        </w:tabs>
        <w:spacing w:line="276" w:lineRule="auto"/>
        <w:ind w:firstLine="567"/>
        <w:jc w:val="both"/>
        <w:rPr>
          <w:rFonts w:eastAsia="Times New Roman" w:cs="Times New Roman"/>
          <w:sz w:val="24"/>
          <w:szCs w:val="24"/>
          <w:lang w:eastAsia="ru-RU"/>
        </w:rPr>
        <w:sectPr w:rsidR="00DD566D" w:rsidSect="00EA25EE">
          <w:type w:val="continuous"/>
          <w:pgSz w:w="11907" w:h="16840" w:code="9"/>
          <w:pgMar w:top="1418" w:right="1134" w:bottom="1134" w:left="1134" w:header="907" w:footer="794" w:gutter="0"/>
          <w:cols w:num="2" w:space="708"/>
          <w:docGrid w:linePitch="381"/>
        </w:sectPr>
      </w:pPr>
      <w:r w:rsidRPr="001828E2">
        <w:rPr>
          <w:rFonts w:eastAsia="Times New Roman" w:cs="Times New Roman"/>
          <w:sz w:val="24"/>
          <w:szCs w:val="24"/>
          <w:lang w:eastAsia="ru-RU"/>
        </w:rPr>
        <w:t xml:space="preserve"> Distribution of patients depending on the etiology of partial atrophy of the optic nerve</w:t>
      </w:r>
    </w:p>
    <w:p w14:paraId="409E37CC" w14:textId="77777777" w:rsidR="00DD566D" w:rsidRPr="001828E2" w:rsidRDefault="00DD566D" w:rsidP="00DD566D">
      <w:pPr>
        <w:tabs>
          <w:tab w:val="left" w:pos="4536"/>
        </w:tabs>
        <w:spacing w:line="276" w:lineRule="auto"/>
        <w:jc w:val="right"/>
        <w:rPr>
          <w:rFonts w:eastAsia="Times New Roman" w:cs="Times New Roman"/>
          <w:b/>
          <w:bCs/>
          <w:i/>
          <w:iCs/>
          <w:sz w:val="24"/>
          <w:szCs w:val="24"/>
          <w:lang w:val="ru-RU" w:eastAsia="ru-RU"/>
        </w:rPr>
      </w:pPr>
      <w:r w:rsidRPr="001828E2">
        <w:rPr>
          <w:rFonts w:eastAsia="Times New Roman" w:cs="Times New Roman"/>
          <w:b/>
          <w:bCs/>
          <w:i/>
          <w:iCs/>
          <w:sz w:val="24"/>
          <w:szCs w:val="24"/>
          <w:lang w:eastAsia="ru-RU"/>
        </w:rPr>
        <w:t xml:space="preserve">Table </w:t>
      </w:r>
      <w:r w:rsidRPr="001828E2">
        <w:rPr>
          <w:rFonts w:eastAsia="Times New Roman" w:cs="Times New Roman"/>
          <w:b/>
          <w:bCs/>
          <w:i/>
          <w:iCs/>
          <w:sz w:val="24"/>
          <w:szCs w:val="24"/>
          <w:lang w:val="ru-RU" w:eastAsia="ru-RU"/>
        </w:rPr>
        <w:t>№1</w:t>
      </w:r>
    </w:p>
    <w:tbl>
      <w:tblPr>
        <w:tblStyle w:val="23"/>
        <w:tblW w:w="0" w:type="auto"/>
        <w:tblLook w:val="04A0" w:firstRow="1" w:lastRow="0" w:firstColumn="1" w:lastColumn="0" w:noHBand="0" w:noVBand="1"/>
      </w:tblPr>
      <w:tblGrid>
        <w:gridCol w:w="3165"/>
        <w:gridCol w:w="3165"/>
        <w:gridCol w:w="3166"/>
      </w:tblGrid>
      <w:tr w:rsidR="00DD566D" w:rsidRPr="001828E2" w14:paraId="7A6107C8"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10CF55B8" w14:textId="77777777" w:rsidR="00DD566D" w:rsidRPr="001828E2" w:rsidRDefault="00DD566D" w:rsidP="00C90B56">
            <w:pPr>
              <w:tabs>
                <w:tab w:val="left" w:pos="4536"/>
              </w:tabs>
              <w:spacing w:before="80" w:after="80" w:line="276" w:lineRule="auto"/>
              <w:jc w:val="center"/>
              <w:rPr>
                <w:b/>
                <w:bCs/>
                <w:sz w:val="24"/>
                <w:szCs w:val="24"/>
              </w:rPr>
            </w:pPr>
            <w:r w:rsidRPr="001828E2">
              <w:rPr>
                <w:b/>
                <w:bCs/>
                <w:sz w:val="24"/>
                <w:szCs w:val="24"/>
              </w:rPr>
              <w:t>Types of PRIN</w:t>
            </w:r>
          </w:p>
        </w:tc>
        <w:tc>
          <w:tcPr>
            <w:tcW w:w="3165" w:type="dxa"/>
            <w:tcBorders>
              <w:top w:val="single" w:sz="4" w:space="0" w:color="auto"/>
              <w:left w:val="single" w:sz="4" w:space="0" w:color="auto"/>
              <w:bottom w:val="single" w:sz="4" w:space="0" w:color="auto"/>
              <w:right w:val="single" w:sz="4" w:space="0" w:color="auto"/>
            </w:tcBorders>
            <w:vAlign w:val="center"/>
            <w:hideMark/>
          </w:tcPr>
          <w:p w14:paraId="7D1827B1" w14:textId="77777777" w:rsidR="00DD566D" w:rsidRPr="001828E2" w:rsidRDefault="00DD566D" w:rsidP="00C90B56">
            <w:pPr>
              <w:spacing w:before="80" w:after="80" w:line="276" w:lineRule="auto"/>
              <w:jc w:val="center"/>
              <w:rPr>
                <w:b/>
                <w:bCs/>
                <w:sz w:val="24"/>
                <w:szCs w:val="24"/>
              </w:rPr>
            </w:pPr>
            <w:r w:rsidRPr="001828E2">
              <w:rPr>
                <w:b/>
                <w:bCs/>
                <w:sz w:val="24"/>
                <w:szCs w:val="24"/>
              </w:rPr>
              <w:t>Main group</w:t>
            </w:r>
          </w:p>
        </w:tc>
        <w:tc>
          <w:tcPr>
            <w:tcW w:w="3166" w:type="dxa"/>
            <w:tcBorders>
              <w:top w:val="single" w:sz="4" w:space="0" w:color="auto"/>
              <w:left w:val="single" w:sz="4" w:space="0" w:color="auto"/>
              <w:bottom w:val="single" w:sz="4" w:space="0" w:color="auto"/>
              <w:right w:val="single" w:sz="4" w:space="0" w:color="auto"/>
            </w:tcBorders>
            <w:vAlign w:val="center"/>
            <w:hideMark/>
          </w:tcPr>
          <w:p w14:paraId="22B7A5D1" w14:textId="77777777" w:rsidR="00DD566D" w:rsidRPr="001828E2" w:rsidRDefault="00DD566D" w:rsidP="00C90B56">
            <w:pPr>
              <w:spacing w:before="80" w:after="80" w:line="276" w:lineRule="auto"/>
              <w:jc w:val="center"/>
              <w:rPr>
                <w:b/>
                <w:bCs/>
                <w:sz w:val="24"/>
                <w:szCs w:val="24"/>
              </w:rPr>
            </w:pPr>
            <w:r w:rsidRPr="001828E2">
              <w:rPr>
                <w:b/>
                <w:bCs/>
                <w:sz w:val="24"/>
                <w:szCs w:val="24"/>
              </w:rPr>
              <w:t>Control group</w:t>
            </w:r>
          </w:p>
        </w:tc>
      </w:tr>
      <w:tr w:rsidR="00DD566D" w:rsidRPr="001828E2" w14:paraId="1353CB0D"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77748115" w14:textId="77777777" w:rsidR="00DD566D" w:rsidRPr="001828E2" w:rsidRDefault="00DD566D" w:rsidP="00C90B56">
            <w:pPr>
              <w:spacing w:before="80" w:after="80" w:line="276" w:lineRule="auto"/>
              <w:jc w:val="center"/>
              <w:rPr>
                <w:sz w:val="24"/>
                <w:szCs w:val="24"/>
              </w:rPr>
            </w:pPr>
            <w:r w:rsidRPr="001828E2">
              <w:rPr>
                <w:sz w:val="24"/>
                <w:szCs w:val="24"/>
              </w:rPr>
              <w:t>Glaucomatous</w:t>
            </w:r>
          </w:p>
        </w:tc>
        <w:tc>
          <w:tcPr>
            <w:tcW w:w="3165" w:type="dxa"/>
            <w:tcBorders>
              <w:top w:val="single" w:sz="4" w:space="0" w:color="auto"/>
              <w:left w:val="single" w:sz="4" w:space="0" w:color="auto"/>
              <w:bottom w:val="single" w:sz="4" w:space="0" w:color="auto"/>
              <w:right w:val="single" w:sz="4" w:space="0" w:color="auto"/>
            </w:tcBorders>
            <w:vAlign w:val="center"/>
            <w:hideMark/>
          </w:tcPr>
          <w:p w14:paraId="4B890587" w14:textId="77777777" w:rsidR="00DD566D" w:rsidRPr="001828E2" w:rsidRDefault="00DD566D" w:rsidP="00C90B56">
            <w:pPr>
              <w:spacing w:before="80" w:after="80" w:line="276" w:lineRule="auto"/>
              <w:jc w:val="center"/>
              <w:rPr>
                <w:sz w:val="24"/>
                <w:szCs w:val="24"/>
              </w:rPr>
            </w:pPr>
            <w:r w:rsidRPr="001828E2">
              <w:rPr>
                <w:sz w:val="24"/>
                <w:szCs w:val="24"/>
              </w:rPr>
              <w:t>18 (18 eyes)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62A5F278" w14:textId="77777777" w:rsidR="00DD566D" w:rsidRPr="001828E2" w:rsidRDefault="00DD566D" w:rsidP="00C90B56">
            <w:pPr>
              <w:spacing w:before="80" w:after="80" w:line="276" w:lineRule="auto"/>
              <w:jc w:val="center"/>
              <w:rPr>
                <w:sz w:val="24"/>
                <w:szCs w:val="24"/>
              </w:rPr>
            </w:pPr>
            <w:r w:rsidRPr="001828E2">
              <w:rPr>
                <w:sz w:val="24"/>
                <w:szCs w:val="24"/>
              </w:rPr>
              <w:t>15 (17 eyes)</w:t>
            </w:r>
          </w:p>
        </w:tc>
      </w:tr>
      <w:tr w:rsidR="00DD566D" w:rsidRPr="001828E2" w14:paraId="2A7BA784"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10A162F4" w14:textId="77777777" w:rsidR="00DD566D" w:rsidRPr="001828E2" w:rsidRDefault="00DD566D" w:rsidP="00C90B56">
            <w:pPr>
              <w:spacing w:before="80" w:after="80" w:line="276" w:lineRule="auto"/>
              <w:jc w:val="center"/>
              <w:rPr>
                <w:sz w:val="24"/>
                <w:szCs w:val="24"/>
              </w:rPr>
            </w:pPr>
            <w:r w:rsidRPr="001828E2">
              <w:rPr>
                <w:sz w:val="24"/>
                <w:szCs w:val="24"/>
              </w:rPr>
              <w:t>Postischemic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A5DEB15" w14:textId="77777777" w:rsidR="00DD566D" w:rsidRPr="001828E2" w:rsidRDefault="00DD566D" w:rsidP="00C90B56">
            <w:pPr>
              <w:spacing w:before="80" w:after="80" w:line="276" w:lineRule="auto"/>
              <w:jc w:val="center"/>
              <w:rPr>
                <w:sz w:val="24"/>
                <w:szCs w:val="24"/>
              </w:rPr>
            </w:pPr>
            <w:r w:rsidRPr="001828E2">
              <w:rPr>
                <w:sz w:val="24"/>
                <w:szCs w:val="24"/>
              </w:rPr>
              <w:t>7 (10 eyes)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20104033" w14:textId="77777777" w:rsidR="00DD566D" w:rsidRPr="001828E2" w:rsidRDefault="00DD566D" w:rsidP="00C90B56">
            <w:pPr>
              <w:spacing w:before="80" w:after="80" w:line="276" w:lineRule="auto"/>
              <w:jc w:val="center"/>
              <w:rPr>
                <w:sz w:val="24"/>
                <w:szCs w:val="24"/>
              </w:rPr>
            </w:pPr>
            <w:r w:rsidRPr="001828E2">
              <w:rPr>
                <w:sz w:val="24"/>
                <w:szCs w:val="24"/>
              </w:rPr>
              <w:t>6 (9 eyes)</w:t>
            </w:r>
          </w:p>
        </w:tc>
      </w:tr>
      <w:tr w:rsidR="00DD566D" w:rsidRPr="001828E2" w14:paraId="7E11F3E5"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64D63543" w14:textId="77777777" w:rsidR="00DD566D" w:rsidRPr="001828E2" w:rsidRDefault="00DD566D" w:rsidP="00C90B56">
            <w:pPr>
              <w:spacing w:before="80" w:after="80" w:line="276" w:lineRule="auto"/>
              <w:jc w:val="center"/>
              <w:rPr>
                <w:sz w:val="24"/>
                <w:szCs w:val="24"/>
              </w:rPr>
            </w:pPr>
            <w:r w:rsidRPr="001828E2">
              <w:rPr>
                <w:sz w:val="24"/>
                <w:szCs w:val="24"/>
              </w:rPr>
              <w:t>Post-intoxication</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8C64208" w14:textId="77777777" w:rsidR="00DD566D" w:rsidRPr="001828E2" w:rsidRDefault="00DD566D" w:rsidP="00C90B56">
            <w:pPr>
              <w:spacing w:before="80" w:after="80" w:line="276" w:lineRule="auto"/>
              <w:jc w:val="center"/>
              <w:rPr>
                <w:sz w:val="24"/>
                <w:szCs w:val="24"/>
              </w:rPr>
            </w:pPr>
            <w:r w:rsidRPr="001828E2">
              <w:rPr>
                <w:sz w:val="24"/>
                <w:szCs w:val="24"/>
              </w:rPr>
              <w:t>2 (3 eyes)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38DFD598" w14:textId="77777777" w:rsidR="00DD566D" w:rsidRPr="001828E2" w:rsidRDefault="00DD566D" w:rsidP="00C90B56">
            <w:pPr>
              <w:spacing w:before="80" w:after="80" w:line="276" w:lineRule="auto"/>
              <w:jc w:val="center"/>
              <w:rPr>
                <w:sz w:val="24"/>
                <w:szCs w:val="24"/>
              </w:rPr>
            </w:pPr>
            <w:r w:rsidRPr="001828E2">
              <w:rPr>
                <w:sz w:val="24"/>
                <w:szCs w:val="24"/>
              </w:rPr>
              <w:t>3 (6 eyes)</w:t>
            </w:r>
          </w:p>
        </w:tc>
      </w:tr>
      <w:tr w:rsidR="00DD566D" w:rsidRPr="001828E2" w14:paraId="06C36F19"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11C68391" w14:textId="77777777" w:rsidR="00DD566D" w:rsidRPr="001828E2" w:rsidRDefault="00DD566D" w:rsidP="00C90B56">
            <w:pPr>
              <w:spacing w:before="80" w:after="80" w:line="276" w:lineRule="auto"/>
              <w:jc w:val="center"/>
              <w:rPr>
                <w:sz w:val="24"/>
                <w:szCs w:val="24"/>
              </w:rPr>
            </w:pPr>
            <w:r w:rsidRPr="001828E2">
              <w:rPr>
                <w:sz w:val="24"/>
                <w:szCs w:val="24"/>
              </w:rPr>
              <w:t>Post-traumatic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7B21065" w14:textId="77777777" w:rsidR="00DD566D" w:rsidRPr="001828E2" w:rsidRDefault="00DD566D" w:rsidP="00C90B56">
            <w:pPr>
              <w:spacing w:before="80" w:after="80" w:line="276" w:lineRule="auto"/>
              <w:jc w:val="center"/>
              <w:rPr>
                <w:sz w:val="24"/>
                <w:szCs w:val="24"/>
              </w:rPr>
            </w:pPr>
            <w:r w:rsidRPr="001828E2">
              <w:rPr>
                <w:sz w:val="24"/>
                <w:szCs w:val="24"/>
              </w:rPr>
              <w:t>3 (3 eyes)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552BA771" w14:textId="77777777" w:rsidR="00DD566D" w:rsidRPr="001828E2" w:rsidRDefault="00DD566D" w:rsidP="00C90B56">
            <w:pPr>
              <w:spacing w:before="80" w:after="80" w:line="276" w:lineRule="auto"/>
              <w:jc w:val="center"/>
              <w:rPr>
                <w:sz w:val="24"/>
                <w:szCs w:val="24"/>
              </w:rPr>
            </w:pPr>
            <w:r w:rsidRPr="001828E2">
              <w:rPr>
                <w:sz w:val="24"/>
                <w:szCs w:val="24"/>
              </w:rPr>
              <w:t>4 (4 eyes)</w:t>
            </w:r>
          </w:p>
        </w:tc>
      </w:tr>
      <w:tr w:rsidR="00DD566D" w:rsidRPr="001828E2" w14:paraId="6FD0D038" w14:textId="77777777" w:rsidTr="00C90B56">
        <w:tc>
          <w:tcPr>
            <w:tcW w:w="3165" w:type="dxa"/>
            <w:tcBorders>
              <w:top w:val="single" w:sz="4" w:space="0" w:color="auto"/>
              <w:left w:val="single" w:sz="4" w:space="0" w:color="auto"/>
              <w:bottom w:val="single" w:sz="4" w:space="0" w:color="auto"/>
              <w:right w:val="single" w:sz="4" w:space="0" w:color="auto"/>
            </w:tcBorders>
            <w:vAlign w:val="center"/>
            <w:hideMark/>
          </w:tcPr>
          <w:p w14:paraId="1289CBC8" w14:textId="77777777" w:rsidR="00DD566D" w:rsidRPr="001828E2" w:rsidRDefault="00DD566D" w:rsidP="00C90B56">
            <w:pPr>
              <w:spacing w:before="80" w:after="80" w:line="276" w:lineRule="auto"/>
              <w:jc w:val="center"/>
              <w:rPr>
                <w:sz w:val="24"/>
                <w:szCs w:val="24"/>
              </w:rPr>
            </w:pPr>
            <w:r w:rsidRPr="001828E2">
              <w:rPr>
                <w:sz w:val="24"/>
                <w:szCs w:val="24"/>
              </w:rPr>
              <w:t>Total</w:t>
            </w:r>
          </w:p>
        </w:tc>
        <w:tc>
          <w:tcPr>
            <w:tcW w:w="3165" w:type="dxa"/>
            <w:tcBorders>
              <w:top w:val="single" w:sz="4" w:space="0" w:color="auto"/>
              <w:left w:val="single" w:sz="4" w:space="0" w:color="auto"/>
              <w:bottom w:val="single" w:sz="4" w:space="0" w:color="auto"/>
              <w:right w:val="single" w:sz="4" w:space="0" w:color="auto"/>
            </w:tcBorders>
            <w:vAlign w:val="center"/>
            <w:hideMark/>
          </w:tcPr>
          <w:p w14:paraId="4B5B65E3" w14:textId="77777777" w:rsidR="00DD566D" w:rsidRPr="001828E2" w:rsidRDefault="00DD566D" w:rsidP="00C90B56">
            <w:pPr>
              <w:spacing w:before="80" w:after="80" w:line="276" w:lineRule="auto"/>
              <w:jc w:val="center"/>
              <w:rPr>
                <w:sz w:val="24"/>
                <w:szCs w:val="24"/>
              </w:rPr>
            </w:pPr>
            <w:r w:rsidRPr="001828E2">
              <w:rPr>
                <w:sz w:val="24"/>
                <w:szCs w:val="24"/>
              </w:rPr>
              <w:t>30 (34 eyes)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0C609214" w14:textId="77777777" w:rsidR="00DD566D" w:rsidRPr="001828E2" w:rsidRDefault="00DD566D" w:rsidP="00C90B56">
            <w:pPr>
              <w:spacing w:before="80" w:after="80" w:line="276" w:lineRule="auto"/>
              <w:jc w:val="center"/>
              <w:rPr>
                <w:sz w:val="24"/>
                <w:szCs w:val="24"/>
              </w:rPr>
            </w:pPr>
            <w:r w:rsidRPr="001828E2">
              <w:rPr>
                <w:sz w:val="24"/>
                <w:szCs w:val="24"/>
              </w:rPr>
              <w:t>28 (36 eyes)</w:t>
            </w:r>
          </w:p>
        </w:tc>
      </w:tr>
    </w:tbl>
    <w:p w14:paraId="38D0F512"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p>
    <w:p w14:paraId="43568FC7" w14:textId="77777777" w:rsidR="00DD566D" w:rsidRDefault="00DD566D" w:rsidP="00DD566D">
      <w:pPr>
        <w:tabs>
          <w:tab w:val="left" w:pos="4536"/>
        </w:tabs>
        <w:spacing w:line="276" w:lineRule="auto"/>
        <w:jc w:val="center"/>
        <w:rPr>
          <w:rFonts w:eastAsia="Times New Roman" w:cs="Times New Roman"/>
          <w:b/>
          <w:bCs/>
          <w:sz w:val="24"/>
          <w:szCs w:val="24"/>
          <w:lang w:eastAsia="ru-RU"/>
        </w:rPr>
      </w:pPr>
    </w:p>
    <w:p w14:paraId="6AD68FC5" w14:textId="77777777" w:rsidR="00DD566D" w:rsidRPr="001828E2" w:rsidRDefault="00DD566D" w:rsidP="00DD566D">
      <w:pPr>
        <w:tabs>
          <w:tab w:val="left" w:pos="4536"/>
        </w:tabs>
        <w:spacing w:line="288" w:lineRule="auto"/>
        <w:jc w:val="center"/>
        <w:rPr>
          <w:rFonts w:eastAsia="Times New Roman" w:cs="Times New Roman"/>
          <w:b/>
          <w:bCs/>
          <w:sz w:val="24"/>
          <w:szCs w:val="24"/>
          <w:lang w:eastAsia="ru-RU"/>
        </w:rPr>
      </w:pPr>
      <w:r w:rsidRPr="001828E2">
        <w:rPr>
          <w:rFonts w:eastAsia="Times New Roman" w:cs="Times New Roman"/>
          <w:b/>
          <w:bCs/>
          <w:sz w:val="24"/>
          <w:szCs w:val="24"/>
          <w:lang w:eastAsia="ru-RU"/>
        </w:rPr>
        <w:t>Distribution of patients according to initial visual acuity</w:t>
      </w:r>
    </w:p>
    <w:p w14:paraId="44566789" w14:textId="77777777" w:rsidR="00DD566D" w:rsidRPr="001828E2" w:rsidRDefault="00DD566D" w:rsidP="00DD566D">
      <w:pPr>
        <w:tabs>
          <w:tab w:val="left" w:pos="4536"/>
        </w:tabs>
        <w:spacing w:line="288" w:lineRule="auto"/>
        <w:ind w:firstLine="567"/>
        <w:jc w:val="right"/>
        <w:rPr>
          <w:rFonts w:eastAsia="Times New Roman" w:cs="Times New Roman"/>
          <w:b/>
          <w:bCs/>
          <w:i/>
          <w:iCs/>
          <w:sz w:val="24"/>
          <w:szCs w:val="24"/>
          <w:lang w:val="ru-RU" w:eastAsia="ru-RU"/>
        </w:rPr>
      </w:pPr>
      <w:r w:rsidRPr="001828E2">
        <w:rPr>
          <w:rFonts w:eastAsia="Times New Roman" w:cs="Times New Roman"/>
          <w:b/>
          <w:bCs/>
          <w:i/>
          <w:iCs/>
          <w:sz w:val="24"/>
          <w:szCs w:val="24"/>
          <w:lang w:eastAsia="ru-RU"/>
        </w:rPr>
        <w:t xml:space="preserve">Table </w:t>
      </w:r>
      <w:r w:rsidRPr="001828E2">
        <w:rPr>
          <w:rFonts w:eastAsia="Times New Roman" w:cs="Times New Roman"/>
          <w:b/>
          <w:bCs/>
          <w:i/>
          <w:iCs/>
          <w:sz w:val="24"/>
          <w:szCs w:val="24"/>
          <w:lang w:val="ru-RU" w:eastAsia="ru-RU"/>
        </w:rPr>
        <w:t>№2</w:t>
      </w:r>
    </w:p>
    <w:p w14:paraId="41CECD0F"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p>
    <w:tbl>
      <w:tblPr>
        <w:tblStyle w:val="23"/>
        <w:tblW w:w="0" w:type="auto"/>
        <w:jc w:val="center"/>
        <w:tblLook w:val="04A0" w:firstRow="1" w:lastRow="0" w:firstColumn="1" w:lastColumn="0" w:noHBand="0" w:noVBand="1"/>
      </w:tblPr>
      <w:tblGrid>
        <w:gridCol w:w="3165"/>
        <w:gridCol w:w="3165"/>
        <w:gridCol w:w="3166"/>
      </w:tblGrid>
      <w:tr w:rsidR="00DD566D" w:rsidRPr="001828E2" w14:paraId="37C12A6C" w14:textId="77777777" w:rsidTr="00C90B56">
        <w:trPr>
          <w:jc w:val="center"/>
        </w:trPr>
        <w:tc>
          <w:tcPr>
            <w:tcW w:w="3165" w:type="dxa"/>
            <w:tcBorders>
              <w:top w:val="single" w:sz="4" w:space="0" w:color="auto"/>
              <w:left w:val="single" w:sz="4" w:space="0" w:color="auto"/>
              <w:bottom w:val="single" w:sz="4" w:space="0" w:color="auto"/>
              <w:right w:val="single" w:sz="4" w:space="0" w:color="auto"/>
            </w:tcBorders>
            <w:vAlign w:val="center"/>
            <w:hideMark/>
          </w:tcPr>
          <w:p w14:paraId="359D8D92" w14:textId="77777777" w:rsidR="00DD566D" w:rsidRPr="001828E2" w:rsidRDefault="00DD566D" w:rsidP="00C90B56">
            <w:pPr>
              <w:spacing w:before="80" w:after="80" w:line="288" w:lineRule="auto"/>
              <w:jc w:val="center"/>
              <w:rPr>
                <w:b/>
                <w:bCs/>
                <w:color w:val="292526"/>
                <w:sz w:val="24"/>
                <w:szCs w:val="24"/>
              </w:rPr>
            </w:pPr>
            <w:r w:rsidRPr="001828E2">
              <w:rPr>
                <w:b/>
                <w:bCs/>
                <w:sz w:val="24"/>
                <w:szCs w:val="24"/>
                <w:lang w:val="uz-Cyrl-UZ"/>
              </w:rPr>
              <w:t>Initial visual acuity</w:t>
            </w:r>
          </w:p>
        </w:tc>
        <w:tc>
          <w:tcPr>
            <w:tcW w:w="3165" w:type="dxa"/>
            <w:tcBorders>
              <w:top w:val="single" w:sz="4" w:space="0" w:color="auto"/>
              <w:left w:val="single" w:sz="4" w:space="0" w:color="auto"/>
              <w:bottom w:val="single" w:sz="4" w:space="0" w:color="auto"/>
              <w:right w:val="single" w:sz="4" w:space="0" w:color="auto"/>
            </w:tcBorders>
            <w:vAlign w:val="center"/>
            <w:hideMark/>
          </w:tcPr>
          <w:p w14:paraId="784CDAB3" w14:textId="77777777" w:rsidR="00DD566D" w:rsidRPr="001828E2" w:rsidRDefault="00DD566D" w:rsidP="00C90B56">
            <w:pPr>
              <w:tabs>
                <w:tab w:val="left" w:pos="4536"/>
              </w:tabs>
              <w:spacing w:before="80" w:after="80" w:line="288" w:lineRule="auto"/>
              <w:jc w:val="center"/>
              <w:rPr>
                <w:b/>
                <w:bCs/>
                <w:color w:val="292526"/>
                <w:sz w:val="24"/>
                <w:szCs w:val="24"/>
              </w:rPr>
            </w:pPr>
            <w:r w:rsidRPr="001828E2">
              <w:rPr>
                <w:b/>
                <w:bCs/>
                <w:sz w:val="24"/>
                <w:szCs w:val="24"/>
                <w:lang w:val="uz-Cyrl-UZ"/>
              </w:rPr>
              <w:t>Main group</w:t>
            </w:r>
          </w:p>
        </w:tc>
        <w:tc>
          <w:tcPr>
            <w:tcW w:w="3166" w:type="dxa"/>
            <w:tcBorders>
              <w:top w:val="single" w:sz="4" w:space="0" w:color="auto"/>
              <w:left w:val="single" w:sz="4" w:space="0" w:color="auto"/>
              <w:bottom w:val="single" w:sz="4" w:space="0" w:color="auto"/>
              <w:right w:val="single" w:sz="4" w:space="0" w:color="auto"/>
            </w:tcBorders>
            <w:vAlign w:val="center"/>
            <w:hideMark/>
          </w:tcPr>
          <w:p w14:paraId="376EFBDD" w14:textId="77777777" w:rsidR="00DD566D" w:rsidRPr="001828E2" w:rsidRDefault="00DD566D" w:rsidP="00C90B56">
            <w:pPr>
              <w:tabs>
                <w:tab w:val="left" w:pos="4536"/>
              </w:tabs>
              <w:spacing w:before="80" w:after="80" w:line="288" w:lineRule="auto"/>
              <w:jc w:val="center"/>
              <w:rPr>
                <w:b/>
                <w:bCs/>
                <w:sz w:val="24"/>
                <w:szCs w:val="24"/>
                <w:lang w:val="uz-Cyrl-UZ"/>
              </w:rPr>
            </w:pPr>
            <w:r w:rsidRPr="001828E2">
              <w:rPr>
                <w:b/>
                <w:bCs/>
                <w:sz w:val="24"/>
                <w:szCs w:val="24"/>
                <w:lang w:val="uz-Cyrl-UZ"/>
              </w:rPr>
              <w:t>Control group</w:t>
            </w:r>
          </w:p>
        </w:tc>
      </w:tr>
      <w:tr w:rsidR="00DD566D" w:rsidRPr="001828E2" w14:paraId="7368240E" w14:textId="77777777" w:rsidTr="00C90B56">
        <w:trPr>
          <w:jc w:val="center"/>
        </w:trPr>
        <w:tc>
          <w:tcPr>
            <w:tcW w:w="3165" w:type="dxa"/>
            <w:tcBorders>
              <w:top w:val="single" w:sz="4" w:space="0" w:color="auto"/>
              <w:left w:val="single" w:sz="4" w:space="0" w:color="auto"/>
              <w:bottom w:val="single" w:sz="4" w:space="0" w:color="auto"/>
              <w:right w:val="single" w:sz="4" w:space="0" w:color="auto"/>
            </w:tcBorders>
            <w:vAlign w:val="center"/>
            <w:hideMark/>
          </w:tcPr>
          <w:p w14:paraId="0885429C"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Up to 0,09</w:t>
            </w:r>
          </w:p>
        </w:tc>
        <w:tc>
          <w:tcPr>
            <w:tcW w:w="3165" w:type="dxa"/>
            <w:tcBorders>
              <w:top w:val="single" w:sz="4" w:space="0" w:color="auto"/>
              <w:left w:val="single" w:sz="4" w:space="0" w:color="auto"/>
              <w:bottom w:val="single" w:sz="4" w:space="0" w:color="auto"/>
              <w:right w:val="single" w:sz="4" w:space="0" w:color="auto"/>
            </w:tcBorders>
            <w:vAlign w:val="center"/>
            <w:hideMark/>
          </w:tcPr>
          <w:p w14:paraId="7B59182F"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46,43%</w:t>
            </w:r>
          </w:p>
        </w:tc>
        <w:tc>
          <w:tcPr>
            <w:tcW w:w="3166" w:type="dxa"/>
            <w:tcBorders>
              <w:top w:val="single" w:sz="4" w:space="0" w:color="auto"/>
              <w:left w:val="single" w:sz="4" w:space="0" w:color="auto"/>
              <w:bottom w:val="single" w:sz="4" w:space="0" w:color="auto"/>
              <w:right w:val="single" w:sz="4" w:space="0" w:color="auto"/>
            </w:tcBorders>
            <w:vAlign w:val="center"/>
            <w:hideMark/>
          </w:tcPr>
          <w:p w14:paraId="2401C826"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48,24%</w:t>
            </w:r>
          </w:p>
        </w:tc>
      </w:tr>
      <w:tr w:rsidR="00DD566D" w:rsidRPr="001828E2" w14:paraId="7E2E924D" w14:textId="77777777" w:rsidTr="00C90B56">
        <w:trPr>
          <w:jc w:val="center"/>
        </w:trPr>
        <w:tc>
          <w:tcPr>
            <w:tcW w:w="3165" w:type="dxa"/>
            <w:tcBorders>
              <w:top w:val="single" w:sz="4" w:space="0" w:color="auto"/>
              <w:left w:val="single" w:sz="4" w:space="0" w:color="auto"/>
              <w:bottom w:val="single" w:sz="4" w:space="0" w:color="auto"/>
              <w:right w:val="single" w:sz="4" w:space="0" w:color="auto"/>
            </w:tcBorders>
            <w:vAlign w:val="center"/>
            <w:hideMark/>
          </w:tcPr>
          <w:p w14:paraId="7D3C2D82"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0,1 and above</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8AAE152"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53,57%</w:t>
            </w:r>
          </w:p>
        </w:tc>
        <w:tc>
          <w:tcPr>
            <w:tcW w:w="3166" w:type="dxa"/>
            <w:tcBorders>
              <w:top w:val="single" w:sz="4" w:space="0" w:color="auto"/>
              <w:left w:val="single" w:sz="4" w:space="0" w:color="auto"/>
              <w:bottom w:val="single" w:sz="4" w:space="0" w:color="auto"/>
              <w:right w:val="single" w:sz="4" w:space="0" w:color="auto"/>
            </w:tcBorders>
            <w:vAlign w:val="center"/>
            <w:hideMark/>
          </w:tcPr>
          <w:p w14:paraId="1E92BB77" w14:textId="77777777" w:rsidR="00DD566D" w:rsidRPr="001828E2" w:rsidRDefault="00DD566D" w:rsidP="00C90B56">
            <w:pPr>
              <w:spacing w:before="80" w:after="80" w:line="288" w:lineRule="auto"/>
              <w:jc w:val="center"/>
              <w:rPr>
                <w:color w:val="292526"/>
                <w:sz w:val="24"/>
                <w:szCs w:val="24"/>
              </w:rPr>
            </w:pPr>
            <w:r w:rsidRPr="001828E2">
              <w:rPr>
                <w:color w:val="292526"/>
                <w:sz w:val="24"/>
                <w:szCs w:val="24"/>
              </w:rPr>
              <w:t>51,76%</w:t>
            </w:r>
          </w:p>
        </w:tc>
      </w:tr>
    </w:tbl>
    <w:p w14:paraId="5BAF9E84"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val="uz-Cyrl-UZ" w:eastAsia="ru-RU"/>
        </w:rPr>
      </w:pPr>
    </w:p>
    <w:p w14:paraId="7B61023F" w14:textId="77777777" w:rsidR="00DD566D" w:rsidRDefault="00DD566D" w:rsidP="00DD566D">
      <w:pPr>
        <w:tabs>
          <w:tab w:val="left" w:pos="4536"/>
        </w:tabs>
        <w:spacing w:line="288" w:lineRule="auto"/>
        <w:ind w:firstLine="567"/>
        <w:jc w:val="both"/>
        <w:rPr>
          <w:rFonts w:eastAsia="Times New Roman" w:cs="Times New Roman"/>
          <w:b/>
          <w:sz w:val="24"/>
          <w:szCs w:val="24"/>
          <w:lang w:val="uz-Cyrl-UZ" w:eastAsia="ru-RU"/>
        </w:rPr>
        <w:sectPr w:rsidR="00DD566D" w:rsidSect="00995DC2">
          <w:type w:val="continuous"/>
          <w:pgSz w:w="11907" w:h="16840" w:code="9"/>
          <w:pgMar w:top="1418" w:right="1134" w:bottom="1134" w:left="1134" w:header="907" w:footer="794" w:gutter="0"/>
          <w:cols w:space="708"/>
          <w:docGrid w:linePitch="381"/>
        </w:sectPr>
      </w:pPr>
    </w:p>
    <w:p w14:paraId="53A011FD"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b/>
          <w:sz w:val="24"/>
          <w:szCs w:val="24"/>
          <w:lang w:eastAsia="ru-RU"/>
        </w:rPr>
        <w:lastRenderedPageBreak/>
        <w:t>Results and discussion</w:t>
      </w:r>
      <w:r w:rsidRPr="001828E2">
        <w:rPr>
          <w:rFonts w:eastAsia="Times New Roman" w:cs="Times New Roman"/>
          <w:sz w:val="24"/>
          <w:szCs w:val="24"/>
          <w:lang w:eastAsia="ru-RU"/>
        </w:rPr>
        <w:t>.</w:t>
      </w:r>
    </w:p>
    <w:p w14:paraId="3EDEEE5A"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After the treatment, all patients from the main group noted an improvement in their gen</w:t>
      </w:r>
      <w:r>
        <w:rPr>
          <w:rFonts w:eastAsia="Times New Roman" w:cs="Times New Roman"/>
          <w:sz w:val="24"/>
          <w:szCs w:val="24"/>
          <w:lang w:eastAsia="ru-RU"/>
        </w:rPr>
        <w:softHyphen/>
      </w:r>
      <w:r w:rsidRPr="001828E2">
        <w:rPr>
          <w:rFonts w:eastAsia="Times New Roman" w:cs="Times New Roman"/>
          <w:sz w:val="24"/>
          <w:szCs w:val="24"/>
          <w:lang w:eastAsia="ru-RU"/>
        </w:rPr>
        <w:t>eral condition, motor activity, mental perfor</w:t>
      </w:r>
      <w:r>
        <w:rPr>
          <w:rFonts w:eastAsia="Times New Roman" w:cs="Times New Roman"/>
          <w:sz w:val="24"/>
          <w:szCs w:val="24"/>
          <w:lang w:eastAsia="ru-RU"/>
        </w:rPr>
        <w:softHyphen/>
      </w:r>
      <w:r w:rsidRPr="001828E2">
        <w:rPr>
          <w:rFonts w:eastAsia="Times New Roman" w:cs="Times New Roman"/>
          <w:sz w:val="24"/>
          <w:szCs w:val="24"/>
          <w:lang w:eastAsia="ru-RU"/>
        </w:rPr>
        <w:t>mance, as well as normalization and stabiliza</w:t>
      </w:r>
      <w:r>
        <w:rPr>
          <w:rFonts w:eastAsia="Times New Roman" w:cs="Times New Roman"/>
          <w:sz w:val="24"/>
          <w:szCs w:val="24"/>
          <w:lang w:eastAsia="ru-RU"/>
        </w:rPr>
        <w:softHyphen/>
      </w:r>
      <w:r w:rsidRPr="001828E2">
        <w:rPr>
          <w:rFonts w:eastAsia="Times New Roman" w:cs="Times New Roman"/>
          <w:sz w:val="24"/>
          <w:szCs w:val="24"/>
          <w:lang w:eastAsia="ru-RU"/>
        </w:rPr>
        <w:t>tion of blood pressure in patients with hyper</w:t>
      </w:r>
      <w:r>
        <w:rPr>
          <w:rFonts w:eastAsia="Times New Roman" w:cs="Times New Roman"/>
          <w:sz w:val="24"/>
          <w:szCs w:val="24"/>
          <w:lang w:eastAsia="ru-RU"/>
        </w:rPr>
        <w:softHyphen/>
      </w:r>
      <w:r w:rsidRPr="001828E2">
        <w:rPr>
          <w:rFonts w:eastAsia="Times New Roman" w:cs="Times New Roman"/>
          <w:sz w:val="24"/>
          <w:szCs w:val="24"/>
          <w:lang w:eastAsia="ru-RU"/>
        </w:rPr>
        <w:t>tension. Improvement in visual acuity and ex</w:t>
      </w:r>
      <w:r>
        <w:rPr>
          <w:rFonts w:eastAsia="Times New Roman" w:cs="Times New Roman"/>
          <w:sz w:val="24"/>
          <w:szCs w:val="24"/>
          <w:lang w:eastAsia="ru-RU"/>
        </w:rPr>
        <w:softHyphen/>
      </w:r>
      <w:r w:rsidRPr="001828E2">
        <w:rPr>
          <w:rFonts w:eastAsia="Times New Roman" w:cs="Times New Roman"/>
          <w:sz w:val="24"/>
          <w:szCs w:val="24"/>
          <w:lang w:eastAsia="ru-RU"/>
        </w:rPr>
        <w:t>pansion of the total boundaries of the visual field (SGFS) was noted in 83.3% in the main group, in the control group, an improvement in visual acuity in 51.7% and 48.4% showed an expansion of SGFS.</w:t>
      </w:r>
    </w:p>
    <w:p w14:paraId="096ACB90"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 xml:space="preserve">An increase in visual acuity by 0.06 was observed in patients in the main group with an initial visual acuity of up to 0.09, and by 0.2–0.3 (with an initial visual acuity of 0.1 and higher). While patients in the control group showed an increase of 0.03 (with initial visual acuity up to 0.09) and 0.1 (with initial visual </w:t>
      </w:r>
      <w:r w:rsidRPr="001828E2">
        <w:rPr>
          <w:rFonts w:eastAsia="Times New Roman" w:cs="Times New Roman"/>
          <w:sz w:val="24"/>
          <w:szCs w:val="24"/>
          <w:lang w:eastAsia="ru-RU"/>
        </w:rPr>
        <w:t>acuity of 0.1 and above).The expansion of the total boundaries of the visual field (ETFS) in the main group was noted by 20–35 degrees, while in the control group there was an expan</w:t>
      </w:r>
      <w:r>
        <w:rPr>
          <w:rFonts w:eastAsia="Times New Roman" w:cs="Times New Roman"/>
          <w:sz w:val="24"/>
          <w:szCs w:val="24"/>
          <w:lang w:eastAsia="ru-RU"/>
        </w:rPr>
        <w:softHyphen/>
      </w:r>
      <w:r w:rsidRPr="001828E2">
        <w:rPr>
          <w:rFonts w:eastAsia="Times New Roman" w:cs="Times New Roman"/>
          <w:sz w:val="24"/>
          <w:szCs w:val="24"/>
          <w:lang w:eastAsia="ru-RU"/>
        </w:rPr>
        <w:t>sion of the total boundaries of the visual field up to 20 degrees.</w:t>
      </w:r>
    </w:p>
    <w:p w14:paraId="6110171F"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Changes have also been made in EFI pa</w:t>
      </w:r>
      <w:r>
        <w:rPr>
          <w:rFonts w:eastAsia="Times New Roman" w:cs="Times New Roman"/>
          <w:sz w:val="24"/>
          <w:szCs w:val="24"/>
          <w:lang w:eastAsia="ru-RU"/>
        </w:rPr>
        <w:softHyphen/>
      </w:r>
      <w:r w:rsidRPr="001828E2">
        <w:rPr>
          <w:rFonts w:eastAsia="Times New Roman" w:cs="Times New Roman"/>
          <w:sz w:val="24"/>
          <w:szCs w:val="24"/>
          <w:lang w:eastAsia="ru-RU"/>
        </w:rPr>
        <w:t>rameters before and after treatment.</w:t>
      </w:r>
    </w:p>
    <w:p w14:paraId="4153E8DD"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According to computer perimetry, there was a decrease in relative absolute scotomas, an increase in fovea sensitivity by 2–3 DB in the control group and by 3–5 DB in the main group.</w:t>
      </w:r>
    </w:p>
    <w:p w14:paraId="4B192FA4" w14:textId="77777777" w:rsidR="00DD566D" w:rsidRPr="001828E2" w:rsidRDefault="00DD566D" w:rsidP="00DD566D">
      <w:pPr>
        <w:tabs>
          <w:tab w:val="left" w:pos="4536"/>
        </w:tabs>
        <w:spacing w:line="288" w:lineRule="auto"/>
        <w:ind w:firstLine="567"/>
        <w:jc w:val="both"/>
        <w:rPr>
          <w:rFonts w:eastAsia="Times New Roman" w:cs="Times New Roman"/>
          <w:sz w:val="24"/>
          <w:szCs w:val="24"/>
          <w:lang w:eastAsia="ru-RU"/>
        </w:rPr>
      </w:pPr>
      <w:r w:rsidRPr="001828E2">
        <w:rPr>
          <w:rFonts w:eastAsia="Times New Roman" w:cs="Times New Roman"/>
          <w:b/>
          <w:sz w:val="24"/>
          <w:szCs w:val="24"/>
          <w:lang w:eastAsia="ru-RU"/>
        </w:rPr>
        <w:t>Example.</w:t>
      </w:r>
      <w:r w:rsidRPr="001828E2">
        <w:rPr>
          <w:rFonts w:eastAsia="Times New Roman" w:cs="Times New Roman"/>
          <w:sz w:val="24"/>
          <w:szCs w:val="24"/>
          <w:lang w:eastAsia="ru-RU"/>
        </w:rPr>
        <w:t xml:space="preserve"> Patient B. Diagnosis: Partial postischemic atrophy of the optic nerve. Re</w:t>
      </w:r>
      <w:r>
        <w:rPr>
          <w:rFonts w:eastAsia="Times New Roman" w:cs="Times New Roman"/>
          <w:sz w:val="24"/>
          <w:szCs w:val="24"/>
          <w:lang w:eastAsia="ru-RU"/>
        </w:rPr>
        <w:softHyphen/>
      </w:r>
      <w:r w:rsidRPr="001828E2">
        <w:rPr>
          <w:rFonts w:eastAsia="Times New Roman" w:cs="Times New Roman"/>
          <w:sz w:val="24"/>
          <w:szCs w:val="24"/>
          <w:lang w:eastAsia="ru-RU"/>
        </w:rPr>
        <w:t>sults of computerized perimetry before and af</w:t>
      </w:r>
      <w:r>
        <w:rPr>
          <w:rFonts w:eastAsia="Times New Roman" w:cs="Times New Roman"/>
          <w:sz w:val="24"/>
          <w:szCs w:val="24"/>
          <w:lang w:eastAsia="ru-RU"/>
        </w:rPr>
        <w:softHyphen/>
      </w:r>
      <w:r w:rsidRPr="001828E2">
        <w:rPr>
          <w:rFonts w:eastAsia="Times New Roman" w:cs="Times New Roman"/>
          <w:sz w:val="24"/>
          <w:szCs w:val="24"/>
          <w:lang w:eastAsia="ru-RU"/>
        </w:rPr>
        <w:t>ter treatment.</w:t>
      </w:r>
    </w:p>
    <w:p w14:paraId="204579C0" w14:textId="77777777" w:rsidR="00DD566D" w:rsidRDefault="00DD566D" w:rsidP="00DD566D">
      <w:pPr>
        <w:tabs>
          <w:tab w:val="left" w:pos="4536"/>
        </w:tabs>
        <w:spacing w:line="288" w:lineRule="auto"/>
        <w:ind w:firstLine="567"/>
        <w:jc w:val="both"/>
        <w:rPr>
          <w:rFonts w:eastAsia="Times New Roman" w:cs="Times New Roman"/>
          <w:sz w:val="24"/>
          <w:szCs w:val="24"/>
          <w:lang w:val="uz-Cyrl-UZ" w:eastAsia="ru-RU"/>
        </w:rPr>
        <w:sectPr w:rsidR="00DD566D" w:rsidSect="00B942EB">
          <w:type w:val="continuous"/>
          <w:pgSz w:w="11907" w:h="16840" w:code="9"/>
          <w:pgMar w:top="1418" w:right="1134" w:bottom="1134" w:left="1134" w:header="907" w:footer="794" w:gutter="0"/>
          <w:cols w:num="2" w:space="708"/>
          <w:docGrid w:linePitch="381"/>
        </w:sectPr>
      </w:pPr>
      <w:r w:rsidRPr="001828E2">
        <w:rPr>
          <w:rFonts w:eastAsia="Times New Roman" w:cs="Times New Roman"/>
          <w:sz w:val="24"/>
          <w:szCs w:val="24"/>
          <w:lang w:eastAsia="ru-RU"/>
        </w:rPr>
        <w:t xml:space="preserve"> Indicators of visually evoked potentials for a flash (changes in latency, m/sec)</w:t>
      </w:r>
    </w:p>
    <w:p w14:paraId="245C860E"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p>
    <w:p w14:paraId="0C8F8F9F" w14:textId="77777777" w:rsidR="00DD566D" w:rsidRPr="001828E2" w:rsidRDefault="00DD566D" w:rsidP="00DD566D">
      <w:pPr>
        <w:tabs>
          <w:tab w:val="left" w:pos="4536"/>
        </w:tabs>
        <w:spacing w:line="276" w:lineRule="auto"/>
        <w:ind w:firstLine="567"/>
        <w:jc w:val="right"/>
        <w:rPr>
          <w:rFonts w:eastAsia="Times New Roman" w:cs="Times New Roman"/>
          <w:b/>
          <w:bCs/>
          <w:i/>
          <w:iCs/>
          <w:sz w:val="24"/>
          <w:szCs w:val="24"/>
          <w:lang w:val="ru-RU" w:eastAsia="ru-RU"/>
        </w:rPr>
      </w:pPr>
      <w:r w:rsidRPr="001828E2">
        <w:rPr>
          <w:rFonts w:eastAsia="Times New Roman" w:cs="Times New Roman"/>
          <w:b/>
          <w:bCs/>
          <w:i/>
          <w:iCs/>
          <w:sz w:val="24"/>
          <w:szCs w:val="24"/>
          <w:lang w:eastAsia="ru-RU"/>
        </w:rPr>
        <w:t xml:space="preserve">Table </w:t>
      </w:r>
      <w:r w:rsidRPr="001828E2">
        <w:rPr>
          <w:rFonts w:eastAsia="Times New Roman" w:cs="Times New Roman"/>
          <w:b/>
          <w:bCs/>
          <w:i/>
          <w:iCs/>
          <w:sz w:val="24"/>
          <w:szCs w:val="24"/>
          <w:lang w:val="ru-RU" w:eastAsia="ru-RU"/>
        </w:rPr>
        <w:t>№3</w:t>
      </w:r>
    </w:p>
    <w:p w14:paraId="7A8573A4"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p>
    <w:tbl>
      <w:tblPr>
        <w:tblStyle w:val="23"/>
        <w:tblW w:w="0" w:type="auto"/>
        <w:jc w:val="center"/>
        <w:tblLook w:val="04A0" w:firstRow="1" w:lastRow="0" w:firstColumn="1" w:lastColumn="0" w:noHBand="0" w:noVBand="1"/>
      </w:tblPr>
      <w:tblGrid>
        <w:gridCol w:w="2802"/>
        <w:gridCol w:w="1596"/>
        <w:gridCol w:w="1559"/>
        <w:gridCol w:w="1559"/>
        <w:gridCol w:w="1560"/>
      </w:tblGrid>
      <w:tr w:rsidR="00DD566D" w:rsidRPr="001828E2" w14:paraId="0EE150AF" w14:textId="77777777" w:rsidTr="00C90B56">
        <w:trPr>
          <w:trHeight w:val="283"/>
          <w:jc w:val="center"/>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14:paraId="6CB25336" w14:textId="77777777" w:rsidR="00DD566D" w:rsidRPr="001828E2" w:rsidRDefault="00DD566D" w:rsidP="00C90B56">
            <w:pPr>
              <w:tabs>
                <w:tab w:val="left" w:pos="4536"/>
              </w:tabs>
              <w:spacing w:before="80" w:after="80" w:line="276" w:lineRule="auto"/>
              <w:jc w:val="center"/>
              <w:rPr>
                <w:b/>
                <w:bCs/>
                <w:sz w:val="24"/>
                <w:szCs w:val="24"/>
                <w:lang w:val="uz-Cyrl-UZ"/>
              </w:rPr>
            </w:pPr>
            <w:r w:rsidRPr="001828E2">
              <w:rPr>
                <w:b/>
                <w:bCs/>
                <w:sz w:val="24"/>
                <w:szCs w:val="24"/>
                <w:lang w:val="uz-Cyrl-UZ"/>
              </w:rPr>
              <w:t>Types of PNAD</w:t>
            </w:r>
          </w:p>
        </w:tc>
        <w:tc>
          <w:tcPr>
            <w:tcW w:w="3155" w:type="dxa"/>
            <w:gridSpan w:val="2"/>
            <w:tcBorders>
              <w:top w:val="single" w:sz="4" w:space="0" w:color="auto"/>
              <w:left w:val="single" w:sz="4" w:space="0" w:color="auto"/>
              <w:bottom w:val="single" w:sz="4" w:space="0" w:color="auto"/>
              <w:right w:val="single" w:sz="4" w:space="0" w:color="auto"/>
            </w:tcBorders>
            <w:vAlign w:val="center"/>
            <w:hideMark/>
          </w:tcPr>
          <w:p w14:paraId="102F298B" w14:textId="77777777" w:rsidR="00DD566D" w:rsidRPr="001828E2" w:rsidRDefault="00DD566D" w:rsidP="00C90B56">
            <w:pPr>
              <w:spacing w:before="80" w:after="80" w:line="276" w:lineRule="auto"/>
              <w:jc w:val="center"/>
              <w:rPr>
                <w:b/>
                <w:bCs/>
                <w:sz w:val="24"/>
                <w:szCs w:val="24"/>
              </w:rPr>
            </w:pPr>
            <w:r w:rsidRPr="001828E2">
              <w:rPr>
                <w:b/>
                <w:bCs/>
                <w:sz w:val="24"/>
                <w:szCs w:val="24"/>
                <w:lang w:val="uz-Cyrl-UZ"/>
              </w:rPr>
              <w:t>Before treatment</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C5974C3" w14:textId="77777777" w:rsidR="00DD566D" w:rsidRPr="001828E2" w:rsidRDefault="00DD566D" w:rsidP="00C90B56">
            <w:pPr>
              <w:spacing w:before="80" w:after="80" w:line="276" w:lineRule="auto"/>
              <w:jc w:val="center"/>
              <w:rPr>
                <w:b/>
                <w:bCs/>
                <w:sz w:val="24"/>
                <w:szCs w:val="24"/>
              </w:rPr>
            </w:pPr>
            <w:r w:rsidRPr="001828E2">
              <w:rPr>
                <w:b/>
                <w:bCs/>
                <w:sz w:val="24"/>
                <w:szCs w:val="24"/>
                <w:lang w:val="uz-Cyrl-UZ"/>
              </w:rPr>
              <w:t>After treatment</w:t>
            </w:r>
          </w:p>
        </w:tc>
      </w:tr>
      <w:tr w:rsidR="00DD566D" w:rsidRPr="001828E2" w14:paraId="0770C4F2" w14:textId="77777777" w:rsidTr="00C90B56">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0F627" w14:textId="77777777" w:rsidR="00DD566D" w:rsidRPr="001828E2" w:rsidRDefault="00DD566D" w:rsidP="00C90B56">
            <w:pPr>
              <w:spacing w:before="80" w:after="80" w:line="276" w:lineRule="auto"/>
              <w:jc w:val="both"/>
              <w:rPr>
                <w:b/>
                <w:bCs/>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hideMark/>
          </w:tcPr>
          <w:p w14:paraId="7550394A" w14:textId="77777777" w:rsidR="00DD566D" w:rsidRPr="001828E2" w:rsidRDefault="00DD566D" w:rsidP="00C90B56">
            <w:pPr>
              <w:tabs>
                <w:tab w:val="left" w:pos="4536"/>
              </w:tabs>
              <w:spacing w:before="80" w:after="80" w:line="276" w:lineRule="auto"/>
              <w:jc w:val="center"/>
              <w:rPr>
                <w:b/>
                <w:bCs/>
                <w:sz w:val="24"/>
                <w:szCs w:val="24"/>
              </w:rPr>
            </w:pPr>
            <w:r w:rsidRPr="001828E2">
              <w:rPr>
                <w:b/>
                <w:bCs/>
                <w:sz w:val="24"/>
                <w:szCs w:val="24"/>
                <w:lang w:val="uz-Cyrl-UZ"/>
              </w:rPr>
              <w:t>Main gr.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B2C74B" w14:textId="77777777" w:rsidR="00DD566D" w:rsidRPr="001828E2" w:rsidRDefault="00DD566D" w:rsidP="00C90B56">
            <w:pPr>
              <w:tabs>
                <w:tab w:val="left" w:pos="4536"/>
              </w:tabs>
              <w:spacing w:before="80" w:after="80" w:line="276" w:lineRule="auto"/>
              <w:jc w:val="center"/>
              <w:rPr>
                <w:b/>
                <w:bCs/>
                <w:sz w:val="24"/>
                <w:szCs w:val="24"/>
                <w:lang w:val="uz-Cyrl-UZ"/>
              </w:rPr>
            </w:pPr>
            <w:r w:rsidRPr="001828E2">
              <w:rPr>
                <w:b/>
                <w:bCs/>
                <w:sz w:val="24"/>
                <w:szCs w:val="24"/>
                <w:lang w:val="uz-Cyrl-UZ"/>
              </w:rPr>
              <w:t>Control gr.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944204" w14:textId="77777777" w:rsidR="00DD566D" w:rsidRPr="001828E2" w:rsidRDefault="00DD566D" w:rsidP="00C90B56">
            <w:pPr>
              <w:spacing w:before="80" w:after="80" w:line="276" w:lineRule="auto"/>
              <w:jc w:val="center"/>
              <w:rPr>
                <w:b/>
                <w:bCs/>
                <w:sz w:val="24"/>
                <w:szCs w:val="24"/>
              </w:rPr>
            </w:pPr>
            <w:r w:rsidRPr="001828E2">
              <w:rPr>
                <w:b/>
                <w:bCs/>
                <w:sz w:val="24"/>
                <w:szCs w:val="24"/>
                <w:lang w:val="uz-Cyrl-UZ"/>
              </w:rPr>
              <w:t>Main gr.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B56F03" w14:textId="77777777" w:rsidR="00DD566D" w:rsidRPr="001828E2" w:rsidRDefault="00DD566D" w:rsidP="00C90B56">
            <w:pPr>
              <w:spacing w:before="80" w:after="80" w:line="276" w:lineRule="auto"/>
              <w:jc w:val="center"/>
              <w:rPr>
                <w:b/>
                <w:bCs/>
                <w:sz w:val="24"/>
                <w:szCs w:val="24"/>
              </w:rPr>
            </w:pPr>
            <w:r w:rsidRPr="001828E2">
              <w:rPr>
                <w:b/>
                <w:bCs/>
                <w:sz w:val="24"/>
                <w:szCs w:val="24"/>
                <w:lang w:val="uz-Cyrl-UZ"/>
              </w:rPr>
              <w:t>Control gr.</w:t>
            </w:r>
          </w:p>
        </w:tc>
      </w:tr>
      <w:tr w:rsidR="00DD566D" w:rsidRPr="001828E2" w14:paraId="70DB15B1" w14:textId="77777777" w:rsidTr="00C90B56">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0C403F53" w14:textId="77777777" w:rsidR="00DD566D" w:rsidRPr="001828E2" w:rsidRDefault="00DD566D" w:rsidP="00C90B56">
            <w:pPr>
              <w:spacing w:before="80" w:after="80" w:line="276" w:lineRule="auto"/>
              <w:jc w:val="both"/>
              <w:rPr>
                <w:sz w:val="24"/>
                <w:szCs w:val="24"/>
              </w:rPr>
            </w:pPr>
            <w:r w:rsidRPr="001828E2">
              <w:rPr>
                <w:sz w:val="24"/>
                <w:szCs w:val="24"/>
                <w:lang w:val="uz-Cyrl-UZ"/>
              </w:rPr>
              <w:t>PANS glaucomatous</w:t>
            </w:r>
          </w:p>
        </w:tc>
        <w:tc>
          <w:tcPr>
            <w:tcW w:w="1596" w:type="dxa"/>
            <w:tcBorders>
              <w:top w:val="single" w:sz="4" w:space="0" w:color="auto"/>
              <w:left w:val="single" w:sz="4" w:space="0" w:color="auto"/>
              <w:bottom w:val="single" w:sz="4" w:space="0" w:color="auto"/>
              <w:right w:val="single" w:sz="4" w:space="0" w:color="auto"/>
            </w:tcBorders>
            <w:vAlign w:val="center"/>
            <w:hideMark/>
          </w:tcPr>
          <w:p w14:paraId="17CA0A9A" w14:textId="77777777" w:rsidR="00DD566D" w:rsidRPr="001828E2" w:rsidRDefault="00DD566D" w:rsidP="00C90B56">
            <w:pPr>
              <w:spacing w:before="80" w:after="80" w:line="276" w:lineRule="auto"/>
              <w:jc w:val="center"/>
              <w:rPr>
                <w:sz w:val="24"/>
                <w:szCs w:val="24"/>
              </w:rPr>
            </w:pPr>
            <w:r w:rsidRPr="001828E2">
              <w:rPr>
                <w:sz w:val="24"/>
                <w:szCs w:val="24"/>
              </w:rPr>
              <w:t>127±1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05794E" w14:textId="77777777" w:rsidR="00DD566D" w:rsidRPr="001828E2" w:rsidRDefault="00DD566D" w:rsidP="00C90B56">
            <w:pPr>
              <w:spacing w:before="80" w:after="80" w:line="276" w:lineRule="auto"/>
              <w:jc w:val="center"/>
              <w:rPr>
                <w:sz w:val="24"/>
                <w:szCs w:val="24"/>
              </w:rPr>
            </w:pPr>
            <w:r w:rsidRPr="001828E2">
              <w:rPr>
                <w:sz w:val="24"/>
                <w:szCs w:val="24"/>
              </w:rPr>
              <w:t>127±1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0B8A7E" w14:textId="77777777" w:rsidR="00DD566D" w:rsidRPr="001828E2" w:rsidRDefault="00DD566D" w:rsidP="00C90B56">
            <w:pPr>
              <w:spacing w:before="80" w:after="80" w:line="276" w:lineRule="auto"/>
              <w:jc w:val="center"/>
              <w:rPr>
                <w:sz w:val="24"/>
                <w:szCs w:val="24"/>
              </w:rPr>
            </w:pPr>
            <w:r w:rsidRPr="001828E2">
              <w:rPr>
                <w:sz w:val="24"/>
                <w:szCs w:val="24"/>
              </w:rPr>
              <w:t>126±2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CCBF7E" w14:textId="77777777" w:rsidR="00DD566D" w:rsidRPr="001828E2" w:rsidRDefault="00DD566D" w:rsidP="00C90B56">
            <w:pPr>
              <w:spacing w:before="80" w:after="80" w:line="276" w:lineRule="auto"/>
              <w:jc w:val="center"/>
              <w:rPr>
                <w:sz w:val="24"/>
                <w:szCs w:val="24"/>
              </w:rPr>
            </w:pPr>
            <w:r w:rsidRPr="001828E2">
              <w:rPr>
                <w:sz w:val="24"/>
                <w:szCs w:val="24"/>
              </w:rPr>
              <w:t>127±1</w:t>
            </w:r>
          </w:p>
        </w:tc>
      </w:tr>
      <w:tr w:rsidR="00DD566D" w:rsidRPr="001828E2" w14:paraId="0DA51A92" w14:textId="77777777" w:rsidTr="00C90B56">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1FDC2E19" w14:textId="77777777" w:rsidR="00DD566D" w:rsidRPr="001828E2" w:rsidRDefault="00DD566D" w:rsidP="00C90B56">
            <w:pPr>
              <w:spacing w:before="80" w:after="80" w:line="276" w:lineRule="auto"/>
              <w:jc w:val="both"/>
              <w:rPr>
                <w:sz w:val="24"/>
                <w:szCs w:val="24"/>
              </w:rPr>
            </w:pPr>
            <w:r w:rsidRPr="001828E2">
              <w:rPr>
                <w:sz w:val="24"/>
                <w:szCs w:val="24"/>
                <w:lang w:val="uz-Cyrl-UZ"/>
              </w:rPr>
              <w:t>POI postischemic</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CE1463A" w14:textId="77777777" w:rsidR="00DD566D" w:rsidRPr="001828E2" w:rsidRDefault="00DD566D" w:rsidP="00C90B56">
            <w:pPr>
              <w:spacing w:before="80" w:after="80" w:line="276" w:lineRule="auto"/>
              <w:jc w:val="center"/>
              <w:rPr>
                <w:sz w:val="24"/>
                <w:szCs w:val="24"/>
              </w:rPr>
            </w:pPr>
            <w:r w:rsidRPr="001828E2">
              <w:rPr>
                <w:sz w:val="24"/>
                <w:szCs w:val="24"/>
              </w:rPr>
              <w:t>130±2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501468" w14:textId="77777777" w:rsidR="00DD566D" w:rsidRPr="001828E2" w:rsidRDefault="00DD566D" w:rsidP="00C90B56">
            <w:pPr>
              <w:spacing w:before="80" w:after="80" w:line="276" w:lineRule="auto"/>
              <w:jc w:val="center"/>
              <w:rPr>
                <w:sz w:val="24"/>
                <w:szCs w:val="24"/>
              </w:rPr>
            </w:pPr>
            <w:r w:rsidRPr="001828E2">
              <w:rPr>
                <w:sz w:val="24"/>
                <w:szCs w:val="24"/>
              </w:rPr>
              <w:t>130±2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2BC4DB" w14:textId="77777777" w:rsidR="00DD566D" w:rsidRPr="001828E2" w:rsidRDefault="00DD566D" w:rsidP="00C90B56">
            <w:pPr>
              <w:spacing w:before="80" w:after="80" w:line="276" w:lineRule="auto"/>
              <w:jc w:val="center"/>
              <w:rPr>
                <w:sz w:val="24"/>
                <w:szCs w:val="24"/>
              </w:rPr>
            </w:pPr>
            <w:r w:rsidRPr="001828E2">
              <w:rPr>
                <w:sz w:val="24"/>
                <w:szCs w:val="24"/>
              </w:rPr>
              <w:t>128±2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2BCEB0" w14:textId="77777777" w:rsidR="00DD566D" w:rsidRPr="001828E2" w:rsidRDefault="00DD566D" w:rsidP="00C90B56">
            <w:pPr>
              <w:spacing w:before="80" w:after="80" w:line="276" w:lineRule="auto"/>
              <w:jc w:val="center"/>
              <w:rPr>
                <w:sz w:val="24"/>
                <w:szCs w:val="24"/>
              </w:rPr>
            </w:pPr>
            <w:r w:rsidRPr="001828E2">
              <w:rPr>
                <w:sz w:val="24"/>
                <w:szCs w:val="24"/>
              </w:rPr>
              <w:t>130±2</w:t>
            </w:r>
          </w:p>
        </w:tc>
      </w:tr>
      <w:tr w:rsidR="00DD566D" w:rsidRPr="001828E2" w14:paraId="1FD25913" w14:textId="77777777" w:rsidTr="00C90B56">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11F90458" w14:textId="77777777" w:rsidR="00DD566D" w:rsidRPr="001828E2" w:rsidRDefault="00DD566D" w:rsidP="00C90B56">
            <w:pPr>
              <w:spacing w:before="80" w:after="80" w:line="276" w:lineRule="auto"/>
              <w:jc w:val="both"/>
              <w:rPr>
                <w:sz w:val="24"/>
                <w:szCs w:val="24"/>
              </w:rPr>
            </w:pPr>
            <w:r w:rsidRPr="001828E2">
              <w:rPr>
                <w:sz w:val="24"/>
                <w:szCs w:val="24"/>
                <w:lang w:val="uz-Cyrl-UZ"/>
              </w:rPr>
              <w:t>PONS post-intoxication</w:t>
            </w:r>
          </w:p>
        </w:tc>
        <w:tc>
          <w:tcPr>
            <w:tcW w:w="1596" w:type="dxa"/>
            <w:tcBorders>
              <w:top w:val="single" w:sz="4" w:space="0" w:color="auto"/>
              <w:left w:val="single" w:sz="4" w:space="0" w:color="auto"/>
              <w:bottom w:val="single" w:sz="4" w:space="0" w:color="auto"/>
              <w:right w:val="single" w:sz="4" w:space="0" w:color="auto"/>
            </w:tcBorders>
            <w:vAlign w:val="center"/>
            <w:hideMark/>
          </w:tcPr>
          <w:p w14:paraId="19286B61" w14:textId="77777777" w:rsidR="00DD566D" w:rsidRPr="001828E2" w:rsidRDefault="00DD566D" w:rsidP="00C90B56">
            <w:pPr>
              <w:spacing w:before="80" w:after="80" w:line="276" w:lineRule="auto"/>
              <w:jc w:val="center"/>
              <w:rPr>
                <w:sz w:val="24"/>
                <w:szCs w:val="24"/>
              </w:rPr>
            </w:pPr>
            <w:r w:rsidRPr="001828E2">
              <w:rPr>
                <w:sz w:val="24"/>
                <w:szCs w:val="24"/>
              </w:rPr>
              <w:t>130±3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AC1FB0" w14:textId="77777777" w:rsidR="00DD566D" w:rsidRPr="001828E2" w:rsidRDefault="00DD566D" w:rsidP="00C90B56">
            <w:pPr>
              <w:spacing w:before="80" w:after="80" w:line="276" w:lineRule="auto"/>
              <w:jc w:val="center"/>
              <w:rPr>
                <w:sz w:val="24"/>
                <w:szCs w:val="24"/>
              </w:rPr>
            </w:pPr>
            <w:r w:rsidRPr="001828E2">
              <w:rPr>
                <w:sz w:val="24"/>
                <w:szCs w:val="24"/>
              </w:rPr>
              <w:t>130±3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48664C" w14:textId="77777777" w:rsidR="00DD566D" w:rsidRPr="001828E2" w:rsidRDefault="00DD566D" w:rsidP="00C90B56">
            <w:pPr>
              <w:spacing w:before="80" w:after="80" w:line="276" w:lineRule="auto"/>
              <w:jc w:val="center"/>
              <w:rPr>
                <w:sz w:val="24"/>
                <w:szCs w:val="24"/>
              </w:rPr>
            </w:pPr>
            <w:r w:rsidRPr="001828E2">
              <w:rPr>
                <w:sz w:val="24"/>
                <w:szCs w:val="24"/>
              </w:rPr>
              <w:t>128±1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08956C4" w14:textId="77777777" w:rsidR="00DD566D" w:rsidRPr="001828E2" w:rsidRDefault="00DD566D" w:rsidP="00C90B56">
            <w:pPr>
              <w:spacing w:before="80" w:after="80" w:line="276" w:lineRule="auto"/>
              <w:jc w:val="center"/>
              <w:rPr>
                <w:sz w:val="24"/>
                <w:szCs w:val="24"/>
              </w:rPr>
            </w:pPr>
            <w:r w:rsidRPr="001828E2">
              <w:rPr>
                <w:sz w:val="24"/>
                <w:szCs w:val="24"/>
              </w:rPr>
              <w:t>130±2</w:t>
            </w:r>
          </w:p>
        </w:tc>
      </w:tr>
      <w:tr w:rsidR="00DD566D" w:rsidRPr="001828E2" w14:paraId="14645A8A" w14:textId="77777777" w:rsidTr="00C90B56">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63AFE665" w14:textId="77777777" w:rsidR="00DD566D" w:rsidRPr="001828E2" w:rsidRDefault="00DD566D" w:rsidP="00C90B56">
            <w:pPr>
              <w:spacing w:before="80" w:after="80" w:line="276" w:lineRule="auto"/>
              <w:jc w:val="both"/>
              <w:rPr>
                <w:sz w:val="24"/>
                <w:szCs w:val="24"/>
              </w:rPr>
            </w:pPr>
            <w:r w:rsidRPr="001828E2">
              <w:rPr>
                <w:sz w:val="24"/>
                <w:szCs w:val="24"/>
                <w:lang w:val="uz-Cyrl-UZ"/>
              </w:rPr>
              <w:t>POF post-traumatic</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E26AF3E" w14:textId="77777777" w:rsidR="00DD566D" w:rsidRPr="001828E2" w:rsidRDefault="00DD566D" w:rsidP="00C90B56">
            <w:pPr>
              <w:spacing w:before="80" w:after="80" w:line="276" w:lineRule="auto"/>
              <w:jc w:val="center"/>
              <w:rPr>
                <w:sz w:val="24"/>
                <w:szCs w:val="24"/>
              </w:rPr>
            </w:pPr>
            <w:r w:rsidRPr="001828E2">
              <w:rPr>
                <w:sz w:val="24"/>
                <w:szCs w:val="24"/>
              </w:rPr>
              <w:t>128±1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1DD5B5" w14:textId="77777777" w:rsidR="00DD566D" w:rsidRPr="001828E2" w:rsidRDefault="00DD566D" w:rsidP="00C90B56">
            <w:pPr>
              <w:spacing w:before="80" w:after="80" w:line="276" w:lineRule="auto"/>
              <w:jc w:val="center"/>
              <w:rPr>
                <w:sz w:val="24"/>
                <w:szCs w:val="24"/>
              </w:rPr>
            </w:pPr>
            <w:r w:rsidRPr="001828E2">
              <w:rPr>
                <w:sz w:val="24"/>
                <w:szCs w:val="24"/>
              </w:rPr>
              <w:t>128±1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9C6814" w14:textId="77777777" w:rsidR="00DD566D" w:rsidRPr="001828E2" w:rsidRDefault="00DD566D" w:rsidP="00C90B56">
            <w:pPr>
              <w:spacing w:before="80" w:after="80" w:line="276" w:lineRule="auto"/>
              <w:jc w:val="center"/>
              <w:rPr>
                <w:sz w:val="24"/>
                <w:szCs w:val="24"/>
              </w:rPr>
            </w:pPr>
            <w:r w:rsidRPr="001828E2">
              <w:rPr>
                <w:sz w:val="24"/>
                <w:szCs w:val="24"/>
              </w:rPr>
              <w:t>127±1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51B39C" w14:textId="77777777" w:rsidR="00DD566D" w:rsidRPr="001828E2" w:rsidRDefault="00DD566D" w:rsidP="00C90B56">
            <w:pPr>
              <w:spacing w:before="80" w:after="80" w:line="276" w:lineRule="auto"/>
              <w:jc w:val="center"/>
              <w:rPr>
                <w:sz w:val="24"/>
                <w:szCs w:val="24"/>
              </w:rPr>
            </w:pPr>
            <w:r w:rsidRPr="001828E2">
              <w:rPr>
                <w:sz w:val="24"/>
                <w:szCs w:val="24"/>
              </w:rPr>
              <w:t>128±1</w:t>
            </w:r>
          </w:p>
        </w:tc>
      </w:tr>
    </w:tbl>
    <w:p w14:paraId="68F22524"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p>
    <w:p w14:paraId="2C87BB15" w14:textId="77777777" w:rsidR="00DD566D" w:rsidRDefault="00DD566D" w:rsidP="00DD566D">
      <w:pPr>
        <w:tabs>
          <w:tab w:val="left" w:pos="4536"/>
        </w:tabs>
        <w:spacing w:line="276" w:lineRule="auto"/>
        <w:ind w:firstLine="567"/>
        <w:jc w:val="both"/>
        <w:rPr>
          <w:rFonts w:eastAsia="Times New Roman" w:cs="Times New Roman"/>
          <w:sz w:val="24"/>
          <w:szCs w:val="24"/>
          <w:lang w:eastAsia="ru-RU"/>
        </w:rPr>
      </w:pPr>
    </w:p>
    <w:p w14:paraId="6E20E8C5" w14:textId="77777777" w:rsidR="00DD566D" w:rsidRDefault="00DD566D" w:rsidP="00DD566D">
      <w:pPr>
        <w:tabs>
          <w:tab w:val="left" w:pos="4536"/>
        </w:tabs>
        <w:spacing w:line="276" w:lineRule="auto"/>
        <w:ind w:firstLine="567"/>
        <w:jc w:val="both"/>
        <w:rPr>
          <w:rFonts w:eastAsia="Times New Roman" w:cs="Times New Roman"/>
          <w:sz w:val="24"/>
          <w:szCs w:val="24"/>
          <w:lang w:eastAsia="ru-RU"/>
        </w:rPr>
      </w:pPr>
    </w:p>
    <w:p w14:paraId="7F8ECD17" w14:textId="77777777" w:rsidR="00DD566D" w:rsidRDefault="00DD566D" w:rsidP="00DD566D">
      <w:pPr>
        <w:tabs>
          <w:tab w:val="left" w:pos="4536"/>
        </w:tabs>
        <w:spacing w:line="276" w:lineRule="auto"/>
        <w:ind w:firstLine="567"/>
        <w:jc w:val="both"/>
        <w:rPr>
          <w:rFonts w:eastAsia="Times New Roman" w:cs="Times New Roman"/>
          <w:sz w:val="24"/>
          <w:szCs w:val="24"/>
          <w:lang w:eastAsia="ru-RU"/>
        </w:rPr>
      </w:pPr>
    </w:p>
    <w:p w14:paraId="245EF18E" w14:textId="77777777" w:rsidR="00DD566D" w:rsidRPr="001828E2" w:rsidRDefault="00DD566D" w:rsidP="00DD566D">
      <w:pPr>
        <w:tabs>
          <w:tab w:val="left" w:pos="4536"/>
        </w:tabs>
        <w:spacing w:line="276" w:lineRule="auto"/>
        <w:ind w:firstLine="567"/>
        <w:jc w:val="both"/>
        <w:rPr>
          <w:rFonts w:eastAsia="Times New Roman" w:cs="Times New Roman"/>
          <w:b/>
          <w:bCs/>
          <w:sz w:val="24"/>
          <w:szCs w:val="24"/>
          <w:lang w:val="ru-RU" w:eastAsia="ru-RU"/>
        </w:rPr>
      </w:pPr>
      <w:r w:rsidRPr="001828E2">
        <w:rPr>
          <w:rFonts w:eastAsia="Times New Roman" w:cs="Times New Roman"/>
          <w:b/>
          <w:bCs/>
          <w:sz w:val="24"/>
          <w:szCs w:val="24"/>
          <w:lang w:eastAsia="ru-RU"/>
        </w:rPr>
        <w:t xml:space="preserve">Picture </w:t>
      </w:r>
      <w:r w:rsidRPr="001828E2">
        <w:rPr>
          <w:rFonts w:eastAsia="Times New Roman" w:cs="Times New Roman"/>
          <w:b/>
          <w:bCs/>
          <w:sz w:val="24"/>
          <w:szCs w:val="24"/>
          <w:lang w:val="ru-RU" w:eastAsia="ru-RU"/>
        </w:rPr>
        <w:t>№1</w:t>
      </w:r>
    </w:p>
    <w:p w14:paraId="6965945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ru-RU" w:eastAsia="ru-RU"/>
        </w:rPr>
      </w:pPr>
    </w:p>
    <w:p w14:paraId="78F90A46" w14:textId="77777777" w:rsidR="00DD566D" w:rsidRPr="001828E2" w:rsidRDefault="00DD566D" w:rsidP="00DD566D">
      <w:pPr>
        <w:tabs>
          <w:tab w:val="left" w:pos="4536"/>
        </w:tabs>
        <w:spacing w:line="276" w:lineRule="auto"/>
        <w:jc w:val="center"/>
        <w:rPr>
          <w:rFonts w:eastAsia="Times New Roman" w:cs="Times New Roman"/>
          <w:sz w:val="24"/>
          <w:szCs w:val="24"/>
          <w:lang w:val="uz-Cyrl-UZ" w:eastAsia="ru-RU"/>
        </w:rPr>
      </w:pPr>
      <w:r w:rsidRPr="001828E2">
        <w:rPr>
          <w:rFonts w:eastAsia="Times New Roman" w:cs="Times New Roman"/>
          <w:noProof/>
          <w:sz w:val="24"/>
          <w:szCs w:val="24"/>
          <w:lang w:val="ru-RU" w:eastAsia="ru-RU"/>
        </w:rPr>
        <w:lastRenderedPageBreak/>
        <w:drawing>
          <wp:inline distT="0" distB="0" distL="0" distR="0" wp14:anchorId="0FEE4E93" wp14:editId="444924E2">
            <wp:extent cx="5850467" cy="2654935"/>
            <wp:effectExtent l="0" t="0" r="0" b="0"/>
            <wp:docPr id="29"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rcRect/>
                    <a:stretch>
                      <a:fillRect/>
                    </a:stretch>
                  </pic:blipFill>
                  <pic:spPr bwMode="auto">
                    <a:xfrm>
                      <a:off x="0" y="0"/>
                      <a:ext cx="5858337" cy="2658507"/>
                    </a:xfrm>
                    <a:prstGeom prst="rect">
                      <a:avLst/>
                    </a:prstGeom>
                    <a:noFill/>
                  </pic:spPr>
                </pic:pic>
              </a:graphicData>
            </a:graphic>
          </wp:inline>
        </w:drawing>
      </w:r>
    </w:p>
    <w:p w14:paraId="050C0782"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val="uz-Cyrl-UZ" w:eastAsia="ru-RU"/>
        </w:rPr>
      </w:pPr>
    </w:p>
    <w:p w14:paraId="3988C53E" w14:textId="77777777" w:rsidR="00DD566D" w:rsidRDefault="00DD566D" w:rsidP="00DD566D">
      <w:pPr>
        <w:tabs>
          <w:tab w:val="left" w:pos="4536"/>
        </w:tabs>
        <w:spacing w:line="276" w:lineRule="auto"/>
        <w:ind w:firstLine="567"/>
        <w:jc w:val="both"/>
        <w:rPr>
          <w:rFonts w:eastAsia="Times New Roman" w:cs="Times New Roman"/>
          <w:sz w:val="24"/>
          <w:szCs w:val="24"/>
          <w:lang w:val="uz-Cyrl-UZ" w:eastAsia="ru-RU"/>
        </w:rPr>
        <w:sectPr w:rsidR="00DD566D" w:rsidSect="00995DC2">
          <w:type w:val="continuous"/>
          <w:pgSz w:w="11907" w:h="16840" w:code="9"/>
          <w:pgMar w:top="1418" w:right="1134" w:bottom="1134" w:left="1134" w:header="907" w:footer="794" w:gutter="0"/>
          <w:cols w:space="708"/>
          <w:docGrid w:linePitch="381"/>
        </w:sectPr>
      </w:pPr>
    </w:p>
    <w:p w14:paraId="4F03AC25"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At the same time, it should be noted that in patients of the main group, visual functions remained or decreased insignificantly after 6 months after the treatment, while in the control group, visual functions returned to baseline data.</w:t>
      </w:r>
    </w:p>
    <w:p w14:paraId="5AEFF25D" w14:textId="77777777" w:rsidR="00DD566D" w:rsidRPr="001828E2" w:rsidRDefault="00DD566D" w:rsidP="00DD566D">
      <w:pPr>
        <w:tabs>
          <w:tab w:val="left" w:pos="4536"/>
        </w:tabs>
        <w:spacing w:line="276" w:lineRule="auto"/>
        <w:ind w:firstLine="567"/>
        <w:jc w:val="both"/>
        <w:rPr>
          <w:rFonts w:eastAsia="Times New Roman" w:cs="Times New Roman"/>
          <w:b/>
          <w:sz w:val="24"/>
          <w:szCs w:val="24"/>
          <w:lang w:eastAsia="ru-RU"/>
        </w:rPr>
      </w:pPr>
      <w:r w:rsidRPr="001828E2">
        <w:rPr>
          <w:rFonts w:eastAsia="Times New Roman" w:cs="Times New Roman"/>
          <w:b/>
          <w:sz w:val="24"/>
          <w:szCs w:val="24"/>
          <w:lang w:eastAsia="ru-RU"/>
        </w:rPr>
        <w:t>Conclusion.</w:t>
      </w:r>
    </w:p>
    <w:p w14:paraId="4231BB58"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Thus, the use of the proposed complex of therapeutic measures using the peptide regula</w:t>
      </w:r>
      <w:r>
        <w:rPr>
          <w:rFonts w:eastAsia="Times New Roman" w:cs="Times New Roman"/>
          <w:sz w:val="24"/>
          <w:szCs w:val="24"/>
          <w:lang w:eastAsia="ru-RU"/>
        </w:rPr>
        <w:softHyphen/>
      </w:r>
      <w:r w:rsidRPr="001828E2">
        <w:rPr>
          <w:rFonts w:eastAsia="Times New Roman" w:cs="Times New Roman"/>
          <w:sz w:val="24"/>
          <w:szCs w:val="24"/>
          <w:lang w:eastAsia="ru-RU"/>
        </w:rPr>
        <w:t>tor gliatilin in patients with partial atrophy of the optic nerve made it possible to increase the stabilization of visual functions in patients in 83.3%, and also to learn about the long-term effects of this drug.</w:t>
      </w:r>
    </w:p>
    <w:p w14:paraId="08ECE57B" w14:textId="77777777" w:rsidR="00DD566D" w:rsidRPr="00B942EB" w:rsidRDefault="00DD566D" w:rsidP="00DD566D">
      <w:pPr>
        <w:tabs>
          <w:tab w:val="left" w:pos="4536"/>
        </w:tabs>
        <w:spacing w:line="276" w:lineRule="auto"/>
        <w:jc w:val="both"/>
        <w:rPr>
          <w:rFonts w:eastAsia="Times New Roman" w:cs="Times New Roman"/>
          <w:b/>
          <w:sz w:val="24"/>
          <w:szCs w:val="24"/>
          <w:lang w:eastAsia="ru-RU"/>
        </w:rPr>
      </w:pPr>
    </w:p>
    <w:p w14:paraId="032C503E" w14:textId="77777777" w:rsidR="00DD566D" w:rsidRPr="00B942EB" w:rsidRDefault="00DD566D" w:rsidP="00DD566D">
      <w:pPr>
        <w:tabs>
          <w:tab w:val="left" w:pos="4536"/>
        </w:tabs>
        <w:spacing w:line="276" w:lineRule="auto"/>
        <w:jc w:val="center"/>
        <w:rPr>
          <w:rFonts w:eastAsia="Times New Roman" w:cs="Times New Roman"/>
          <w:b/>
          <w:sz w:val="24"/>
          <w:szCs w:val="24"/>
          <w:lang w:eastAsia="ru-RU"/>
        </w:rPr>
      </w:pPr>
      <w:r w:rsidRPr="00B942EB">
        <w:rPr>
          <w:rFonts w:eastAsia="Times New Roman" w:cs="Times New Roman"/>
          <w:b/>
          <w:sz w:val="24"/>
          <w:szCs w:val="24"/>
          <w:lang w:eastAsia="ru-RU"/>
        </w:rPr>
        <w:t>LITERATURE</w:t>
      </w:r>
    </w:p>
    <w:p w14:paraId="560F029C" w14:textId="77777777" w:rsidR="00DD566D" w:rsidRPr="001828E2" w:rsidRDefault="00DD566D" w:rsidP="00DD566D">
      <w:pPr>
        <w:tabs>
          <w:tab w:val="left" w:pos="4536"/>
        </w:tabs>
        <w:spacing w:line="276" w:lineRule="auto"/>
        <w:jc w:val="center"/>
        <w:rPr>
          <w:rFonts w:eastAsia="Times New Roman" w:cs="Times New Roman"/>
          <w:b/>
          <w:sz w:val="24"/>
          <w:szCs w:val="24"/>
          <w:lang w:eastAsia="ru-RU"/>
        </w:rPr>
      </w:pPr>
    </w:p>
    <w:p w14:paraId="18E3FB56"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1. Kamenskikh T.G. Experimental</w:t>
      </w:r>
      <w:r w:rsidRPr="00B942EB">
        <w:rPr>
          <w:rFonts w:eastAsia="Times New Roman" w:cs="Times New Roman"/>
          <w:sz w:val="24"/>
          <w:szCs w:val="24"/>
          <w:lang w:eastAsia="ru-RU"/>
        </w:rPr>
        <w:t xml:space="preserve"> </w:t>
      </w:r>
      <w:r w:rsidRPr="001828E2">
        <w:rPr>
          <w:rFonts w:eastAsia="Times New Roman" w:cs="Times New Roman"/>
          <w:sz w:val="24"/>
          <w:szCs w:val="24"/>
          <w:lang w:eastAsia="ru-RU"/>
        </w:rPr>
        <w:t>body nerve. Abstract for the degree of Doctor of Medical Sciences // Samara, 2008. - P.4 - 6.</w:t>
      </w:r>
    </w:p>
    <w:p w14:paraId="7D2DC27E"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2. Libman E.S. The state and dynamics of blindness and disability due to the pathology of the organ of vision in Russia. 7 ophthalmol</w:t>
      </w:r>
      <w:r>
        <w:rPr>
          <w:rFonts w:eastAsia="Times New Roman" w:cs="Times New Roman"/>
          <w:sz w:val="24"/>
          <w:szCs w:val="24"/>
          <w:lang w:eastAsia="ru-RU"/>
        </w:rPr>
        <w:softHyphen/>
      </w:r>
      <w:r w:rsidRPr="001828E2">
        <w:rPr>
          <w:rFonts w:eastAsia="Times New Roman" w:cs="Times New Roman"/>
          <w:sz w:val="24"/>
          <w:szCs w:val="24"/>
          <w:lang w:eastAsia="ru-RU"/>
        </w:rPr>
        <w:t>ogists in Russia. // M., 2000. - v. 2. - 219p.</w:t>
      </w:r>
    </w:p>
    <w:p w14:paraId="5F8B5B13"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3. Nikiforov A.S. Neuroophthalmology // M., 2008. – p. 228</w:t>
      </w:r>
    </w:p>
    <w:p w14:paraId="0031D920"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4. Maksimov I.B., Moshetova L.K., Sa</w:t>
      </w:r>
      <w:r>
        <w:rPr>
          <w:rFonts w:eastAsia="Times New Roman" w:cs="Times New Roman"/>
          <w:sz w:val="24"/>
          <w:szCs w:val="24"/>
          <w:lang w:eastAsia="ru-RU"/>
        </w:rPr>
        <w:softHyphen/>
      </w:r>
      <w:r w:rsidRPr="001828E2">
        <w:rPr>
          <w:rFonts w:eastAsia="Times New Roman" w:cs="Times New Roman"/>
          <w:sz w:val="24"/>
          <w:szCs w:val="24"/>
          <w:lang w:eastAsia="ru-RU"/>
        </w:rPr>
        <w:t>vostyanova S.A. Retinalamin in the complex treatment of involutional chorioretinal dystro</w:t>
      </w:r>
      <w:r>
        <w:rPr>
          <w:rFonts w:eastAsia="Times New Roman" w:cs="Times New Roman"/>
          <w:sz w:val="24"/>
          <w:szCs w:val="24"/>
          <w:lang w:eastAsia="ru-RU"/>
        </w:rPr>
        <w:softHyphen/>
      </w:r>
      <w:r w:rsidRPr="001828E2">
        <w:rPr>
          <w:rFonts w:eastAsia="Times New Roman" w:cs="Times New Roman"/>
          <w:sz w:val="24"/>
          <w:szCs w:val="24"/>
          <w:lang w:eastAsia="ru-RU"/>
        </w:rPr>
        <w:t>phies // St. Petersburg, 2006. - P. 27</w:t>
      </w:r>
    </w:p>
    <w:p w14:paraId="13633F5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5. Nepomnyashchikh V.A. Cellular bio</w:t>
      </w:r>
      <w:r>
        <w:rPr>
          <w:rFonts w:eastAsia="Times New Roman" w:cs="Times New Roman"/>
          <w:sz w:val="24"/>
          <w:szCs w:val="24"/>
          <w:lang w:eastAsia="ru-RU"/>
        </w:rPr>
        <w:softHyphen/>
      </w:r>
      <w:r w:rsidRPr="001828E2">
        <w:rPr>
          <w:rFonts w:eastAsia="Times New Roman" w:cs="Times New Roman"/>
          <w:sz w:val="24"/>
          <w:szCs w:val="24"/>
          <w:lang w:eastAsia="ru-RU"/>
        </w:rPr>
        <w:t>regulators in the complex therapy of eye dis</w:t>
      </w:r>
      <w:r>
        <w:rPr>
          <w:rFonts w:eastAsia="Times New Roman" w:cs="Times New Roman"/>
          <w:sz w:val="24"/>
          <w:szCs w:val="24"/>
          <w:lang w:eastAsia="ru-RU"/>
        </w:rPr>
        <w:softHyphen/>
      </w:r>
      <w:r w:rsidRPr="001828E2">
        <w:rPr>
          <w:rFonts w:eastAsia="Times New Roman" w:cs="Times New Roman"/>
          <w:sz w:val="24"/>
          <w:szCs w:val="24"/>
          <w:lang w:eastAsia="ru-RU"/>
        </w:rPr>
        <w:t>eases. Monograph M.: RegBioMed, 2010.-P. 6</w:t>
      </w:r>
    </w:p>
    <w:p w14:paraId="6181FEF1"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6. Gavaa Luvsan. Traditional and mod</w:t>
      </w:r>
      <w:r>
        <w:rPr>
          <w:rFonts w:eastAsia="Times New Roman" w:cs="Times New Roman"/>
          <w:sz w:val="24"/>
          <w:szCs w:val="24"/>
          <w:lang w:eastAsia="ru-RU"/>
        </w:rPr>
        <w:softHyphen/>
      </w:r>
      <w:r w:rsidRPr="001828E2">
        <w:rPr>
          <w:rFonts w:eastAsia="Times New Roman" w:cs="Times New Roman"/>
          <w:sz w:val="24"/>
          <w:szCs w:val="24"/>
          <w:lang w:eastAsia="ru-RU"/>
        </w:rPr>
        <w:t>ern aspects of oriental reflexology. 3 152</w:t>
      </w:r>
    </w:p>
    <w:p w14:paraId="531E41F1"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7. Acupuncture // Edited by Hoang Bao Chau, La Quang Niep; Per. with viet. P.I. Aleshina // M.: Medicine, 1989. - S. 454</w:t>
      </w:r>
    </w:p>
    <w:p w14:paraId="4AD4972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8. Yartseva N.S., Deev L.A., Pavlov V.A. Ophthalmic Diagnosis of the Pathology of the Optic Nerve and the Brain: Educational</w:t>
      </w:r>
    </w:p>
    <w:p w14:paraId="58B7ED37"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Toolkit. // Smolensk: SGMA, 2004. - P.47</w:t>
      </w:r>
    </w:p>
    <w:p w14:paraId="23143159" w14:textId="77777777" w:rsidR="00DD566D" w:rsidRPr="001828E2" w:rsidRDefault="00DD566D" w:rsidP="00DD566D">
      <w:pPr>
        <w:tabs>
          <w:tab w:val="left" w:pos="4536"/>
        </w:tabs>
        <w:spacing w:line="276" w:lineRule="auto"/>
        <w:ind w:firstLine="567"/>
        <w:jc w:val="both"/>
        <w:rPr>
          <w:rFonts w:eastAsia="Times New Roman" w:cs="Times New Roman"/>
          <w:sz w:val="24"/>
          <w:szCs w:val="24"/>
          <w:lang w:eastAsia="ru-RU"/>
        </w:rPr>
      </w:pPr>
      <w:r w:rsidRPr="001828E2">
        <w:rPr>
          <w:rFonts w:eastAsia="Times New Roman" w:cs="Times New Roman"/>
          <w:sz w:val="24"/>
          <w:szCs w:val="24"/>
          <w:lang w:eastAsia="ru-RU"/>
        </w:rPr>
        <w:t>9. Duginov A.G., Ioileva E.E., Shatskikh A.V., Zelntsov S.N., Didenko T.V. experi</w:t>
      </w:r>
      <w:r>
        <w:rPr>
          <w:rFonts w:eastAsia="Times New Roman" w:cs="Times New Roman"/>
          <w:sz w:val="24"/>
          <w:szCs w:val="24"/>
          <w:lang w:eastAsia="ru-RU"/>
        </w:rPr>
        <w:softHyphen/>
      </w:r>
      <w:r w:rsidRPr="001828E2">
        <w:rPr>
          <w:rFonts w:eastAsia="Times New Roman" w:cs="Times New Roman"/>
          <w:sz w:val="24"/>
          <w:szCs w:val="24"/>
          <w:lang w:eastAsia="ru-RU"/>
        </w:rPr>
        <w:t>mental</w:t>
      </w:r>
      <w:r w:rsidRPr="00B942EB">
        <w:rPr>
          <w:rFonts w:eastAsia="Times New Roman" w:cs="Times New Roman"/>
          <w:sz w:val="24"/>
          <w:szCs w:val="24"/>
          <w:lang w:eastAsia="ru-RU"/>
        </w:rPr>
        <w:t xml:space="preserve"> </w:t>
      </w:r>
      <w:r w:rsidRPr="001828E2">
        <w:rPr>
          <w:rFonts w:eastAsia="Times New Roman" w:cs="Times New Roman"/>
          <w:sz w:val="24"/>
          <w:szCs w:val="24"/>
          <w:lang w:eastAsia="ru-RU"/>
        </w:rPr>
        <w:t>combined method of treatment of par</w:t>
      </w:r>
      <w:r>
        <w:rPr>
          <w:rFonts w:eastAsia="Times New Roman" w:cs="Times New Roman"/>
          <w:sz w:val="24"/>
          <w:szCs w:val="24"/>
          <w:lang w:eastAsia="ru-RU"/>
        </w:rPr>
        <w:softHyphen/>
      </w:r>
      <w:r w:rsidRPr="001828E2">
        <w:rPr>
          <w:rFonts w:eastAsia="Times New Roman" w:cs="Times New Roman"/>
          <w:sz w:val="24"/>
          <w:szCs w:val="24"/>
          <w:lang w:eastAsia="ru-RU"/>
        </w:rPr>
        <w:t>tial atrophy of the optic nerve // ​​Ophthalmosur</w:t>
      </w:r>
      <w:r>
        <w:rPr>
          <w:rFonts w:eastAsia="Times New Roman" w:cs="Times New Roman"/>
          <w:sz w:val="24"/>
          <w:szCs w:val="24"/>
          <w:lang w:eastAsia="ru-RU"/>
        </w:rPr>
        <w:softHyphen/>
      </w:r>
      <w:r w:rsidRPr="001828E2">
        <w:rPr>
          <w:rFonts w:eastAsia="Times New Roman" w:cs="Times New Roman"/>
          <w:sz w:val="24"/>
          <w:szCs w:val="24"/>
          <w:lang w:eastAsia="ru-RU"/>
        </w:rPr>
        <w:t>gery, 2008. - №5. – p.24</w:t>
      </w:r>
    </w:p>
    <w:p w14:paraId="58B5D90E" w14:textId="77777777" w:rsidR="00DD566D" w:rsidRDefault="00DD566D" w:rsidP="00DD566D">
      <w:pPr>
        <w:spacing w:line="276" w:lineRule="auto"/>
        <w:ind w:firstLine="567"/>
        <w:jc w:val="both"/>
        <w:rPr>
          <w:rFonts w:cs="Times New Roman"/>
          <w:sz w:val="24"/>
          <w:szCs w:val="24"/>
          <w:lang w:val="uz-Cyrl-UZ"/>
        </w:rPr>
        <w:sectPr w:rsidR="00DD566D" w:rsidSect="00B942EB">
          <w:type w:val="continuous"/>
          <w:pgSz w:w="11907" w:h="16840" w:code="9"/>
          <w:pgMar w:top="1418" w:right="1134" w:bottom="1134" w:left="1134" w:header="907" w:footer="794" w:gutter="0"/>
          <w:cols w:num="2" w:space="708"/>
          <w:docGrid w:linePitch="381"/>
        </w:sectPr>
      </w:pPr>
    </w:p>
    <w:p w14:paraId="5354D0FE" w14:textId="77777777" w:rsidR="00DD566D" w:rsidRPr="00583B29" w:rsidRDefault="00DD566D" w:rsidP="00DD566D">
      <w:pPr>
        <w:spacing w:line="276" w:lineRule="auto"/>
        <w:ind w:firstLine="567"/>
        <w:jc w:val="both"/>
        <w:rPr>
          <w:rFonts w:cs="Times New Roman"/>
          <w:sz w:val="24"/>
          <w:szCs w:val="24"/>
          <w:lang w:val="uz-Cyrl-UZ"/>
        </w:rPr>
      </w:pPr>
    </w:p>
    <w:p w14:paraId="77E2711E" w14:textId="77777777" w:rsidR="00DD566D" w:rsidRPr="00583B29" w:rsidRDefault="00DD566D" w:rsidP="00DD566D">
      <w:pPr>
        <w:spacing w:line="276" w:lineRule="auto"/>
        <w:ind w:firstLine="567"/>
        <w:jc w:val="both"/>
        <w:rPr>
          <w:rFonts w:cs="Times New Roman"/>
          <w:sz w:val="24"/>
          <w:szCs w:val="24"/>
          <w:lang w:val="uz-Latn-UZ"/>
        </w:rPr>
      </w:pPr>
    </w:p>
    <w:p w14:paraId="451A8BBA" w14:textId="77777777" w:rsidR="00DD566D" w:rsidRPr="00583B29" w:rsidRDefault="00DD566D" w:rsidP="00DD566D">
      <w:pPr>
        <w:spacing w:line="276" w:lineRule="auto"/>
        <w:ind w:firstLine="567"/>
        <w:jc w:val="both"/>
        <w:rPr>
          <w:rFonts w:cs="Times New Roman"/>
          <w:sz w:val="24"/>
          <w:szCs w:val="24"/>
          <w:lang w:val="uz-Latn-UZ"/>
        </w:rPr>
      </w:pPr>
    </w:p>
    <w:p w14:paraId="266F33EA" w14:textId="77777777" w:rsidR="00DD566D" w:rsidRPr="00583B29" w:rsidRDefault="00DD566D" w:rsidP="00DD566D">
      <w:pPr>
        <w:spacing w:line="276" w:lineRule="auto"/>
        <w:ind w:firstLine="567"/>
        <w:jc w:val="both"/>
        <w:rPr>
          <w:rFonts w:cs="Times New Roman"/>
          <w:sz w:val="24"/>
          <w:szCs w:val="24"/>
          <w:lang w:val="uz-Latn-UZ"/>
        </w:rPr>
      </w:pPr>
    </w:p>
    <w:p w14:paraId="13276D94" w14:textId="77777777" w:rsidR="00DD566D" w:rsidRPr="00B62084" w:rsidRDefault="00DD566D" w:rsidP="00DD566D">
      <w:pPr>
        <w:pStyle w:val="1"/>
        <w:spacing w:line="360" w:lineRule="auto"/>
        <w:rPr>
          <w:rFonts w:eastAsia="Calibri"/>
        </w:rPr>
      </w:pPr>
      <w:bookmarkStart w:id="12" w:name="_Toc104745757"/>
      <w:r w:rsidRPr="00B62084">
        <w:rPr>
          <w:rFonts w:eastAsia="Calibri"/>
        </w:rPr>
        <w:t>CLINICAL-NEUROLOGICAL AND DOPPLEROGRAPHIC INDICATIONS IN ATHEROMBOTIC ISCHEMIC STROKE</w:t>
      </w:r>
      <w:bookmarkEnd w:id="12"/>
    </w:p>
    <w:p w14:paraId="6AA38AE0" w14:textId="77777777" w:rsidR="00DD566D" w:rsidRPr="00B62084" w:rsidRDefault="00DD566D" w:rsidP="00DD566D">
      <w:pPr>
        <w:spacing w:line="360" w:lineRule="auto"/>
        <w:ind w:firstLine="567"/>
        <w:jc w:val="both"/>
        <w:rPr>
          <w:rFonts w:eastAsia="Calibri" w:cs="Times New Roman"/>
          <w:sz w:val="24"/>
          <w:szCs w:val="24"/>
        </w:rPr>
      </w:pPr>
    </w:p>
    <w:p w14:paraId="1F13917D" w14:textId="77777777" w:rsidR="00DD566D" w:rsidRPr="00B62084" w:rsidRDefault="00DD566D" w:rsidP="00DD566D">
      <w:pPr>
        <w:spacing w:line="360" w:lineRule="auto"/>
        <w:jc w:val="center"/>
        <w:rPr>
          <w:rFonts w:eastAsia="Calibri" w:cs="Times New Roman"/>
          <w:b/>
          <w:bCs/>
          <w:sz w:val="24"/>
          <w:szCs w:val="24"/>
          <w:lang w:val="uz-Cyrl-UZ"/>
        </w:rPr>
      </w:pPr>
      <w:r w:rsidRPr="00B62084">
        <w:rPr>
          <w:rFonts w:eastAsia="Calibri" w:cs="Times New Roman"/>
          <w:b/>
          <w:bCs/>
          <w:sz w:val="24"/>
          <w:szCs w:val="24"/>
          <w:lang w:val="uz-Cyrl-UZ"/>
        </w:rPr>
        <w:t>Vahobova N.М.</w:t>
      </w:r>
      <w:r w:rsidRPr="00B62084">
        <w:rPr>
          <w:rFonts w:eastAsia="Calibri" w:cs="Times New Roman"/>
          <w:b/>
          <w:bCs/>
          <w:sz w:val="24"/>
          <w:szCs w:val="24"/>
        </w:rPr>
        <w:t xml:space="preserve">, </w:t>
      </w:r>
      <w:r w:rsidRPr="00B62084">
        <w:rPr>
          <w:rFonts w:eastAsia="Calibri" w:cs="Times New Roman"/>
          <w:b/>
          <w:bCs/>
          <w:sz w:val="24"/>
          <w:szCs w:val="24"/>
          <w:lang w:val="uz-Cyrl-UZ"/>
        </w:rPr>
        <w:t>Abduvahobov А.А.</w:t>
      </w:r>
    </w:p>
    <w:p w14:paraId="4CC12148" w14:textId="77777777" w:rsidR="00DD566D" w:rsidRPr="00B62084" w:rsidRDefault="00DD566D" w:rsidP="00DD566D">
      <w:pPr>
        <w:spacing w:line="360" w:lineRule="auto"/>
        <w:jc w:val="center"/>
        <w:rPr>
          <w:rFonts w:eastAsia="Calibri" w:cs="Times New Roman"/>
          <w:sz w:val="24"/>
          <w:szCs w:val="24"/>
          <w:lang w:val="uz-Cyrl-UZ"/>
        </w:rPr>
      </w:pPr>
      <w:r w:rsidRPr="00B62084">
        <w:rPr>
          <w:rFonts w:eastAsia="Calibri" w:cs="Times New Roman"/>
          <w:sz w:val="24"/>
          <w:szCs w:val="24"/>
          <w:lang w:val="uz-Cyrl-UZ"/>
        </w:rPr>
        <w:t>Tashkent medical academy</w:t>
      </w:r>
    </w:p>
    <w:p w14:paraId="28269BD4" w14:textId="77777777" w:rsidR="00DD566D" w:rsidRPr="00B62084" w:rsidRDefault="00DD566D" w:rsidP="00DD566D">
      <w:pPr>
        <w:spacing w:line="360" w:lineRule="auto"/>
        <w:jc w:val="center"/>
        <w:rPr>
          <w:rFonts w:eastAsia="Calibri" w:cs="Times New Roman"/>
          <w:sz w:val="24"/>
          <w:szCs w:val="24"/>
          <w:lang w:val="uz-Cyrl-UZ"/>
        </w:rPr>
      </w:pPr>
      <w:r w:rsidRPr="00B62084">
        <w:rPr>
          <w:rFonts w:eastAsia="Calibri" w:cs="Times New Roman"/>
          <w:sz w:val="24"/>
          <w:szCs w:val="24"/>
          <w:lang w:val="uz-Cyrl-UZ"/>
        </w:rPr>
        <w:t>Tashkent, Uzbekistan</w:t>
      </w:r>
    </w:p>
    <w:p w14:paraId="6C34D13B" w14:textId="77777777" w:rsidR="00DD566D" w:rsidRPr="00B62084" w:rsidRDefault="00DD566D" w:rsidP="00DD566D">
      <w:pPr>
        <w:spacing w:line="360" w:lineRule="auto"/>
        <w:ind w:firstLine="567"/>
        <w:jc w:val="both"/>
        <w:rPr>
          <w:rFonts w:eastAsia="Calibri" w:cs="Times New Roman"/>
          <w:sz w:val="24"/>
          <w:szCs w:val="24"/>
          <w:lang w:val="uz-Cyrl-UZ"/>
        </w:rPr>
      </w:pPr>
    </w:p>
    <w:p w14:paraId="414BADA2" w14:textId="77777777" w:rsidR="00DD566D" w:rsidRDefault="00DD566D" w:rsidP="00DD566D">
      <w:pPr>
        <w:spacing w:line="360" w:lineRule="auto"/>
        <w:ind w:firstLine="567"/>
        <w:jc w:val="both"/>
        <w:rPr>
          <w:rFonts w:eastAsia="Calibri" w:cs="Times New Roman"/>
          <w:b/>
          <w:bCs/>
          <w:sz w:val="24"/>
          <w:szCs w:val="24"/>
          <w:lang w:val="uz-Cyrl-UZ"/>
        </w:rPr>
        <w:sectPr w:rsidR="00DD566D" w:rsidSect="00995DC2">
          <w:type w:val="continuous"/>
          <w:pgSz w:w="11907" w:h="16840" w:code="9"/>
          <w:pgMar w:top="1418" w:right="1134" w:bottom="1134" w:left="1134" w:header="907" w:footer="794" w:gutter="0"/>
          <w:cols w:space="708"/>
          <w:docGrid w:linePitch="381"/>
        </w:sectPr>
      </w:pPr>
    </w:p>
    <w:p w14:paraId="0F50FA98" w14:textId="77777777" w:rsidR="00DD566D" w:rsidRPr="00B62084" w:rsidRDefault="00DD566D" w:rsidP="00DD566D">
      <w:pPr>
        <w:spacing w:line="360" w:lineRule="auto"/>
        <w:ind w:firstLine="567"/>
        <w:jc w:val="both"/>
        <w:rPr>
          <w:rFonts w:eastAsia="Calibri" w:cs="Times New Roman"/>
          <w:sz w:val="24"/>
          <w:szCs w:val="24"/>
        </w:rPr>
      </w:pPr>
      <w:r w:rsidRPr="00B62084">
        <w:rPr>
          <w:rFonts w:eastAsia="Calibri" w:cs="Times New Roman"/>
          <w:b/>
          <w:bCs/>
          <w:sz w:val="24"/>
          <w:szCs w:val="24"/>
        </w:rPr>
        <w:t>The aim of the study</w:t>
      </w:r>
      <w:r w:rsidRPr="00B62084">
        <w:rPr>
          <w:rFonts w:eastAsia="Calibri" w:cs="Times New Roman"/>
          <w:b/>
          <w:sz w:val="24"/>
          <w:szCs w:val="24"/>
        </w:rPr>
        <w:t xml:space="preserve">: </w:t>
      </w:r>
      <w:r w:rsidRPr="00B62084">
        <w:rPr>
          <w:rFonts w:eastAsia="Calibri" w:cs="Times New Roman"/>
          <w:sz w:val="24"/>
          <w:szCs w:val="24"/>
        </w:rPr>
        <w:t>Study of clinical-neurological and dopplerographic features in atherombotic ischemic stroke.</w:t>
      </w:r>
    </w:p>
    <w:p w14:paraId="30AA4B6C" w14:textId="77777777" w:rsidR="00DD566D" w:rsidRPr="00B62084" w:rsidRDefault="00DD566D" w:rsidP="00DD566D">
      <w:pPr>
        <w:spacing w:line="360" w:lineRule="auto"/>
        <w:ind w:firstLine="567"/>
        <w:jc w:val="both"/>
        <w:rPr>
          <w:rFonts w:eastAsia="Calibri" w:cs="Times New Roman"/>
          <w:sz w:val="24"/>
          <w:szCs w:val="24"/>
        </w:rPr>
      </w:pPr>
      <w:r w:rsidRPr="00B62084">
        <w:rPr>
          <w:rFonts w:eastAsia="Calibri" w:cs="Times New Roman"/>
          <w:b/>
          <w:bCs/>
          <w:sz w:val="24"/>
          <w:szCs w:val="24"/>
        </w:rPr>
        <w:t>Research material and research meth</w:t>
      </w:r>
      <w:r>
        <w:rPr>
          <w:rFonts w:eastAsia="Calibri" w:cs="Times New Roman"/>
          <w:b/>
          <w:bCs/>
          <w:sz w:val="24"/>
          <w:szCs w:val="24"/>
        </w:rPr>
        <w:softHyphen/>
      </w:r>
      <w:r w:rsidRPr="00B62084">
        <w:rPr>
          <w:rFonts w:eastAsia="Calibri" w:cs="Times New Roman"/>
          <w:b/>
          <w:bCs/>
          <w:sz w:val="24"/>
          <w:szCs w:val="24"/>
        </w:rPr>
        <w:t>ods</w:t>
      </w:r>
      <w:r w:rsidRPr="00B62084">
        <w:rPr>
          <w:rFonts w:eastAsia="Calibri" w:cs="Times New Roman"/>
          <w:b/>
          <w:sz w:val="24"/>
          <w:szCs w:val="24"/>
        </w:rPr>
        <w:t xml:space="preserve">: </w:t>
      </w:r>
      <w:r w:rsidRPr="00B62084">
        <w:rPr>
          <w:rFonts w:eastAsia="Calibri" w:cs="Times New Roman"/>
          <w:sz w:val="24"/>
          <w:szCs w:val="24"/>
        </w:rPr>
        <w:t>62 patients were selected for the study. They were divided into two groups: group I consisted of 32 patients with ischemic stroke and anamnesis with stenosis on dopplero</w:t>
      </w:r>
      <w:r>
        <w:rPr>
          <w:rFonts w:eastAsia="Calibri" w:cs="Times New Roman"/>
          <w:sz w:val="24"/>
          <w:szCs w:val="24"/>
        </w:rPr>
        <w:softHyphen/>
      </w:r>
      <w:r w:rsidRPr="00B62084">
        <w:rPr>
          <w:rFonts w:eastAsia="Calibri" w:cs="Times New Roman"/>
          <w:sz w:val="24"/>
          <w:szCs w:val="24"/>
        </w:rPr>
        <w:t>graphic examination, and group II with 30 pa</w:t>
      </w:r>
      <w:r>
        <w:rPr>
          <w:rFonts w:eastAsia="Calibri" w:cs="Times New Roman"/>
          <w:sz w:val="24"/>
          <w:szCs w:val="24"/>
        </w:rPr>
        <w:softHyphen/>
      </w:r>
      <w:r w:rsidRPr="00B62084">
        <w:rPr>
          <w:rFonts w:eastAsia="Calibri" w:cs="Times New Roman"/>
          <w:sz w:val="24"/>
          <w:szCs w:val="24"/>
        </w:rPr>
        <w:t>tients without stenosis on dopplerographic ex</w:t>
      </w:r>
      <w:r>
        <w:rPr>
          <w:rFonts w:eastAsia="Calibri" w:cs="Times New Roman"/>
          <w:sz w:val="24"/>
          <w:szCs w:val="24"/>
        </w:rPr>
        <w:softHyphen/>
      </w:r>
      <w:r w:rsidRPr="00B62084">
        <w:rPr>
          <w:rFonts w:eastAsia="Calibri" w:cs="Times New Roman"/>
          <w:sz w:val="24"/>
          <w:szCs w:val="24"/>
        </w:rPr>
        <w:t>amination with ischemic stroke. NIHSS scale and dopplerographic examinations were per</w:t>
      </w:r>
      <w:r>
        <w:rPr>
          <w:rFonts w:eastAsia="Calibri" w:cs="Times New Roman"/>
          <w:sz w:val="24"/>
          <w:szCs w:val="24"/>
        </w:rPr>
        <w:softHyphen/>
      </w:r>
      <w:r w:rsidRPr="00B62084">
        <w:rPr>
          <w:rFonts w:eastAsia="Calibri" w:cs="Times New Roman"/>
          <w:sz w:val="24"/>
          <w:szCs w:val="24"/>
        </w:rPr>
        <w:t>formed in all patients selected for the study.</w:t>
      </w:r>
    </w:p>
    <w:p w14:paraId="101C3C8A" w14:textId="77777777" w:rsidR="00DD566D" w:rsidRPr="00B62084" w:rsidRDefault="00DD566D" w:rsidP="00DD566D">
      <w:pPr>
        <w:spacing w:line="360" w:lineRule="auto"/>
        <w:ind w:firstLine="567"/>
        <w:jc w:val="both"/>
        <w:rPr>
          <w:rFonts w:eastAsia="Calibri" w:cs="Times New Roman"/>
          <w:sz w:val="24"/>
          <w:szCs w:val="24"/>
        </w:rPr>
      </w:pPr>
      <w:r w:rsidRPr="00B62084">
        <w:rPr>
          <w:rFonts w:eastAsia="Calibri" w:cs="Times New Roman"/>
          <w:b/>
          <w:sz w:val="24"/>
          <w:szCs w:val="24"/>
        </w:rPr>
        <w:t>Results:</w:t>
      </w:r>
      <w:r w:rsidRPr="00B62084">
        <w:rPr>
          <w:rFonts w:eastAsia="Calibri" w:cs="Times New Roman"/>
          <w:sz w:val="24"/>
          <w:szCs w:val="24"/>
        </w:rPr>
        <w:t xml:space="preserve"> When analyzing the age and sex of all patients in the study, the average age of first group was 67.4±2.3, of which the propor</w:t>
      </w:r>
      <w:r>
        <w:rPr>
          <w:rFonts w:eastAsia="Calibri" w:cs="Times New Roman"/>
          <w:sz w:val="24"/>
          <w:szCs w:val="24"/>
        </w:rPr>
        <w:softHyphen/>
      </w:r>
      <w:r w:rsidRPr="00B62084">
        <w:rPr>
          <w:rFonts w:eastAsia="Calibri" w:cs="Times New Roman"/>
          <w:sz w:val="24"/>
          <w:szCs w:val="24"/>
        </w:rPr>
        <w:t>tion of men and women were  56.2% (n=18); 43.8% (n=14) respectively. The average age of second group was 63.1±2.3, with the propor</w:t>
      </w:r>
      <w:r>
        <w:rPr>
          <w:rFonts w:eastAsia="Calibri" w:cs="Times New Roman"/>
          <w:sz w:val="24"/>
          <w:szCs w:val="24"/>
        </w:rPr>
        <w:softHyphen/>
      </w:r>
      <w:r w:rsidRPr="00B62084">
        <w:rPr>
          <w:rFonts w:eastAsia="Calibri" w:cs="Times New Roman"/>
          <w:sz w:val="24"/>
          <w:szCs w:val="24"/>
        </w:rPr>
        <w:t>tion of males being 63.3% (n=19) and females being 36.6% (n=11). The mean severity of is</w:t>
      </w:r>
      <w:r>
        <w:rPr>
          <w:rFonts w:eastAsia="Calibri" w:cs="Times New Roman"/>
          <w:sz w:val="24"/>
          <w:szCs w:val="24"/>
        </w:rPr>
        <w:softHyphen/>
      </w:r>
      <w:r w:rsidRPr="00B62084">
        <w:rPr>
          <w:rFonts w:eastAsia="Calibri" w:cs="Times New Roman"/>
          <w:sz w:val="24"/>
          <w:szCs w:val="24"/>
        </w:rPr>
        <w:t>chemic stroke in patients on the NIHSS scale averaged 23.68 ± 6.26 in group I and 16.13 ± 8.16 in group II. The results of our month-long study showed that among patients in first group (n=32) the mortality rate was 12.5% (n=4), the incidence of disability was 53.1% (n=17) and 34.4% (n=11) patients were discharged from the hospital with positive results. No deaths were observed among patients in second group (n=30), but the incidence of disability was 26.6% (n=8) and 73.3% (n=22) patients were out of the hospital with positive results.</w:t>
      </w:r>
    </w:p>
    <w:p w14:paraId="264B267E" w14:textId="77777777" w:rsidR="00DD566D" w:rsidRPr="00B62084" w:rsidRDefault="00DD566D" w:rsidP="00DD566D">
      <w:pPr>
        <w:spacing w:line="360" w:lineRule="auto"/>
        <w:ind w:firstLine="567"/>
        <w:jc w:val="both"/>
        <w:rPr>
          <w:rFonts w:eastAsia="Calibri" w:cs="Times New Roman"/>
          <w:sz w:val="24"/>
          <w:szCs w:val="24"/>
        </w:rPr>
      </w:pPr>
      <w:r w:rsidRPr="00B62084">
        <w:rPr>
          <w:rFonts w:eastAsia="Calibri" w:cs="Times New Roman"/>
          <w:b/>
          <w:sz w:val="24"/>
          <w:szCs w:val="24"/>
        </w:rPr>
        <w:t>Conclusions:</w:t>
      </w:r>
      <w:r w:rsidRPr="00B62084">
        <w:rPr>
          <w:rFonts w:eastAsia="Calibri" w:cs="Times New Roman"/>
          <w:sz w:val="24"/>
          <w:szCs w:val="24"/>
        </w:rPr>
        <w:t xml:space="preserve"> In the analysis of patients selected for the study on the NIHSS scale, the severity of stroke was 1.5 times higher in group I and 2 times higher than in group II, and the mortality rate in group I was 12.5%.</w:t>
      </w:r>
    </w:p>
    <w:p w14:paraId="2C1077A2" w14:textId="77777777" w:rsidR="00DD566D" w:rsidRDefault="00DD566D" w:rsidP="00DD566D">
      <w:pPr>
        <w:spacing w:line="276" w:lineRule="auto"/>
        <w:ind w:firstLine="567"/>
        <w:jc w:val="both"/>
        <w:rPr>
          <w:rFonts w:cs="Times New Roman"/>
          <w:sz w:val="24"/>
          <w:szCs w:val="24"/>
          <w:lang w:val="uz-Cyrl-UZ"/>
        </w:rPr>
        <w:sectPr w:rsidR="00DD566D" w:rsidSect="00B62084">
          <w:type w:val="continuous"/>
          <w:pgSz w:w="11907" w:h="16840" w:code="9"/>
          <w:pgMar w:top="1418" w:right="1134" w:bottom="1134" w:left="1134" w:header="907" w:footer="794" w:gutter="0"/>
          <w:cols w:num="2" w:space="708"/>
          <w:docGrid w:linePitch="381"/>
        </w:sectPr>
      </w:pPr>
    </w:p>
    <w:p w14:paraId="0ECA3CC0" w14:textId="77777777" w:rsidR="00DD566D" w:rsidRPr="00B62084" w:rsidRDefault="00DD566D" w:rsidP="00DD566D">
      <w:pPr>
        <w:spacing w:line="276" w:lineRule="auto"/>
        <w:ind w:firstLine="567"/>
        <w:jc w:val="both"/>
        <w:rPr>
          <w:rFonts w:cs="Times New Roman"/>
          <w:sz w:val="24"/>
          <w:szCs w:val="24"/>
          <w:lang w:val="uz-Cyrl-UZ"/>
        </w:rPr>
      </w:pPr>
    </w:p>
    <w:p w14:paraId="7F893C61" w14:textId="77777777" w:rsidR="00DD566D" w:rsidRPr="00583B29" w:rsidRDefault="00DD566D" w:rsidP="00DD566D">
      <w:pPr>
        <w:spacing w:line="276" w:lineRule="auto"/>
        <w:ind w:firstLine="567"/>
        <w:jc w:val="both"/>
        <w:rPr>
          <w:rFonts w:cs="Times New Roman"/>
          <w:sz w:val="24"/>
          <w:szCs w:val="24"/>
          <w:lang w:val="uz-Latn-UZ"/>
        </w:rPr>
      </w:pPr>
    </w:p>
    <w:p w14:paraId="4EDE6301" w14:textId="77777777" w:rsidR="00DD566D" w:rsidRDefault="00DD566D" w:rsidP="00DD566D">
      <w:pPr>
        <w:ind w:firstLine="567"/>
        <w:jc w:val="both"/>
        <w:rPr>
          <w:sz w:val="24"/>
          <w:lang w:val="uz-Latn-UZ"/>
        </w:rPr>
      </w:pPr>
    </w:p>
    <w:p w14:paraId="4488EA51" w14:textId="77777777" w:rsidR="00DD566D" w:rsidRDefault="00DD566D" w:rsidP="00DD566D">
      <w:pPr>
        <w:ind w:firstLine="567"/>
        <w:jc w:val="both"/>
        <w:rPr>
          <w:sz w:val="24"/>
          <w:lang w:val="uz-Latn-UZ"/>
        </w:rPr>
      </w:pPr>
    </w:p>
    <w:p w14:paraId="5391EDCE" w14:textId="77777777" w:rsidR="00DD566D" w:rsidRDefault="00DD566D" w:rsidP="00DD566D">
      <w:pPr>
        <w:ind w:firstLine="567"/>
        <w:jc w:val="both"/>
        <w:rPr>
          <w:sz w:val="24"/>
          <w:lang w:val="uz-Latn-UZ"/>
        </w:rPr>
      </w:pPr>
    </w:p>
    <w:p w14:paraId="205CE383" w14:textId="77777777" w:rsidR="00DD566D" w:rsidRDefault="00DD566D" w:rsidP="00DD566D">
      <w:pPr>
        <w:ind w:firstLine="567"/>
        <w:jc w:val="both"/>
        <w:rPr>
          <w:sz w:val="24"/>
          <w:lang w:val="uz-Latn-UZ"/>
        </w:rPr>
      </w:pPr>
    </w:p>
    <w:p w14:paraId="2690CCBE" w14:textId="77777777" w:rsidR="00DD566D" w:rsidRDefault="00DD566D" w:rsidP="00DD566D">
      <w:pPr>
        <w:ind w:firstLine="567"/>
        <w:jc w:val="both"/>
        <w:rPr>
          <w:sz w:val="24"/>
          <w:lang w:val="uz-Latn-UZ"/>
        </w:rPr>
      </w:pPr>
    </w:p>
    <w:p w14:paraId="1C0B58B0" w14:textId="77777777" w:rsidR="00DD566D" w:rsidRDefault="00DD566D" w:rsidP="00DD566D">
      <w:pPr>
        <w:ind w:firstLine="567"/>
        <w:jc w:val="both"/>
        <w:rPr>
          <w:sz w:val="24"/>
          <w:lang w:val="uz-Latn-UZ"/>
        </w:rPr>
      </w:pPr>
    </w:p>
    <w:p w14:paraId="7A560C3C" w14:textId="77777777" w:rsidR="00DD566D" w:rsidRDefault="00DD566D" w:rsidP="00DD566D">
      <w:pPr>
        <w:ind w:firstLine="567"/>
        <w:jc w:val="both"/>
        <w:rPr>
          <w:sz w:val="24"/>
          <w:lang w:val="uz-Latn-UZ"/>
        </w:rPr>
      </w:pPr>
    </w:p>
    <w:p w14:paraId="522051C2" w14:textId="77777777" w:rsidR="00DD566D" w:rsidRDefault="00DD566D" w:rsidP="00DD566D">
      <w:pPr>
        <w:ind w:firstLine="567"/>
        <w:jc w:val="both"/>
        <w:rPr>
          <w:sz w:val="24"/>
          <w:lang w:val="uz-Latn-UZ"/>
        </w:rPr>
      </w:pPr>
    </w:p>
    <w:p w14:paraId="3CED51F9" w14:textId="77777777" w:rsidR="00DD566D" w:rsidRDefault="00DD566D" w:rsidP="00DD566D">
      <w:pPr>
        <w:ind w:firstLine="567"/>
        <w:jc w:val="both"/>
        <w:rPr>
          <w:sz w:val="24"/>
          <w:lang w:val="uz-Latn-UZ"/>
        </w:rPr>
      </w:pPr>
    </w:p>
    <w:p w14:paraId="776E96C5" w14:textId="77777777" w:rsidR="00DD566D" w:rsidRDefault="00DD566D" w:rsidP="00DD566D">
      <w:pPr>
        <w:ind w:firstLine="567"/>
        <w:jc w:val="both"/>
        <w:rPr>
          <w:sz w:val="24"/>
          <w:lang w:val="uz-Latn-UZ"/>
        </w:rPr>
      </w:pPr>
    </w:p>
    <w:p w14:paraId="689AF12F" w14:textId="77777777" w:rsidR="00DD566D" w:rsidRPr="00666581" w:rsidRDefault="00DD566D" w:rsidP="00DD566D">
      <w:pPr>
        <w:spacing w:line="276" w:lineRule="auto"/>
        <w:jc w:val="both"/>
        <w:rPr>
          <w:sz w:val="24"/>
          <w:lang w:val="uz-Latn-UZ"/>
        </w:rPr>
      </w:pPr>
      <w:r w:rsidRPr="00666581">
        <w:rPr>
          <w:sz w:val="24"/>
          <w:lang w:val="uz-Latn-UZ"/>
        </w:rPr>
        <w:t>УДК 616-006</w:t>
      </w:r>
    </w:p>
    <w:p w14:paraId="1B238E63" w14:textId="77777777" w:rsidR="00DD566D" w:rsidRDefault="00DD566D" w:rsidP="00DD566D">
      <w:pPr>
        <w:spacing w:line="276" w:lineRule="auto"/>
        <w:jc w:val="both"/>
        <w:rPr>
          <w:sz w:val="24"/>
          <w:lang w:val="uz-Latn-UZ"/>
        </w:rPr>
      </w:pPr>
    </w:p>
    <w:p w14:paraId="3E1A3E89" w14:textId="77777777" w:rsidR="00DD566D" w:rsidRPr="00666581" w:rsidRDefault="00DD566D" w:rsidP="00DD566D">
      <w:pPr>
        <w:pStyle w:val="1"/>
      </w:pPr>
      <w:bookmarkStart w:id="13" w:name="_Toc104745758"/>
      <w:r w:rsidRPr="00666581">
        <w:lastRenderedPageBreak/>
        <w:t>TRIMODAL THERAPY AS AN ORGAN-PRESERVING METHOD OF                   TREATMENT FOR BLADDER CANCER</w:t>
      </w:r>
      <w:bookmarkEnd w:id="13"/>
    </w:p>
    <w:p w14:paraId="0FDDEE0E" w14:textId="77777777" w:rsidR="00DD566D" w:rsidRPr="00666581" w:rsidRDefault="00DD566D" w:rsidP="00DD566D">
      <w:pPr>
        <w:spacing w:line="276" w:lineRule="auto"/>
        <w:ind w:firstLine="567"/>
        <w:jc w:val="both"/>
        <w:rPr>
          <w:sz w:val="24"/>
          <w:lang w:val="uz-Latn-UZ"/>
        </w:rPr>
      </w:pPr>
    </w:p>
    <w:p w14:paraId="50025239" w14:textId="77777777" w:rsidR="00DD566D" w:rsidRPr="002B434E" w:rsidRDefault="00DD566D" w:rsidP="00DD566D">
      <w:pPr>
        <w:spacing w:line="276" w:lineRule="auto"/>
        <w:jc w:val="center"/>
        <w:rPr>
          <w:b/>
          <w:bCs/>
          <w:sz w:val="24"/>
          <w:lang w:val="uz-Latn-UZ"/>
        </w:rPr>
      </w:pPr>
      <w:r w:rsidRPr="002B434E">
        <w:rPr>
          <w:b/>
          <w:bCs/>
          <w:sz w:val="24"/>
          <w:lang w:val="uz-Latn-UZ"/>
        </w:rPr>
        <w:t>Karlibaev Azamat</w:t>
      </w:r>
      <w:r>
        <w:rPr>
          <w:b/>
          <w:bCs/>
          <w:sz w:val="24"/>
          <w:lang w:val="uz-Latn-UZ"/>
        </w:rPr>
        <w:t xml:space="preserve">, </w:t>
      </w:r>
      <w:r w:rsidRPr="006077AB">
        <w:rPr>
          <w:b/>
          <w:bCs/>
          <w:sz w:val="24"/>
          <w:lang w:val="uz-Latn-UZ"/>
        </w:rPr>
        <w:t>student</w:t>
      </w:r>
    </w:p>
    <w:p w14:paraId="041924F6" w14:textId="77777777" w:rsidR="00DD566D" w:rsidRPr="002B434E" w:rsidRDefault="00DD566D" w:rsidP="00DD566D">
      <w:pPr>
        <w:spacing w:line="276" w:lineRule="auto"/>
        <w:jc w:val="center"/>
        <w:rPr>
          <w:b/>
          <w:bCs/>
          <w:sz w:val="24"/>
          <w:lang w:val="uz-Latn-UZ"/>
        </w:rPr>
      </w:pPr>
      <w:r w:rsidRPr="002B434E">
        <w:rPr>
          <w:b/>
          <w:bCs/>
          <w:sz w:val="24"/>
          <w:lang w:val="uz-Latn-UZ"/>
        </w:rPr>
        <w:t>Dilsora  Mukumova</w:t>
      </w:r>
      <w:r>
        <w:rPr>
          <w:b/>
          <w:bCs/>
          <w:sz w:val="24"/>
          <w:lang w:val="uz-Latn-UZ"/>
        </w:rPr>
        <w:t>,</w:t>
      </w:r>
      <w:r w:rsidRPr="002B434E">
        <w:rPr>
          <w:sz w:val="24"/>
          <w:lang w:val="uz-Latn-UZ"/>
        </w:rPr>
        <w:t xml:space="preserve"> </w:t>
      </w:r>
      <w:r w:rsidRPr="006077AB">
        <w:rPr>
          <w:b/>
          <w:bCs/>
          <w:sz w:val="24"/>
          <w:lang w:val="uz-Latn-UZ"/>
        </w:rPr>
        <w:t>student</w:t>
      </w:r>
    </w:p>
    <w:p w14:paraId="53AB9316" w14:textId="77777777" w:rsidR="00DD566D" w:rsidRPr="002B434E" w:rsidRDefault="00DD566D" w:rsidP="00DD566D">
      <w:pPr>
        <w:spacing w:line="276" w:lineRule="auto"/>
        <w:jc w:val="center"/>
        <w:rPr>
          <w:b/>
          <w:bCs/>
          <w:sz w:val="24"/>
          <w:lang w:val="uz-Latn-UZ"/>
        </w:rPr>
      </w:pPr>
      <w:r w:rsidRPr="002B434E">
        <w:rPr>
          <w:b/>
          <w:bCs/>
          <w:sz w:val="24"/>
          <w:lang w:val="uz-Latn-UZ"/>
        </w:rPr>
        <w:t>Научный руководитель:  Tillyashaykhov   Mirzagolib  Nigmatovich, DSc, professor</w:t>
      </w:r>
    </w:p>
    <w:p w14:paraId="783682CA" w14:textId="77777777" w:rsidR="00DD566D" w:rsidRPr="00666581" w:rsidRDefault="00DD566D" w:rsidP="00DD566D">
      <w:pPr>
        <w:spacing w:line="276" w:lineRule="auto"/>
        <w:jc w:val="center"/>
        <w:rPr>
          <w:sz w:val="24"/>
          <w:lang w:val="uz-Latn-UZ"/>
        </w:rPr>
      </w:pPr>
      <w:r w:rsidRPr="00666581">
        <w:rPr>
          <w:sz w:val="24"/>
          <w:lang w:val="uz-Latn-UZ"/>
        </w:rPr>
        <w:t>Tashkent Medical Academy, Tashkent, Uzbekistan</w:t>
      </w:r>
    </w:p>
    <w:p w14:paraId="5E446A61" w14:textId="77777777" w:rsidR="00DD566D" w:rsidRPr="00666581" w:rsidRDefault="00DD566D" w:rsidP="00DD566D">
      <w:pPr>
        <w:spacing w:line="276" w:lineRule="auto"/>
        <w:ind w:firstLine="567"/>
        <w:jc w:val="both"/>
        <w:rPr>
          <w:sz w:val="24"/>
          <w:lang w:val="uz-Latn-UZ"/>
        </w:rPr>
      </w:pPr>
    </w:p>
    <w:p w14:paraId="01B1F3C4" w14:textId="77777777" w:rsidR="00DD566D" w:rsidRPr="002B434E" w:rsidRDefault="00DD566D" w:rsidP="00DD566D">
      <w:pPr>
        <w:spacing w:line="276" w:lineRule="auto"/>
        <w:ind w:firstLine="567"/>
        <w:jc w:val="both"/>
        <w:rPr>
          <w:i/>
          <w:iCs/>
          <w:sz w:val="24"/>
          <w:lang w:val="uz-Latn-UZ"/>
        </w:rPr>
      </w:pPr>
      <w:r w:rsidRPr="002B434E">
        <w:rPr>
          <w:b/>
          <w:bCs/>
          <w:i/>
          <w:iCs/>
          <w:sz w:val="24"/>
          <w:lang w:val="uz-Latn-UZ"/>
        </w:rPr>
        <w:t>ABSTRACT</w:t>
      </w:r>
      <w:r w:rsidRPr="002B434E">
        <w:rPr>
          <w:i/>
          <w:iCs/>
          <w:sz w:val="24"/>
          <w:lang w:val="uz-Latn-UZ"/>
        </w:rPr>
        <w:t>. Purpose of Review: Radical cystectomy is the gold standard treatment for muscle invasive bladder cancer, but some patients have medically inoperable disease or refuse cystectomy to preserve their bladder function. Bladder preservation therapy with transurethral resection of the bladder tumor and concurrent chemo-radiotherapy, known as trimodal treatment (TMT),  is regarded to be a curative-intent alternative to radical cystectomy for patients with muscle invasive bladder cancer, during the past decade. Organ-preserving trimodality therapy has become an accepted alternative to cystectomy for selected muscle invasive bladder cancer (MIBC) patients unfit for cystectomy or opting for bladder preservation. Here, we will review and summarize the modern advances and emerging data supporting the use of trimodality therapy as an alternative to cystectomy for patients with muscle-invasive bladder cancer.</w:t>
      </w:r>
    </w:p>
    <w:p w14:paraId="22E16897" w14:textId="77777777" w:rsidR="00DD566D" w:rsidRPr="002B434E" w:rsidRDefault="00DD566D" w:rsidP="00DD566D">
      <w:pPr>
        <w:spacing w:line="276" w:lineRule="auto"/>
        <w:ind w:firstLine="567"/>
        <w:jc w:val="both"/>
        <w:rPr>
          <w:i/>
          <w:iCs/>
          <w:sz w:val="24"/>
          <w:lang w:val="uz-Latn-UZ"/>
        </w:rPr>
      </w:pPr>
      <w:r w:rsidRPr="002B434E">
        <w:rPr>
          <w:b/>
          <w:bCs/>
          <w:i/>
          <w:iCs/>
          <w:sz w:val="24"/>
          <w:lang w:val="uz-Latn-UZ"/>
        </w:rPr>
        <w:t>Areas covered:</w:t>
      </w:r>
      <w:r w:rsidRPr="002B434E">
        <w:rPr>
          <w:i/>
          <w:iCs/>
          <w:sz w:val="24"/>
          <w:lang w:val="uz-Latn-UZ"/>
        </w:rPr>
        <w:t xml:space="preserve"> This review provides an overview of the value of trimodal therapy in the treatment of muscle-invasive bladder cancer with a specific focus on publications from main oncologic databases and a free-text hand searches during the past decade.</w:t>
      </w:r>
    </w:p>
    <w:p w14:paraId="3C764026" w14:textId="77777777" w:rsidR="00DD566D" w:rsidRPr="002B434E" w:rsidRDefault="00DD566D" w:rsidP="00DD566D">
      <w:pPr>
        <w:spacing w:line="276" w:lineRule="auto"/>
        <w:ind w:firstLine="567"/>
        <w:jc w:val="both"/>
        <w:rPr>
          <w:i/>
          <w:iCs/>
          <w:sz w:val="24"/>
          <w:lang w:val="uz-Latn-UZ"/>
        </w:rPr>
      </w:pPr>
      <w:r w:rsidRPr="002B434E">
        <w:rPr>
          <w:b/>
          <w:bCs/>
          <w:i/>
          <w:iCs/>
          <w:sz w:val="24"/>
          <w:lang w:val="uz-Latn-UZ"/>
        </w:rPr>
        <w:t>Summary:</w:t>
      </w:r>
      <w:r w:rsidRPr="002B434E">
        <w:rPr>
          <w:i/>
          <w:iCs/>
          <w:sz w:val="24"/>
          <w:lang w:val="uz-Latn-UZ"/>
        </w:rPr>
        <w:t xml:space="preserve"> Recent advances in TMT have made bladder preservation possible for MIBC patients seeking an alternative local therapy to cystectomy. With careful patient selection, TMT offers comparable survival outcomes to cystectomy, and improved quality of life as patients are able to successfully retain their bladder. Future trials are focusing on new techniques and novel therapeutics in patients with bladder cancer.</w:t>
      </w:r>
    </w:p>
    <w:p w14:paraId="1F87D3BD" w14:textId="77777777" w:rsidR="00DD566D" w:rsidRPr="002B434E" w:rsidRDefault="00DD566D" w:rsidP="00DD566D">
      <w:pPr>
        <w:spacing w:line="276" w:lineRule="auto"/>
        <w:ind w:firstLine="567"/>
        <w:jc w:val="both"/>
        <w:rPr>
          <w:i/>
          <w:iCs/>
          <w:sz w:val="24"/>
          <w:lang w:val="uz-Latn-UZ"/>
        </w:rPr>
      </w:pPr>
      <w:r w:rsidRPr="002B434E">
        <w:rPr>
          <w:b/>
          <w:bCs/>
          <w:i/>
          <w:iCs/>
          <w:sz w:val="24"/>
          <w:lang w:val="uz-Latn-UZ"/>
        </w:rPr>
        <w:t>Keywords:</w:t>
      </w:r>
      <w:r w:rsidRPr="002B434E">
        <w:rPr>
          <w:i/>
          <w:iCs/>
          <w:sz w:val="24"/>
          <w:lang w:val="uz-Latn-UZ"/>
        </w:rPr>
        <w:t xml:space="preserve"> bladder cancer, trimodality therapy, muscle-invasive bladder cancer, bladder preservation, TURB</w:t>
      </w:r>
    </w:p>
    <w:p w14:paraId="38D2BCA6" w14:textId="77777777" w:rsidR="00DD566D" w:rsidRDefault="00DD566D" w:rsidP="00DD566D">
      <w:pPr>
        <w:spacing w:line="276" w:lineRule="auto"/>
        <w:ind w:firstLine="567"/>
        <w:jc w:val="both"/>
        <w:rPr>
          <w:sz w:val="24"/>
          <w:lang w:val="uz-Latn-UZ"/>
        </w:rPr>
      </w:pPr>
    </w:p>
    <w:p w14:paraId="079BEE9F" w14:textId="77777777" w:rsidR="00DD566D" w:rsidRDefault="00DD566D" w:rsidP="00DD566D">
      <w:pPr>
        <w:spacing w:line="276" w:lineRule="auto"/>
        <w:ind w:firstLine="567"/>
        <w:jc w:val="both"/>
        <w:rPr>
          <w:b/>
          <w:bCs/>
          <w:sz w:val="24"/>
          <w:lang w:val="uz-Latn-UZ"/>
        </w:rPr>
        <w:sectPr w:rsidR="00DD566D" w:rsidSect="00995DC2">
          <w:type w:val="continuous"/>
          <w:pgSz w:w="11907" w:h="16840" w:code="9"/>
          <w:pgMar w:top="1418" w:right="1134" w:bottom="1134" w:left="1134" w:header="907" w:footer="794" w:gutter="0"/>
          <w:cols w:space="708"/>
          <w:docGrid w:linePitch="381"/>
        </w:sectPr>
      </w:pPr>
    </w:p>
    <w:p w14:paraId="041DF3BA" w14:textId="77777777" w:rsidR="00DD566D" w:rsidRPr="002B434E" w:rsidRDefault="00DD566D" w:rsidP="00DD566D">
      <w:pPr>
        <w:spacing w:line="276" w:lineRule="auto"/>
        <w:ind w:firstLine="567"/>
        <w:jc w:val="both"/>
        <w:rPr>
          <w:b/>
          <w:bCs/>
          <w:sz w:val="24"/>
        </w:rPr>
      </w:pPr>
      <w:r w:rsidRPr="002B434E">
        <w:rPr>
          <w:b/>
          <w:bCs/>
          <w:sz w:val="24"/>
        </w:rPr>
        <w:t xml:space="preserve">INTRODUCTION </w:t>
      </w:r>
    </w:p>
    <w:p w14:paraId="0C1BCF43" w14:textId="77777777" w:rsidR="00DD566D" w:rsidRPr="002B434E" w:rsidRDefault="00DD566D" w:rsidP="00DD566D">
      <w:pPr>
        <w:spacing w:line="276" w:lineRule="auto"/>
        <w:ind w:firstLine="567"/>
        <w:jc w:val="both"/>
        <w:rPr>
          <w:sz w:val="24"/>
        </w:rPr>
      </w:pPr>
      <w:r w:rsidRPr="002B434E">
        <w:rPr>
          <w:sz w:val="24"/>
        </w:rPr>
        <w:t>Bladder cancer accounts for nearly 170,000 deaths worldwide annually. Urothelial carcinoma of the bladder is the ninth most common cancer worldwide [27] and the fourth most common among men in the United States. In 2019, there was an estimated 80,470 new cases and 17,670 deaths due to bladder cancer in the US [49]. This is a disease that commonly affects the frail and elderly. The median age at diagnosis is 69 in men and 71 in women [43]. Among new cases approximately 75% are con</w:t>
      </w:r>
      <w:r>
        <w:rPr>
          <w:sz w:val="24"/>
        </w:rPr>
        <w:softHyphen/>
      </w:r>
      <w:r w:rsidRPr="002B434E">
        <w:rPr>
          <w:sz w:val="24"/>
        </w:rPr>
        <w:t>fined to the bladder mucosa (stage Ta, Tis, T1); 15% invade the muscularis propria (T2), extra</w:t>
      </w:r>
      <w:r>
        <w:rPr>
          <w:sz w:val="24"/>
        </w:rPr>
        <w:softHyphen/>
      </w:r>
      <w:r w:rsidRPr="002B434E">
        <w:rPr>
          <w:sz w:val="24"/>
        </w:rPr>
        <w:t>vesical adipose tissue (T3), and regional lymph nodes (N+), while the remainder present with de novo metastatic disease [6,1]. Localized muscle invasive bladder cancer (MIBC, stage≥T2) has a 5-year overall survival of 40–60% [29].</w:t>
      </w:r>
      <w:r>
        <w:rPr>
          <w:sz w:val="24"/>
        </w:rPr>
        <w:t xml:space="preserve"> </w:t>
      </w:r>
      <w:r w:rsidRPr="002B434E">
        <w:rPr>
          <w:sz w:val="24"/>
        </w:rPr>
        <w:t>Bladder cancer carries a large soci</w:t>
      </w:r>
      <w:r>
        <w:rPr>
          <w:sz w:val="24"/>
        </w:rPr>
        <w:softHyphen/>
      </w:r>
      <w:r w:rsidRPr="002B434E">
        <w:rPr>
          <w:sz w:val="24"/>
        </w:rPr>
        <w:t>etal burden, with over 430,000 men and women diagnosed worldwide every year and</w:t>
      </w:r>
      <w:r>
        <w:rPr>
          <w:sz w:val="24"/>
        </w:rPr>
        <w:t xml:space="preserve"> </w:t>
      </w:r>
      <w:r w:rsidRPr="002B434E">
        <w:rPr>
          <w:sz w:val="24"/>
        </w:rPr>
        <w:t>has many associated risk factors, although many patients are diagnosed without any ap</w:t>
      </w:r>
      <w:r>
        <w:rPr>
          <w:sz w:val="24"/>
        </w:rPr>
        <w:softHyphen/>
      </w:r>
      <w:r w:rsidRPr="002B434E">
        <w:rPr>
          <w:sz w:val="24"/>
        </w:rPr>
        <w:t>parent exposures [48,14]. The most common and important risk factor remains cigarette smoking [6] and</w:t>
      </w:r>
      <w:r>
        <w:rPr>
          <w:sz w:val="24"/>
        </w:rPr>
        <w:t xml:space="preserve"> </w:t>
      </w:r>
      <w:r w:rsidRPr="002B434E">
        <w:rPr>
          <w:sz w:val="24"/>
        </w:rPr>
        <w:t>it</w:t>
      </w:r>
      <w:r>
        <w:rPr>
          <w:sz w:val="24"/>
        </w:rPr>
        <w:t xml:space="preserve"> </w:t>
      </w:r>
      <w:r w:rsidRPr="002B434E">
        <w:rPr>
          <w:sz w:val="24"/>
        </w:rPr>
        <w:t>is the most common expo</w:t>
      </w:r>
      <w:r>
        <w:rPr>
          <w:sz w:val="24"/>
        </w:rPr>
        <w:softHyphen/>
      </w:r>
      <w:r w:rsidRPr="002B434E">
        <w:rPr>
          <w:sz w:val="24"/>
        </w:rPr>
        <w:t>sure contributing to the increased incidence of bladder cancer in Western countries. In addi</w:t>
      </w:r>
      <w:r>
        <w:rPr>
          <w:sz w:val="24"/>
        </w:rPr>
        <w:softHyphen/>
      </w:r>
      <w:r w:rsidRPr="002B434E">
        <w:rPr>
          <w:sz w:val="24"/>
        </w:rPr>
        <w:t>tion, the extent of smoking may relate to the aggressiveness of bladder cancer, with heavy smokers more likely to have high-grade tumors and muscle-invasive</w:t>
      </w:r>
      <w:r>
        <w:rPr>
          <w:sz w:val="24"/>
        </w:rPr>
        <w:t xml:space="preserve"> </w:t>
      </w:r>
      <w:r w:rsidRPr="002B434E">
        <w:rPr>
          <w:sz w:val="24"/>
        </w:rPr>
        <w:t>disease [9].</w:t>
      </w:r>
      <w:r>
        <w:rPr>
          <w:sz w:val="24"/>
        </w:rPr>
        <w:t xml:space="preserve"> </w:t>
      </w:r>
      <w:r w:rsidRPr="002B434E">
        <w:rPr>
          <w:sz w:val="24"/>
        </w:rPr>
        <w:t>In Uzbeki</w:t>
      </w:r>
      <w:r>
        <w:rPr>
          <w:sz w:val="24"/>
        </w:rPr>
        <w:softHyphen/>
      </w:r>
      <w:r w:rsidRPr="002B434E">
        <w:rPr>
          <w:sz w:val="24"/>
        </w:rPr>
        <w:t xml:space="preserve">stan, the incidence of bladder </w:t>
      </w:r>
      <w:r w:rsidRPr="002B434E">
        <w:rPr>
          <w:sz w:val="24"/>
        </w:rPr>
        <w:lastRenderedPageBreak/>
        <w:t>cancer in 2019 was 7 cases per 100 thousand population. The 563 patients</w:t>
      </w:r>
      <w:r>
        <w:rPr>
          <w:sz w:val="24"/>
        </w:rPr>
        <w:t xml:space="preserve"> </w:t>
      </w:r>
      <w:r w:rsidRPr="002B434E">
        <w:rPr>
          <w:sz w:val="24"/>
        </w:rPr>
        <w:t>registered with the diagnosis es</w:t>
      </w:r>
      <w:r>
        <w:rPr>
          <w:sz w:val="24"/>
        </w:rPr>
        <w:softHyphen/>
      </w:r>
      <w:r w:rsidRPr="002B434E">
        <w:rPr>
          <w:sz w:val="24"/>
        </w:rPr>
        <w:t>tablished for the first time in their life, and 44.2%</w:t>
      </w:r>
      <w:r>
        <w:rPr>
          <w:sz w:val="24"/>
        </w:rPr>
        <w:t xml:space="preserve"> </w:t>
      </w:r>
      <w:r w:rsidRPr="002B434E">
        <w:rPr>
          <w:sz w:val="24"/>
        </w:rPr>
        <w:t>of</w:t>
      </w:r>
      <w:r>
        <w:rPr>
          <w:sz w:val="24"/>
        </w:rPr>
        <w:t xml:space="preserve"> </w:t>
      </w:r>
      <w:r w:rsidRPr="002B434E">
        <w:rPr>
          <w:sz w:val="24"/>
        </w:rPr>
        <w:t>them were diagnosed with the sec</w:t>
      </w:r>
      <w:r>
        <w:rPr>
          <w:sz w:val="24"/>
        </w:rPr>
        <w:softHyphen/>
      </w:r>
      <w:r w:rsidRPr="002B434E">
        <w:rPr>
          <w:sz w:val="24"/>
        </w:rPr>
        <w:t>ond stage of the disease. [26]</w:t>
      </w:r>
    </w:p>
    <w:p w14:paraId="21EAE2A8" w14:textId="77777777" w:rsidR="00DD566D" w:rsidRPr="002B434E" w:rsidRDefault="00DD566D" w:rsidP="00DD566D">
      <w:pPr>
        <w:spacing w:line="276" w:lineRule="auto"/>
        <w:ind w:firstLine="567"/>
        <w:jc w:val="both"/>
        <w:rPr>
          <w:sz w:val="24"/>
        </w:rPr>
      </w:pPr>
      <w:r w:rsidRPr="002B434E">
        <w:rPr>
          <w:b/>
          <w:bCs/>
          <w:sz w:val="24"/>
        </w:rPr>
        <w:t>Muscle-Invasive Bladder Cancer (MIBC)</w:t>
      </w:r>
      <w:r>
        <w:rPr>
          <w:sz w:val="24"/>
        </w:rPr>
        <w:t xml:space="preserve"> </w:t>
      </w:r>
      <w:r w:rsidRPr="002B434E">
        <w:rPr>
          <w:sz w:val="24"/>
        </w:rPr>
        <w:t>is a heterogeneous disease ranging from T2 tumours (which invade the muscularis</w:t>
      </w:r>
      <w:r>
        <w:rPr>
          <w:sz w:val="24"/>
        </w:rPr>
        <w:t xml:space="preserve"> </w:t>
      </w:r>
      <w:r w:rsidRPr="002B434E">
        <w:rPr>
          <w:sz w:val="24"/>
        </w:rPr>
        <w:t>propria) to T4 tumours (which invade</w:t>
      </w:r>
      <w:r>
        <w:rPr>
          <w:sz w:val="24"/>
        </w:rPr>
        <w:t xml:space="preserve"> </w:t>
      </w:r>
      <w:r w:rsidRPr="002B434E">
        <w:rPr>
          <w:sz w:val="24"/>
        </w:rPr>
        <w:t>the prostate, uterus, vagina, bowel or</w:t>
      </w:r>
      <w:r>
        <w:rPr>
          <w:sz w:val="24"/>
        </w:rPr>
        <w:t xml:space="preserve"> </w:t>
      </w:r>
      <w:r w:rsidRPr="002B434E">
        <w:rPr>
          <w:sz w:val="24"/>
        </w:rPr>
        <w:t>abdominal wall) and it represents approximately 25% of newly diagnosed cases of bladder cancer.</w:t>
      </w:r>
      <w:r>
        <w:rPr>
          <w:sz w:val="24"/>
        </w:rPr>
        <w:t xml:space="preserve"> </w:t>
      </w:r>
      <w:r w:rsidRPr="002B434E">
        <w:rPr>
          <w:sz w:val="24"/>
        </w:rPr>
        <w:t>Un</w:t>
      </w:r>
      <w:r>
        <w:rPr>
          <w:sz w:val="24"/>
        </w:rPr>
        <w:softHyphen/>
      </w:r>
      <w:r w:rsidRPr="002B434E">
        <w:rPr>
          <w:sz w:val="24"/>
        </w:rPr>
        <w:t>like nonmuscle-invasive bladder cancer, these tumours are biologically aggressive and 5-year survival is &lt;15% in patients who do not receive treatment [36].</w:t>
      </w:r>
      <w:r>
        <w:rPr>
          <w:sz w:val="24"/>
        </w:rPr>
        <w:t xml:space="preserve"> </w:t>
      </w:r>
      <w:r w:rsidRPr="002B434E">
        <w:rPr>
          <w:sz w:val="24"/>
        </w:rPr>
        <w:t>Radical cystectomy</w:t>
      </w:r>
      <w:r>
        <w:rPr>
          <w:sz w:val="24"/>
        </w:rPr>
        <w:t xml:space="preserve"> </w:t>
      </w:r>
      <w:r w:rsidRPr="002B434E">
        <w:rPr>
          <w:sz w:val="24"/>
        </w:rPr>
        <w:t>with</w:t>
      </w:r>
      <w:r>
        <w:rPr>
          <w:sz w:val="24"/>
        </w:rPr>
        <w:t xml:space="preserve"> </w:t>
      </w:r>
      <w:r w:rsidRPr="002B434E">
        <w:rPr>
          <w:sz w:val="24"/>
        </w:rPr>
        <w:t>pel</w:t>
      </w:r>
      <w:r>
        <w:rPr>
          <w:sz w:val="24"/>
        </w:rPr>
        <w:softHyphen/>
      </w:r>
      <w:r w:rsidRPr="002B434E">
        <w:rPr>
          <w:sz w:val="24"/>
        </w:rPr>
        <w:t>vic lymph node dissection (PLND) is the cur</w:t>
      </w:r>
      <w:r>
        <w:rPr>
          <w:sz w:val="24"/>
        </w:rPr>
        <w:softHyphen/>
      </w:r>
      <w:r w:rsidRPr="002B434E">
        <w:rPr>
          <w:sz w:val="24"/>
        </w:rPr>
        <w:t>rent gold-standard treatment</w:t>
      </w:r>
      <w:r>
        <w:rPr>
          <w:sz w:val="24"/>
        </w:rPr>
        <w:t xml:space="preserve"> </w:t>
      </w:r>
      <w:r w:rsidRPr="002B434E">
        <w:rPr>
          <w:sz w:val="24"/>
        </w:rPr>
        <w:t>for localized T2–T4 MIBC,</w:t>
      </w:r>
      <w:r>
        <w:rPr>
          <w:sz w:val="24"/>
        </w:rPr>
        <w:t xml:space="preserve"> </w:t>
      </w:r>
      <w:r w:rsidRPr="002B434E">
        <w:rPr>
          <w:sz w:val="24"/>
        </w:rPr>
        <w:t>but despite</w:t>
      </w:r>
      <w:r>
        <w:rPr>
          <w:sz w:val="24"/>
        </w:rPr>
        <w:t xml:space="preserve"> </w:t>
      </w:r>
      <w:r w:rsidRPr="002B434E">
        <w:rPr>
          <w:sz w:val="24"/>
        </w:rPr>
        <w:t>cystectomy with PLND, ~50% of patients</w:t>
      </w:r>
      <w:r>
        <w:rPr>
          <w:sz w:val="24"/>
        </w:rPr>
        <w:t xml:space="preserve"> </w:t>
      </w:r>
      <w:r w:rsidRPr="002B434E">
        <w:rPr>
          <w:sz w:val="24"/>
        </w:rPr>
        <w:t>die from metastatic disease[52]</w:t>
      </w:r>
      <w:r>
        <w:rPr>
          <w:sz w:val="24"/>
        </w:rPr>
        <w:t xml:space="preserve"> </w:t>
      </w:r>
      <w:r w:rsidRPr="002B434E">
        <w:rPr>
          <w:sz w:val="24"/>
        </w:rPr>
        <w:t>and</w:t>
      </w:r>
      <w:r>
        <w:rPr>
          <w:sz w:val="24"/>
        </w:rPr>
        <w:t xml:space="preserve"> </w:t>
      </w:r>
      <w:r w:rsidRPr="002B434E">
        <w:rPr>
          <w:sz w:val="24"/>
        </w:rPr>
        <w:t>approximately 50% of pa</w:t>
      </w:r>
      <w:r>
        <w:rPr>
          <w:sz w:val="24"/>
        </w:rPr>
        <w:softHyphen/>
      </w:r>
      <w:r w:rsidRPr="002B434E">
        <w:rPr>
          <w:sz w:val="24"/>
        </w:rPr>
        <w:t>tients ultimately develop disease at distant</w:t>
      </w:r>
      <w:r>
        <w:rPr>
          <w:sz w:val="24"/>
        </w:rPr>
        <w:t xml:space="preserve"> </w:t>
      </w:r>
      <w:r w:rsidRPr="002B434E">
        <w:rPr>
          <w:sz w:val="24"/>
        </w:rPr>
        <w:t>sites</w:t>
      </w:r>
      <w:r>
        <w:rPr>
          <w:sz w:val="24"/>
        </w:rPr>
        <w:t xml:space="preserve"> </w:t>
      </w:r>
      <w:r w:rsidRPr="002B434E">
        <w:rPr>
          <w:sz w:val="24"/>
        </w:rPr>
        <w:t>because of disseminated</w:t>
      </w:r>
      <w:r>
        <w:rPr>
          <w:sz w:val="24"/>
        </w:rPr>
        <w:t xml:space="preserve"> </w:t>
      </w:r>
      <w:r w:rsidRPr="002B434E">
        <w:rPr>
          <w:sz w:val="24"/>
        </w:rPr>
        <w:t>micrometasta</w:t>
      </w:r>
      <w:r>
        <w:rPr>
          <w:sz w:val="24"/>
        </w:rPr>
        <w:softHyphen/>
      </w:r>
      <w:r w:rsidRPr="002B434E">
        <w:rPr>
          <w:sz w:val="24"/>
        </w:rPr>
        <w:t>ses [51,54]</w:t>
      </w:r>
      <w:r>
        <w:rPr>
          <w:sz w:val="24"/>
        </w:rPr>
        <w:t xml:space="preserve"> </w:t>
      </w:r>
      <w:r w:rsidRPr="002B434E">
        <w:rPr>
          <w:sz w:val="24"/>
        </w:rPr>
        <w:t>and there remains high complica</w:t>
      </w:r>
      <w:r>
        <w:rPr>
          <w:sz w:val="24"/>
        </w:rPr>
        <w:softHyphen/>
      </w:r>
      <w:r w:rsidRPr="002B434E">
        <w:rPr>
          <w:sz w:val="24"/>
        </w:rPr>
        <w:t>tion rates with a 64% complication rate within 90 days and an approximately 2–13%</w:t>
      </w:r>
      <w:r>
        <w:rPr>
          <w:sz w:val="24"/>
        </w:rPr>
        <w:t xml:space="preserve"> </w:t>
      </w:r>
      <w:r w:rsidRPr="002B434E">
        <w:rPr>
          <w:sz w:val="24"/>
        </w:rPr>
        <w:t>90-day mortality depending on case-volume and age [44,55]. Efforts to improve outcomes have fo</w:t>
      </w:r>
      <w:r>
        <w:rPr>
          <w:sz w:val="24"/>
        </w:rPr>
        <w:softHyphen/>
      </w:r>
      <w:r w:rsidRPr="002B434E">
        <w:rPr>
          <w:sz w:val="24"/>
        </w:rPr>
        <w:t>cused on the use</w:t>
      </w:r>
      <w:r>
        <w:rPr>
          <w:sz w:val="24"/>
        </w:rPr>
        <w:t xml:space="preserve"> </w:t>
      </w:r>
      <w:r w:rsidRPr="002B434E">
        <w:rPr>
          <w:sz w:val="24"/>
        </w:rPr>
        <w:t>of perioperative chemother</w:t>
      </w:r>
      <w:r>
        <w:rPr>
          <w:sz w:val="24"/>
        </w:rPr>
        <w:softHyphen/>
      </w:r>
      <w:r w:rsidRPr="002B434E">
        <w:rPr>
          <w:sz w:val="24"/>
        </w:rPr>
        <w:t>apy to eradicate</w:t>
      </w:r>
      <w:r>
        <w:rPr>
          <w:sz w:val="24"/>
        </w:rPr>
        <w:t xml:space="preserve"> </w:t>
      </w:r>
      <w:r w:rsidRPr="002B434E">
        <w:rPr>
          <w:sz w:val="24"/>
        </w:rPr>
        <w:t>micrometastatic disease [4]. However,</w:t>
      </w:r>
      <w:r>
        <w:rPr>
          <w:sz w:val="24"/>
        </w:rPr>
        <w:t xml:space="preserve"> </w:t>
      </w:r>
      <w:r w:rsidRPr="002B434E">
        <w:rPr>
          <w:sz w:val="24"/>
        </w:rPr>
        <w:t>the</w:t>
      </w:r>
      <w:r>
        <w:rPr>
          <w:sz w:val="24"/>
        </w:rPr>
        <w:t xml:space="preserve"> </w:t>
      </w:r>
      <w:r w:rsidRPr="002B434E">
        <w:rPr>
          <w:sz w:val="24"/>
        </w:rPr>
        <w:t>survival of patients with bladder cancer has not substantially changed over the past 30 years despite the introduction of these</w:t>
      </w:r>
      <w:r>
        <w:rPr>
          <w:sz w:val="24"/>
        </w:rPr>
        <w:t xml:space="preserve"> </w:t>
      </w:r>
      <w:r w:rsidRPr="002B434E">
        <w:rPr>
          <w:sz w:val="24"/>
        </w:rPr>
        <w:t>therapies [2].</w:t>
      </w:r>
      <w:r>
        <w:rPr>
          <w:sz w:val="24"/>
        </w:rPr>
        <w:t xml:space="preserve"> </w:t>
      </w:r>
      <w:r w:rsidRPr="002B434E">
        <w:rPr>
          <w:sz w:val="24"/>
        </w:rPr>
        <w:t>In the past 10 years molecular profiling has resulted in the identification of</w:t>
      </w:r>
      <w:r>
        <w:rPr>
          <w:sz w:val="24"/>
        </w:rPr>
        <w:t xml:space="preserve"> </w:t>
      </w:r>
      <w:r w:rsidRPr="002B434E">
        <w:rPr>
          <w:sz w:val="24"/>
        </w:rPr>
        <w:t>promising novel biomarkers and therapeutic</w:t>
      </w:r>
      <w:r>
        <w:rPr>
          <w:sz w:val="24"/>
        </w:rPr>
        <w:t xml:space="preserve"> </w:t>
      </w:r>
      <w:r w:rsidRPr="002B434E">
        <w:rPr>
          <w:sz w:val="24"/>
        </w:rPr>
        <w:t>targets, which could improve outcomes for</w:t>
      </w:r>
      <w:r>
        <w:rPr>
          <w:sz w:val="24"/>
        </w:rPr>
        <w:t xml:space="preserve"> </w:t>
      </w:r>
      <w:r w:rsidRPr="002B434E">
        <w:rPr>
          <w:sz w:val="24"/>
        </w:rPr>
        <w:t>pa</w:t>
      </w:r>
      <w:r>
        <w:rPr>
          <w:sz w:val="24"/>
        </w:rPr>
        <w:softHyphen/>
      </w:r>
      <w:r w:rsidRPr="002B434E">
        <w:rPr>
          <w:sz w:val="24"/>
        </w:rPr>
        <w:t>tients with this disease [32].</w:t>
      </w:r>
      <w:r>
        <w:rPr>
          <w:sz w:val="24"/>
        </w:rPr>
        <w:t xml:space="preserve"> </w:t>
      </w:r>
      <w:r w:rsidRPr="002B434E">
        <w:rPr>
          <w:sz w:val="24"/>
        </w:rPr>
        <w:t>Therefore, sys</w:t>
      </w:r>
      <w:r>
        <w:rPr>
          <w:sz w:val="24"/>
        </w:rPr>
        <w:softHyphen/>
      </w:r>
      <w:r w:rsidRPr="002B434E">
        <w:rPr>
          <w:sz w:val="24"/>
        </w:rPr>
        <w:t xml:space="preserve">temic therapy plays a key role in conjunction with local therapy to reduce rates of recurrence [28,34]. </w:t>
      </w:r>
    </w:p>
    <w:p w14:paraId="4B060C0A" w14:textId="77777777" w:rsidR="00DD566D" w:rsidRPr="002B434E" w:rsidRDefault="00DD566D" w:rsidP="00DD566D">
      <w:pPr>
        <w:spacing w:line="276" w:lineRule="auto"/>
        <w:ind w:firstLine="567"/>
        <w:jc w:val="both"/>
        <w:rPr>
          <w:b/>
          <w:bCs/>
          <w:sz w:val="24"/>
        </w:rPr>
      </w:pPr>
      <w:r w:rsidRPr="002B434E">
        <w:rPr>
          <w:b/>
          <w:bCs/>
          <w:sz w:val="24"/>
        </w:rPr>
        <w:t>TRIMODALITY THERAPY</w:t>
      </w:r>
      <w:r>
        <w:rPr>
          <w:b/>
          <w:bCs/>
          <w:sz w:val="24"/>
        </w:rPr>
        <w:t xml:space="preserve"> </w:t>
      </w:r>
    </w:p>
    <w:p w14:paraId="4208C0A3" w14:textId="77777777" w:rsidR="00DD566D" w:rsidRPr="002B434E" w:rsidRDefault="00DD566D" w:rsidP="00DD566D">
      <w:pPr>
        <w:spacing w:line="276" w:lineRule="auto"/>
        <w:ind w:firstLine="567"/>
        <w:jc w:val="both"/>
        <w:rPr>
          <w:sz w:val="24"/>
        </w:rPr>
      </w:pPr>
      <w:r w:rsidRPr="002B434E">
        <w:rPr>
          <w:sz w:val="24"/>
        </w:rPr>
        <w:t>Available treatment which may reduce the complications and mortality associated with radical cystectomy and</w:t>
      </w:r>
      <w:r>
        <w:rPr>
          <w:sz w:val="24"/>
        </w:rPr>
        <w:t xml:space="preserve"> </w:t>
      </w:r>
      <w:r w:rsidRPr="002B434E">
        <w:rPr>
          <w:sz w:val="24"/>
        </w:rPr>
        <w:t>preserve the blad</w:t>
      </w:r>
      <w:r>
        <w:rPr>
          <w:sz w:val="24"/>
        </w:rPr>
        <w:softHyphen/>
      </w:r>
      <w:r w:rsidRPr="002B434E">
        <w:rPr>
          <w:sz w:val="24"/>
        </w:rPr>
        <w:t>der is bladder preservation trimodality therapy (BPTT). The three modalities of treatment for BPTT are maximal transurethral resection of the bladder tumor followed by concurrent chemotherapy and radiation. There are several historical successes using organ-sparing multi</w:t>
      </w:r>
      <w:r>
        <w:rPr>
          <w:sz w:val="24"/>
        </w:rPr>
        <w:softHyphen/>
      </w:r>
      <w:r w:rsidRPr="002B434E">
        <w:rPr>
          <w:sz w:val="24"/>
        </w:rPr>
        <w:t>modality therapies in lieu of radical surgery in</w:t>
      </w:r>
      <w:r>
        <w:rPr>
          <w:sz w:val="24"/>
        </w:rPr>
        <w:softHyphen/>
      </w:r>
      <w:r w:rsidRPr="002B434E">
        <w:rPr>
          <w:sz w:val="24"/>
        </w:rPr>
        <w:t>cluding lumpectomy and radiation for breast cancer [16], chemoradiation for larynx cancer [53], limb-sparing surgery and radiation for ex</w:t>
      </w:r>
      <w:r>
        <w:rPr>
          <w:sz w:val="24"/>
        </w:rPr>
        <w:softHyphen/>
      </w:r>
      <w:r w:rsidRPr="002B434E">
        <w:rPr>
          <w:sz w:val="24"/>
        </w:rPr>
        <w:t>tremity sarcomas [40], and chemoradiation for anal cancer [10]. In all, these treatments have been demonstrated equivalent</w:t>
      </w:r>
      <w:r>
        <w:rPr>
          <w:sz w:val="24"/>
        </w:rPr>
        <w:t xml:space="preserve"> </w:t>
      </w:r>
      <w:r w:rsidRPr="002B434E">
        <w:rPr>
          <w:sz w:val="24"/>
        </w:rPr>
        <w:t>OS and better organ function compared to radical surgery.</w:t>
      </w:r>
      <w:r>
        <w:rPr>
          <w:sz w:val="24"/>
        </w:rPr>
        <w:t xml:space="preserve"> </w:t>
      </w:r>
      <w:r w:rsidRPr="002B434E">
        <w:rPr>
          <w:sz w:val="24"/>
        </w:rPr>
        <w:t>In 1987, Shipley and colleagues [32] were the first to demonstrate the safety and feasibility</w:t>
      </w:r>
      <w:r>
        <w:rPr>
          <w:sz w:val="24"/>
        </w:rPr>
        <w:t xml:space="preserve"> </w:t>
      </w:r>
      <w:r w:rsidRPr="002B434E">
        <w:rPr>
          <w:sz w:val="24"/>
        </w:rPr>
        <w:t>of combining radiotherapy with cisplatin in</w:t>
      </w:r>
      <w:r>
        <w:rPr>
          <w:sz w:val="24"/>
        </w:rPr>
        <w:t xml:space="preserve"> </w:t>
      </w:r>
      <w:r w:rsidRPr="002B434E">
        <w:rPr>
          <w:sz w:val="24"/>
        </w:rPr>
        <w:t>pa</w:t>
      </w:r>
      <w:r>
        <w:rPr>
          <w:sz w:val="24"/>
        </w:rPr>
        <w:softHyphen/>
      </w:r>
      <w:r w:rsidRPr="002B434E">
        <w:rPr>
          <w:sz w:val="24"/>
        </w:rPr>
        <w:t>tients unsuitable for cystectomy. In 1993,</w:t>
      </w:r>
      <w:r>
        <w:rPr>
          <w:sz w:val="24"/>
        </w:rPr>
        <w:t xml:space="preserve"> </w:t>
      </w:r>
      <w:r w:rsidRPr="002B434E">
        <w:rPr>
          <w:sz w:val="24"/>
        </w:rPr>
        <w:t>Housset and colleagues [44] published the</w:t>
      </w:r>
      <w:r>
        <w:rPr>
          <w:sz w:val="24"/>
        </w:rPr>
        <w:t xml:space="preserve"> </w:t>
      </w:r>
      <w:r w:rsidRPr="002B434E">
        <w:rPr>
          <w:sz w:val="24"/>
        </w:rPr>
        <w:t>re</w:t>
      </w:r>
      <w:r>
        <w:rPr>
          <w:sz w:val="24"/>
        </w:rPr>
        <w:softHyphen/>
      </w:r>
      <w:r w:rsidRPr="002B434E">
        <w:rPr>
          <w:sz w:val="24"/>
        </w:rPr>
        <w:t>sults of a prospective study in 54 patients</w:t>
      </w:r>
      <w:r>
        <w:rPr>
          <w:sz w:val="24"/>
        </w:rPr>
        <w:t xml:space="preserve"> </w:t>
      </w:r>
      <w:r w:rsidRPr="002B434E">
        <w:rPr>
          <w:sz w:val="24"/>
        </w:rPr>
        <w:t>treated with transurethral resection of a</w:t>
      </w:r>
      <w:r>
        <w:rPr>
          <w:sz w:val="24"/>
        </w:rPr>
        <w:t xml:space="preserve"> </w:t>
      </w:r>
      <w:r w:rsidRPr="002B434E">
        <w:rPr>
          <w:sz w:val="24"/>
        </w:rPr>
        <w:t>blad</w:t>
      </w:r>
      <w:r>
        <w:rPr>
          <w:sz w:val="24"/>
        </w:rPr>
        <w:softHyphen/>
      </w:r>
      <w:r w:rsidRPr="002B434E">
        <w:rPr>
          <w:sz w:val="24"/>
        </w:rPr>
        <w:t>der tumour followed by chemotherapy (combi</w:t>
      </w:r>
      <w:r>
        <w:rPr>
          <w:sz w:val="24"/>
        </w:rPr>
        <w:softHyphen/>
      </w:r>
      <w:r w:rsidRPr="002B434E">
        <w:rPr>
          <w:sz w:val="24"/>
        </w:rPr>
        <w:t>nation 5-fluorouracil and cisplatin)</w:t>
      </w:r>
      <w:r>
        <w:rPr>
          <w:sz w:val="24"/>
        </w:rPr>
        <w:t xml:space="preserve"> </w:t>
      </w:r>
      <w:r w:rsidRPr="002B434E">
        <w:rPr>
          <w:sz w:val="24"/>
        </w:rPr>
        <w:t>and con</w:t>
      </w:r>
      <w:r>
        <w:rPr>
          <w:sz w:val="24"/>
        </w:rPr>
        <w:softHyphen/>
      </w:r>
      <w:r w:rsidRPr="002B434E">
        <w:rPr>
          <w:sz w:val="24"/>
        </w:rPr>
        <w:t>comitant bifractionated split-course</w:t>
      </w:r>
      <w:r>
        <w:rPr>
          <w:sz w:val="24"/>
        </w:rPr>
        <w:t xml:space="preserve"> </w:t>
      </w:r>
      <w:r w:rsidRPr="002B434E">
        <w:rPr>
          <w:sz w:val="24"/>
        </w:rPr>
        <w:t>radiother</w:t>
      </w:r>
      <w:r>
        <w:rPr>
          <w:sz w:val="24"/>
        </w:rPr>
        <w:softHyphen/>
      </w:r>
      <w:r w:rsidRPr="002B434E">
        <w:rPr>
          <w:sz w:val="24"/>
        </w:rPr>
        <w:t>apy. The investigators reported a</w:t>
      </w:r>
      <w:r>
        <w:rPr>
          <w:sz w:val="24"/>
        </w:rPr>
        <w:t xml:space="preserve"> </w:t>
      </w:r>
      <w:r w:rsidRPr="002B434E">
        <w:rPr>
          <w:sz w:val="24"/>
        </w:rPr>
        <w:t>disease-free survival of 62% at 3 years after</w:t>
      </w:r>
      <w:r>
        <w:rPr>
          <w:sz w:val="24"/>
        </w:rPr>
        <w:t xml:space="preserve"> </w:t>
      </w:r>
      <w:r w:rsidRPr="002B434E">
        <w:rPr>
          <w:sz w:val="24"/>
        </w:rPr>
        <w:t>treatment [39]. The largest series of bladder</w:t>
      </w:r>
      <w:r>
        <w:rPr>
          <w:sz w:val="24"/>
        </w:rPr>
        <w:t xml:space="preserve"> </w:t>
      </w:r>
      <w:r w:rsidRPr="002B434E">
        <w:rPr>
          <w:sz w:val="24"/>
        </w:rPr>
        <w:t>preservation ther</w:t>
      </w:r>
      <w:r>
        <w:rPr>
          <w:sz w:val="24"/>
        </w:rPr>
        <w:softHyphen/>
      </w:r>
      <w:r w:rsidRPr="002B434E">
        <w:rPr>
          <w:sz w:val="24"/>
        </w:rPr>
        <w:t>apy was reported by Rödel et al. who treated 415 patients with selective bladder preserva</w:t>
      </w:r>
      <w:r>
        <w:rPr>
          <w:sz w:val="24"/>
        </w:rPr>
        <w:softHyphen/>
      </w:r>
      <w:r w:rsidRPr="002B434E">
        <w:rPr>
          <w:sz w:val="24"/>
        </w:rPr>
        <w:t>tion over an 18-year period. The authors re</w:t>
      </w:r>
      <w:r>
        <w:rPr>
          <w:sz w:val="24"/>
        </w:rPr>
        <w:softHyphen/>
      </w:r>
      <w:r w:rsidRPr="002B434E">
        <w:rPr>
          <w:sz w:val="24"/>
        </w:rPr>
        <w:t>ported a complete response in 72% of patients</w:t>
      </w:r>
      <w:r>
        <w:rPr>
          <w:sz w:val="24"/>
        </w:rPr>
        <w:t xml:space="preserve"> </w:t>
      </w:r>
      <w:r w:rsidRPr="002B434E">
        <w:rPr>
          <w:sz w:val="24"/>
        </w:rPr>
        <w:t>(126 who received radiotherapy alone,</w:t>
      </w:r>
      <w:r>
        <w:rPr>
          <w:sz w:val="24"/>
        </w:rPr>
        <w:t xml:space="preserve"> </w:t>
      </w:r>
      <w:r w:rsidRPr="002B434E">
        <w:rPr>
          <w:sz w:val="24"/>
        </w:rPr>
        <w:t>289 who received chemoradiotherapy) and</w:t>
      </w:r>
      <w:r>
        <w:rPr>
          <w:sz w:val="24"/>
        </w:rPr>
        <w:t xml:space="preserve"> </w:t>
      </w:r>
      <w:r w:rsidRPr="002B434E">
        <w:rPr>
          <w:sz w:val="24"/>
        </w:rPr>
        <w:t>a 10-year disease-specific survival of 42%</w:t>
      </w:r>
      <w:r>
        <w:rPr>
          <w:sz w:val="24"/>
        </w:rPr>
        <w:t xml:space="preserve"> </w:t>
      </w:r>
      <w:r w:rsidRPr="002B434E">
        <w:rPr>
          <w:sz w:val="24"/>
        </w:rPr>
        <w:t>with &gt;80% of surviving patients preserving</w:t>
      </w:r>
      <w:r>
        <w:rPr>
          <w:sz w:val="24"/>
        </w:rPr>
        <w:t xml:space="preserve"> </w:t>
      </w:r>
      <w:r w:rsidRPr="002B434E">
        <w:rPr>
          <w:sz w:val="24"/>
        </w:rPr>
        <w:t>their bladder. Multiple other prospective</w:t>
      </w:r>
      <w:r>
        <w:rPr>
          <w:sz w:val="24"/>
        </w:rPr>
        <w:t xml:space="preserve"> </w:t>
      </w:r>
      <w:r w:rsidRPr="002B434E">
        <w:rPr>
          <w:sz w:val="24"/>
        </w:rPr>
        <w:t>and large, institutional studies have</w:t>
      </w:r>
      <w:r>
        <w:rPr>
          <w:sz w:val="24"/>
        </w:rPr>
        <w:t xml:space="preserve"> </w:t>
      </w:r>
      <w:r w:rsidRPr="002B434E">
        <w:rPr>
          <w:sz w:val="24"/>
        </w:rPr>
        <w:t>demonstrated good 5-year overall survival of 48–65%, with ~75% of surviving patients</w:t>
      </w:r>
      <w:r>
        <w:rPr>
          <w:sz w:val="24"/>
        </w:rPr>
        <w:t xml:space="preserve"> </w:t>
      </w:r>
      <w:r w:rsidRPr="002B434E">
        <w:rPr>
          <w:sz w:val="24"/>
        </w:rPr>
        <w:t>preserving their native bladders [12,24]. There are no randomized-controlled</w:t>
      </w:r>
      <w:r>
        <w:rPr>
          <w:sz w:val="24"/>
        </w:rPr>
        <w:t xml:space="preserve"> </w:t>
      </w:r>
      <w:r w:rsidRPr="002B434E">
        <w:rPr>
          <w:sz w:val="24"/>
        </w:rPr>
        <w:t>trials</w:t>
      </w:r>
      <w:r>
        <w:rPr>
          <w:sz w:val="24"/>
        </w:rPr>
        <w:t xml:space="preserve"> </w:t>
      </w:r>
      <w:r w:rsidRPr="002B434E">
        <w:rPr>
          <w:sz w:val="24"/>
        </w:rPr>
        <w:t>of</w:t>
      </w:r>
      <w:r>
        <w:rPr>
          <w:sz w:val="24"/>
        </w:rPr>
        <w:t xml:space="preserve"> </w:t>
      </w:r>
      <w:r w:rsidRPr="002B434E">
        <w:rPr>
          <w:sz w:val="24"/>
        </w:rPr>
        <w:t>BPTT compared to radical cystectomy. However, observational data con</w:t>
      </w:r>
      <w:r>
        <w:rPr>
          <w:sz w:val="24"/>
        </w:rPr>
        <w:softHyphen/>
      </w:r>
      <w:r w:rsidRPr="002B434E">
        <w:rPr>
          <w:sz w:val="24"/>
        </w:rPr>
        <w:t>tinues to support the use of BPTT as an ac</w:t>
      </w:r>
      <w:r>
        <w:rPr>
          <w:sz w:val="24"/>
        </w:rPr>
        <w:softHyphen/>
      </w:r>
      <w:r w:rsidRPr="002B434E">
        <w:rPr>
          <w:sz w:val="24"/>
        </w:rPr>
        <w:t>ceptable alternative for patients with MIBC who wish to preserve their bladder or are not candidates for cystectomy because it may re</w:t>
      </w:r>
      <w:r>
        <w:rPr>
          <w:sz w:val="24"/>
        </w:rPr>
        <w:softHyphen/>
      </w:r>
      <w:r w:rsidRPr="002B434E">
        <w:rPr>
          <w:sz w:val="24"/>
        </w:rPr>
        <w:t>sult in equivalent disease outcomes in select patients and offers the benefit of maintaining a functioning urinary system with subsequent improvements in quality of life. Here, we re</w:t>
      </w:r>
      <w:r>
        <w:rPr>
          <w:sz w:val="24"/>
        </w:rPr>
        <w:softHyphen/>
      </w:r>
      <w:r w:rsidRPr="002B434E">
        <w:rPr>
          <w:sz w:val="24"/>
        </w:rPr>
        <w:t xml:space="preserve">view and </w:t>
      </w:r>
      <w:r w:rsidRPr="002B434E">
        <w:rPr>
          <w:sz w:val="24"/>
        </w:rPr>
        <w:lastRenderedPageBreak/>
        <w:t>summarize the evidence for BPTT for MIBC with a focus on recent literature of patient selection, treatment approach, onco</w:t>
      </w:r>
      <w:r>
        <w:rPr>
          <w:sz w:val="24"/>
        </w:rPr>
        <w:softHyphen/>
      </w:r>
      <w:r w:rsidRPr="002B434E">
        <w:rPr>
          <w:sz w:val="24"/>
        </w:rPr>
        <w:t>logic and quality of life outcomes, and future directions.</w:t>
      </w:r>
    </w:p>
    <w:p w14:paraId="64D3015B" w14:textId="77777777" w:rsidR="00DD566D" w:rsidRPr="002B434E" w:rsidRDefault="00DD566D" w:rsidP="00DD566D">
      <w:pPr>
        <w:spacing w:line="276" w:lineRule="auto"/>
        <w:ind w:firstLine="567"/>
        <w:jc w:val="both"/>
        <w:rPr>
          <w:sz w:val="24"/>
        </w:rPr>
      </w:pPr>
      <w:r w:rsidRPr="002B434E">
        <w:rPr>
          <w:b/>
          <w:bCs/>
          <w:sz w:val="24"/>
        </w:rPr>
        <w:t>Patient Selection for Bladder Preser</w:t>
      </w:r>
      <w:r>
        <w:rPr>
          <w:b/>
          <w:bCs/>
          <w:sz w:val="24"/>
        </w:rPr>
        <w:softHyphen/>
      </w:r>
      <w:r w:rsidRPr="002B434E">
        <w:rPr>
          <w:b/>
          <w:bCs/>
          <w:sz w:val="24"/>
        </w:rPr>
        <w:t>vation and Exclusion criteria for trimodal therapy.</w:t>
      </w:r>
      <w:r>
        <w:rPr>
          <w:sz w:val="24"/>
        </w:rPr>
        <w:t xml:space="preserve"> </w:t>
      </w:r>
      <w:r w:rsidRPr="002B434E">
        <w:rPr>
          <w:sz w:val="24"/>
        </w:rPr>
        <w:t>BPTT is generally offered for pa</w:t>
      </w:r>
      <w:r>
        <w:rPr>
          <w:sz w:val="24"/>
        </w:rPr>
        <w:softHyphen/>
      </w:r>
      <w:r w:rsidRPr="002B434E">
        <w:rPr>
          <w:sz w:val="24"/>
        </w:rPr>
        <w:t>tients who are unfit for surgery with nonmet</w:t>
      </w:r>
      <w:r>
        <w:rPr>
          <w:sz w:val="24"/>
        </w:rPr>
        <w:softHyphen/>
      </w:r>
      <w:r w:rsidRPr="002B434E">
        <w:rPr>
          <w:sz w:val="24"/>
        </w:rPr>
        <w:t>astatic MIBC or operable patients who wish</w:t>
      </w:r>
      <w:r>
        <w:rPr>
          <w:sz w:val="24"/>
        </w:rPr>
        <w:t xml:space="preserve"> </w:t>
      </w:r>
      <w:r w:rsidRPr="002B434E">
        <w:rPr>
          <w:sz w:val="24"/>
        </w:rPr>
        <w:t>to preserve the native bladder with clinically T2-T3N0M0 unifocal urothelial histology disease, without evidence of carcinoma in situ or hy</w:t>
      </w:r>
      <w:r>
        <w:rPr>
          <w:sz w:val="24"/>
        </w:rPr>
        <w:softHyphen/>
      </w:r>
      <w:r w:rsidRPr="002B434E">
        <w:rPr>
          <w:sz w:val="24"/>
        </w:rPr>
        <w:t>dronephrosis, where a complete transurethral resection is possible and there is good bladder function. The identification of advanced T-stage, multifocal disease, CIS, and hydro</w:t>
      </w:r>
      <w:r>
        <w:rPr>
          <w:sz w:val="24"/>
        </w:rPr>
        <w:softHyphen/>
      </w:r>
      <w:r w:rsidRPr="002B434E">
        <w:rPr>
          <w:sz w:val="24"/>
        </w:rPr>
        <w:t>nephrosis as risk factors for poor outcome has led to the exclusion of patients with these dis</w:t>
      </w:r>
      <w:r>
        <w:rPr>
          <w:sz w:val="24"/>
        </w:rPr>
        <w:softHyphen/>
      </w:r>
      <w:r w:rsidRPr="002B434E">
        <w:rPr>
          <w:sz w:val="24"/>
        </w:rPr>
        <w:t>ease features from many BPTT protocols, which have historically included patients with urothelial histology. For patients who wish to preserve the native bladder, careful selection based on clinical features is critical. Prospec</w:t>
      </w:r>
      <w:r>
        <w:rPr>
          <w:sz w:val="24"/>
        </w:rPr>
        <w:softHyphen/>
      </w:r>
      <w:r w:rsidRPr="002B434E">
        <w:rPr>
          <w:sz w:val="24"/>
        </w:rPr>
        <w:t>tive studies of BPTT, namely the Radiation Therapy Oncology Group (RTOG) 89-03 [51] and Cancer Research UK/01/004 BC2001 [54] trials, have included patients with up to T4a disease. However, as tumor stage increases, tu</w:t>
      </w:r>
      <w:r>
        <w:rPr>
          <w:sz w:val="24"/>
        </w:rPr>
        <w:softHyphen/>
      </w:r>
      <w:r w:rsidRPr="002B434E">
        <w:rPr>
          <w:sz w:val="24"/>
        </w:rPr>
        <w:t>mor responsiveness to chemotherapy and radi</w:t>
      </w:r>
      <w:r>
        <w:rPr>
          <w:sz w:val="24"/>
        </w:rPr>
        <w:softHyphen/>
      </w:r>
      <w:r w:rsidRPr="002B434E">
        <w:rPr>
          <w:sz w:val="24"/>
        </w:rPr>
        <w:t>ation decreases as demonstrated by a large ob</w:t>
      </w:r>
      <w:r>
        <w:rPr>
          <w:sz w:val="24"/>
        </w:rPr>
        <w:softHyphen/>
      </w:r>
      <w:r w:rsidRPr="002B434E">
        <w:rPr>
          <w:sz w:val="24"/>
        </w:rPr>
        <w:t>servational study that showed complete re</w:t>
      </w:r>
      <w:r>
        <w:rPr>
          <w:sz w:val="24"/>
        </w:rPr>
        <w:softHyphen/>
      </w:r>
      <w:r w:rsidRPr="002B434E">
        <w:rPr>
          <w:sz w:val="24"/>
        </w:rPr>
        <w:t>sponse rates of 86, 80, 66, and 43% for T1, T2, T3, and T4 tumors, respectively [28]. These re</w:t>
      </w:r>
      <w:r>
        <w:rPr>
          <w:sz w:val="24"/>
        </w:rPr>
        <w:softHyphen/>
      </w:r>
      <w:r w:rsidRPr="002B434E">
        <w:rPr>
          <w:sz w:val="24"/>
        </w:rPr>
        <w:t>sults have been confirmed in multiple studies and a large prospective analysis of long-term outcomes following BPTT from Massachu</w:t>
      </w:r>
      <w:r>
        <w:rPr>
          <w:sz w:val="24"/>
        </w:rPr>
        <w:softHyphen/>
      </w:r>
      <w:r w:rsidRPr="002B434E">
        <w:rPr>
          <w:sz w:val="24"/>
        </w:rPr>
        <w:t>setts General Hospital (MGH), which showed that patients with T3/T4 tumors, compared to T2 tumors, were independently associated with 1.5-fold and 1.8-fold worse OS and disease-specific survival (DSS), respectively, when controlling for other clinical and treatment-re</w:t>
      </w:r>
      <w:r>
        <w:rPr>
          <w:sz w:val="24"/>
        </w:rPr>
        <w:softHyphen/>
      </w:r>
      <w:r w:rsidRPr="002B434E">
        <w:rPr>
          <w:sz w:val="24"/>
        </w:rPr>
        <w:t>lated factors [45]. Because T3 tumors have ex</w:t>
      </w:r>
      <w:r>
        <w:rPr>
          <w:sz w:val="24"/>
        </w:rPr>
        <w:softHyphen/>
      </w:r>
      <w:r w:rsidRPr="002B434E">
        <w:rPr>
          <w:sz w:val="24"/>
        </w:rPr>
        <w:t>tended into perivesical fat and beyond and T4 tumors involve prostatic stroma, uterus, or vagina, as well as the poor response to chemo</w:t>
      </w:r>
      <w:r>
        <w:rPr>
          <w:sz w:val="24"/>
        </w:rPr>
        <w:softHyphen/>
      </w:r>
      <w:r w:rsidRPr="002B434E">
        <w:rPr>
          <w:sz w:val="24"/>
        </w:rPr>
        <w:t>therapy and radiation, they are typically man</w:t>
      </w:r>
      <w:r>
        <w:rPr>
          <w:sz w:val="24"/>
        </w:rPr>
        <w:softHyphen/>
      </w:r>
      <w:r w:rsidRPr="002B434E">
        <w:rPr>
          <w:sz w:val="24"/>
        </w:rPr>
        <w:t>aged surgically.</w:t>
      </w:r>
      <w:r>
        <w:rPr>
          <w:sz w:val="24"/>
        </w:rPr>
        <w:t xml:space="preserve">  </w:t>
      </w:r>
    </w:p>
    <w:p w14:paraId="0DE7FF97" w14:textId="77777777" w:rsidR="00DD566D" w:rsidRPr="002B434E" w:rsidRDefault="00DD566D" w:rsidP="00DD566D">
      <w:pPr>
        <w:spacing w:line="276" w:lineRule="auto"/>
        <w:ind w:firstLine="567"/>
        <w:jc w:val="both"/>
        <w:rPr>
          <w:sz w:val="24"/>
        </w:rPr>
      </w:pPr>
      <w:r w:rsidRPr="002B434E">
        <w:rPr>
          <w:sz w:val="24"/>
        </w:rPr>
        <w:t>Different exclusion criteria for trimodal therapy for MIBC have been defined and in</w:t>
      </w:r>
      <w:r>
        <w:rPr>
          <w:sz w:val="24"/>
        </w:rPr>
        <w:softHyphen/>
      </w:r>
      <w:r w:rsidRPr="002B434E">
        <w:rPr>
          <w:sz w:val="24"/>
        </w:rPr>
        <w:t>clude: metastatic tumors, multifocal lesions, concomitant carcinoma in situ, incomplete or nonfeasible transurethral resection, aggressive histology, and hydronephrosis [4,40]. The presence of high-risk NMIBC (T1/Tis, with high grade/G3, or CIS) is associated with a higher risk of local relapse with decreased overall therapeutic success rates following rad</w:t>
      </w:r>
      <w:r>
        <w:rPr>
          <w:sz w:val="24"/>
        </w:rPr>
        <w:softHyphen/>
      </w:r>
      <w:r w:rsidRPr="002B434E">
        <w:rPr>
          <w:sz w:val="24"/>
        </w:rPr>
        <w:t>ical cystectomy [42]. Furthermore, patients with locally advanced urothelial carcinoma (T4) or carcinoma in situ benefits of radiother</w:t>
      </w:r>
      <w:r>
        <w:rPr>
          <w:sz w:val="24"/>
        </w:rPr>
        <w:softHyphen/>
      </w:r>
      <w:r w:rsidRPr="002B434E">
        <w:rPr>
          <w:sz w:val="24"/>
        </w:rPr>
        <w:t>apy as monotherapy have not been observed [40]. Hydronephrosis has been an exclusion criterion for Radiation Therapy Oncology Group (RTOG) protocols since 1993 because the response rate of patients without evidence of ureteral obstruction is ≥1.5 times higher than patients with hydronephrosis [29]. Blad</w:t>
      </w:r>
      <w:r>
        <w:rPr>
          <w:sz w:val="24"/>
        </w:rPr>
        <w:softHyphen/>
      </w:r>
      <w:r w:rsidRPr="002B434E">
        <w:rPr>
          <w:sz w:val="24"/>
        </w:rPr>
        <w:t>der-preserving therapy cannot be recom</w:t>
      </w:r>
      <w:r>
        <w:rPr>
          <w:sz w:val="24"/>
        </w:rPr>
        <w:softHyphen/>
      </w:r>
      <w:r w:rsidRPr="002B434E">
        <w:rPr>
          <w:sz w:val="24"/>
        </w:rPr>
        <w:t>mended when one or more of these exclusion criteria are present [20].</w:t>
      </w:r>
    </w:p>
    <w:p w14:paraId="1844FD2E" w14:textId="77777777" w:rsidR="00DD566D" w:rsidRPr="002B434E" w:rsidRDefault="00DD566D" w:rsidP="00DD566D">
      <w:pPr>
        <w:spacing w:line="276" w:lineRule="auto"/>
        <w:ind w:firstLine="567"/>
        <w:jc w:val="both"/>
        <w:rPr>
          <w:sz w:val="24"/>
        </w:rPr>
      </w:pPr>
      <w:r w:rsidRPr="002B434E">
        <w:rPr>
          <w:b/>
          <w:bCs/>
          <w:sz w:val="24"/>
        </w:rPr>
        <w:t>Transurethral Resection of the Blad</w:t>
      </w:r>
      <w:r>
        <w:rPr>
          <w:b/>
          <w:bCs/>
          <w:sz w:val="24"/>
        </w:rPr>
        <w:softHyphen/>
      </w:r>
      <w:r w:rsidRPr="002B434E">
        <w:rPr>
          <w:b/>
          <w:bCs/>
          <w:sz w:val="24"/>
        </w:rPr>
        <w:t>der Tumor (TURB).</w:t>
      </w:r>
      <w:r w:rsidRPr="002B434E">
        <w:rPr>
          <w:sz w:val="24"/>
        </w:rPr>
        <w:t xml:space="preserve"> Patients undergoing complete transurethral resection show im</w:t>
      </w:r>
      <w:r>
        <w:rPr>
          <w:sz w:val="24"/>
        </w:rPr>
        <w:softHyphen/>
      </w:r>
      <w:r w:rsidRPr="002B434E">
        <w:rPr>
          <w:sz w:val="24"/>
        </w:rPr>
        <w:t>proved disease-specific and overall survival compared to those undergoing radical cystec</w:t>
      </w:r>
      <w:r>
        <w:rPr>
          <w:sz w:val="24"/>
        </w:rPr>
        <w:softHyphen/>
      </w:r>
      <w:r w:rsidRPr="002B434E">
        <w:rPr>
          <w:sz w:val="24"/>
        </w:rPr>
        <w:t>tomy [19,49]. TURB for NIMBC is also asso</w:t>
      </w:r>
      <w:r>
        <w:rPr>
          <w:sz w:val="24"/>
        </w:rPr>
        <w:softHyphen/>
      </w:r>
      <w:r w:rsidRPr="002B434E">
        <w:rPr>
          <w:sz w:val="24"/>
        </w:rPr>
        <w:t>ciated with lower rates of disease recurrence and with improved long-term oncologic out</w:t>
      </w:r>
      <w:r>
        <w:rPr>
          <w:sz w:val="24"/>
        </w:rPr>
        <w:softHyphen/>
      </w:r>
      <w:r w:rsidRPr="002B434E">
        <w:rPr>
          <w:sz w:val="24"/>
        </w:rPr>
        <w:t>comes for patients treated with trimodal ther</w:t>
      </w:r>
      <w:r>
        <w:rPr>
          <w:sz w:val="24"/>
        </w:rPr>
        <w:softHyphen/>
      </w:r>
      <w:r w:rsidRPr="002B434E">
        <w:rPr>
          <w:sz w:val="24"/>
        </w:rPr>
        <w:t>apy. Nevertheless, 30–70% of patients develop tumor recurrence after primary TURB [19,49,18]. Important factors that have a deci</w:t>
      </w:r>
      <w:r>
        <w:rPr>
          <w:sz w:val="24"/>
        </w:rPr>
        <w:softHyphen/>
      </w:r>
      <w:r w:rsidRPr="002B434E">
        <w:rPr>
          <w:sz w:val="24"/>
        </w:rPr>
        <w:t>sive influence on the outcome of the TURB procedure include the experience of the sur</w:t>
      </w:r>
      <w:r>
        <w:rPr>
          <w:sz w:val="24"/>
        </w:rPr>
        <w:softHyphen/>
      </w:r>
      <w:r w:rsidRPr="002B434E">
        <w:rPr>
          <w:sz w:val="24"/>
        </w:rPr>
        <w:t>geon, surgical technique used, tumor location and size, and documentation of complete tu</w:t>
      </w:r>
      <w:r>
        <w:rPr>
          <w:sz w:val="24"/>
        </w:rPr>
        <w:softHyphen/>
      </w:r>
      <w:r w:rsidRPr="002B434E">
        <w:rPr>
          <w:sz w:val="24"/>
        </w:rPr>
        <w:t>mor resection [37]. The results of a long-term follow-up study of 133 patients treated with TURB monotherapy and achieving complete radical transurethral resection of cT2 bladder cancer showed a 5- year overall survival of 73.3%, disease-specific survival of 81.9% and progression-free survival of 75.5% [3]. In a study of survival outcomes of 900 patients af</w:t>
      </w:r>
      <w:r>
        <w:rPr>
          <w:sz w:val="24"/>
        </w:rPr>
        <w:softHyphen/>
      </w:r>
      <w:r w:rsidRPr="002B434E">
        <w:rPr>
          <w:sz w:val="24"/>
        </w:rPr>
        <w:t>ter cystectomy with pelvic lymph node dissec</w:t>
      </w:r>
      <w:r>
        <w:rPr>
          <w:sz w:val="24"/>
        </w:rPr>
        <w:softHyphen/>
      </w:r>
      <w:r w:rsidRPr="002B434E">
        <w:rPr>
          <w:sz w:val="24"/>
        </w:rPr>
        <w:t xml:space="preserve">tion (without neoadjuvant chemotherapy), 20.1% of </w:t>
      </w:r>
      <w:r w:rsidRPr="002B434E">
        <w:rPr>
          <w:sz w:val="24"/>
        </w:rPr>
        <w:lastRenderedPageBreak/>
        <w:t>patients who had complete tran</w:t>
      </w:r>
      <w:r>
        <w:rPr>
          <w:sz w:val="24"/>
        </w:rPr>
        <w:softHyphen/>
      </w:r>
      <w:r w:rsidRPr="002B434E">
        <w:rPr>
          <w:sz w:val="24"/>
        </w:rPr>
        <w:t>surethral resection (pT0 pN0 at completion cystectomy), reached 10-year tumor-specific survival rates of up to 91.0% [37]. In another study, patients with an initial cT2-cT3 urothe</w:t>
      </w:r>
      <w:r>
        <w:rPr>
          <w:sz w:val="24"/>
        </w:rPr>
        <w:softHyphen/>
      </w:r>
      <w:r w:rsidRPr="002B434E">
        <w:rPr>
          <w:sz w:val="24"/>
        </w:rPr>
        <w:t>lial carcinomas of the bladder restaged as cT0-cT1 after TURB had a 10- year disease-spe</w:t>
      </w:r>
      <w:r>
        <w:rPr>
          <w:sz w:val="24"/>
        </w:rPr>
        <w:softHyphen/>
      </w:r>
      <w:r w:rsidRPr="002B434E">
        <w:rPr>
          <w:sz w:val="24"/>
        </w:rPr>
        <w:t xml:space="preserve">cific survival of 76% and were able to avoid radical cystectomy in 57% of cases [30]. </w:t>
      </w:r>
    </w:p>
    <w:p w14:paraId="29B17F77" w14:textId="77777777" w:rsidR="00DD566D" w:rsidRPr="002B434E" w:rsidRDefault="00DD566D" w:rsidP="00DD566D">
      <w:pPr>
        <w:spacing w:line="276" w:lineRule="auto"/>
        <w:ind w:firstLine="567"/>
        <w:jc w:val="both"/>
        <w:rPr>
          <w:sz w:val="24"/>
        </w:rPr>
      </w:pPr>
      <w:r w:rsidRPr="002B434E">
        <w:rPr>
          <w:sz w:val="24"/>
        </w:rPr>
        <w:t>In the MGH experience, patients under</w:t>
      </w:r>
      <w:r>
        <w:rPr>
          <w:sz w:val="24"/>
        </w:rPr>
        <w:softHyphen/>
      </w:r>
      <w:r w:rsidRPr="002B434E">
        <w:rPr>
          <w:sz w:val="24"/>
        </w:rPr>
        <w:t>going complete TURBT, followed by chemo</w:t>
      </w:r>
      <w:r>
        <w:rPr>
          <w:sz w:val="24"/>
        </w:rPr>
        <w:softHyphen/>
      </w:r>
      <w:r w:rsidRPr="002B434E">
        <w:rPr>
          <w:sz w:val="24"/>
        </w:rPr>
        <w:t>therapy and radiation, had a complete response of 79% compared to 57% for patients with in</w:t>
      </w:r>
      <w:r>
        <w:rPr>
          <w:sz w:val="24"/>
        </w:rPr>
        <w:softHyphen/>
      </w:r>
      <w:r w:rsidRPr="002B434E">
        <w:rPr>
          <w:sz w:val="24"/>
        </w:rPr>
        <w:t>complete TURBT (p &lt; 0.001) []. This resulted in lower cystectomy rates for patients receiv</w:t>
      </w:r>
      <w:r>
        <w:rPr>
          <w:sz w:val="24"/>
        </w:rPr>
        <w:softHyphen/>
      </w:r>
      <w:r w:rsidRPr="002B434E">
        <w:rPr>
          <w:sz w:val="24"/>
        </w:rPr>
        <w:t>ing a complete TURBT compared to incom</w:t>
      </w:r>
      <w:r>
        <w:rPr>
          <w:sz w:val="24"/>
        </w:rPr>
        <w:softHyphen/>
      </w:r>
      <w:r w:rsidRPr="002B434E">
        <w:rPr>
          <w:sz w:val="24"/>
        </w:rPr>
        <w:t>plete TURBT (22 vs 42%, p &lt; 0.001) and im</w:t>
      </w:r>
      <w:r>
        <w:rPr>
          <w:sz w:val="24"/>
        </w:rPr>
        <w:softHyphen/>
      </w:r>
      <w:r w:rsidRPr="002B434E">
        <w:rPr>
          <w:sz w:val="24"/>
        </w:rPr>
        <w:t>proved 10-year OS (39 vs 29%, p = 0.003) and DSS (63 vs 51%, p= 0.03) [3,30]. Maximal TURBT is an important consideration and the inability to achieve maximal TURBT has served as exclusion criteria for several BPTTseries [30,37]. Consequently, complete TURB of all visible tumors, including the de</w:t>
      </w:r>
      <w:r>
        <w:rPr>
          <w:sz w:val="24"/>
        </w:rPr>
        <w:softHyphen/>
      </w:r>
      <w:r w:rsidRPr="002B434E">
        <w:rPr>
          <w:sz w:val="24"/>
        </w:rPr>
        <w:t>trusor muscle, is essential for bladder-preser</w:t>
      </w:r>
      <w:r>
        <w:rPr>
          <w:sz w:val="24"/>
        </w:rPr>
        <w:softHyphen/>
      </w:r>
      <w:r w:rsidRPr="002B434E">
        <w:rPr>
          <w:sz w:val="24"/>
        </w:rPr>
        <w:t>vation therapy. It is the most important factor for oncologic control and success of trimodal therapy especially for those cases who would be considered overtreated by radical surgery. The use of intravesical therapies, such as Mi</w:t>
      </w:r>
      <w:r>
        <w:rPr>
          <w:sz w:val="24"/>
        </w:rPr>
        <w:softHyphen/>
      </w:r>
      <w:r w:rsidRPr="002B434E">
        <w:rPr>
          <w:sz w:val="24"/>
        </w:rPr>
        <w:t>tomycin C, Valrubicin, and bacillus Calmette Guerin (BCG) together with TURB has not yet been investigated.</w:t>
      </w:r>
      <w:r>
        <w:rPr>
          <w:sz w:val="24"/>
        </w:rPr>
        <w:t xml:space="preserve"> </w:t>
      </w:r>
    </w:p>
    <w:p w14:paraId="1973C316" w14:textId="77777777" w:rsidR="00DD566D" w:rsidRPr="002B434E" w:rsidRDefault="00DD566D" w:rsidP="00DD566D">
      <w:pPr>
        <w:spacing w:line="276" w:lineRule="auto"/>
        <w:ind w:firstLine="567"/>
        <w:jc w:val="both"/>
        <w:rPr>
          <w:b/>
          <w:bCs/>
          <w:sz w:val="24"/>
        </w:rPr>
      </w:pPr>
      <w:r w:rsidRPr="002B434E">
        <w:rPr>
          <w:b/>
          <w:bCs/>
          <w:sz w:val="24"/>
        </w:rPr>
        <w:t xml:space="preserve">CHEMOTHERAPY </w:t>
      </w:r>
    </w:p>
    <w:p w14:paraId="090FE814" w14:textId="77777777" w:rsidR="00DD566D" w:rsidRPr="002B434E" w:rsidRDefault="00DD566D" w:rsidP="00DD566D">
      <w:pPr>
        <w:spacing w:line="276" w:lineRule="auto"/>
        <w:ind w:firstLine="567"/>
        <w:jc w:val="both"/>
        <w:rPr>
          <w:sz w:val="24"/>
        </w:rPr>
      </w:pPr>
      <w:r w:rsidRPr="002B434E">
        <w:rPr>
          <w:sz w:val="24"/>
        </w:rPr>
        <w:t>If possible, systemic first-line therapy for advanced or metastatic disease should be cis</w:t>
      </w:r>
      <w:r>
        <w:rPr>
          <w:sz w:val="24"/>
        </w:rPr>
        <w:softHyphen/>
      </w:r>
      <w:r w:rsidRPr="002B434E">
        <w:rPr>
          <w:sz w:val="24"/>
        </w:rPr>
        <w:t>platin based. For almost 30 years, the combi</w:t>
      </w:r>
      <w:r>
        <w:rPr>
          <w:sz w:val="24"/>
        </w:rPr>
        <w:softHyphen/>
      </w:r>
      <w:r w:rsidRPr="002B434E">
        <w:rPr>
          <w:sz w:val="24"/>
        </w:rPr>
        <w:t>nation of methotrexate, vinblastine, doxorubi</w:t>
      </w:r>
      <w:r>
        <w:rPr>
          <w:sz w:val="24"/>
        </w:rPr>
        <w:softHyphen/>
      </w:r>
      <w:r w:rsidRPr="002B434E">
        <w:rPr>
          <w:sz w:val="24"/>
        </w:rPr>
        <w:t>cin, and cisplatin (MVAC) has been used suc</w:t>
      </w:r>
      <w:r>
        <w:rPr>
          <w:sz w:val="24"/>
        </w:rPr>
        <w:softHyphen/>
      </w:r>
      <w:r w:rsidRPr="002B434E">
        <w:rPr>
          <w:sz w:val="24"/>
        </w:rPr>
        <w:t>cessfully, either in normal dose intensity [53,46] or as dose compressed with granulo</w:t>
      </w:r>
      <w:r>
        <w:rPr>
          <w:sz w:val="24"/>
        </w:rPr>
        <w:softHyphen/>
      </w:r>
      <w:r w:rsidRPr="002B434E">
        <w:rPr>
          <w:sz w:val="24"/>
        </w:rPr>
        <w:t>cyte-colony stimulating factor (G-CSF) sup</w:t>
      </w:r>
      <w:r>
        <w:rPr>
          <w:sz w:val="24"/>
        </w:rPr>
        <w:softHyphen/>
      </w:r>
      <w:r w:rsidRPr="002B434E">
        <w:rPr>
          <w:sz w:val="24"/>
        </w:rPr>
        <w:t>port (dose-dense MVAC) [42]. The combina</w:t>
      </w:r>
      <w:r>
        <w:rPr>
          <w:sz w:val="24"/>
        </w:rPr>
        <w:softHyphen/>
      </w:r>
      <w:r w:rsidRPr="002B434E">
        <w:rPr>
          <w:sz w:val="24"/>
        </w:rPr>
        <w:t>tion of gemcitabine and cisplatin (GC) has been shown to be less toxic, with similar re</w:t>
      </w:r>
      <w:r>
        <w:rPr>
          <w:sz w:val="24"/>
        </w:rPr>
        <w:softHyphen/>
      </w:r>
      <w:r w:rsidRPr="002B434E">
        <w:rPr>
          <w:sz w:val="24"/>
        </w:rPr>
        <w:t>sponse rates and median longterm overall sur</w:t>
      </w:r>
      <w:r>
        <w:rPr>
          <w:sz w:val="24"/>
        </w:rPr>
        <w:softHyphen/>
      </w:r>
      <w:r w:rsidRPr="002B434E">
        <w:rPr>
          <w:sz w:val="24"/>
        </w:rPr>
        <w:t>vival [20,8]. Patients treated with MVAC were also found to have more severe grade 3–4 tox</w:t>
      </w:r>
      <w:r>
        <w:rPr>
          <w:sz w:val="24"/>
        </w:rPr>
        <w:softHyphen/>
      </w:r>
      <w:r w:rsidRPr="002B434E">
        <w:rPr>
          <w:sz w:val="24"/>
        </w:rPr>
        <w:t>icities compared to</w:t>
      </w:r>
      <w:r>
        <w:rPr>
          <w:sz w:val="24"/>
        </w:rPr>
        <w:t xml:space="preserve"> </w:t>
      </w:r>
      <w:r w:rsidRPr="002B434E">
        <w:rPr>
          <w:sz w:val="24"/>
        </w:rPr>
        <w:t>patients treated with car</w:t>
      </w:r>
      <w:r>
        <w:rPr>
          <w:sz w:val="24"/>
        </w:rPr>
        <w:softHyphen/>
      </w:r>
      <w:r w:rsidRPr="002B434E">
        <w:rPr>
          <w:sz w:val="24"/>
        </w:rPr>
        <w:t>boplatin [46]. Replacement of cisplatin by car</w:t>
      </w:r>
      <w:r>
        <w:rPr>
          <w:sz w:val="24"/>
        </w:rPr>
        <w:softHyphen/>
      </w:r>
      <w:r w:rsidRPr="002B434E">
        <w:rPr>
          <w:sz w:val="24"/>
        </w:rPr>
        <w:t>boplatin exhibits inferior efficacy, but also a lower incidence of nephrotoxicity (which is particularly beneficial in elderly and comorbid patients) [42]. The role of concurrent radiosen</w:t>
      </w:r>
      <w:r>
        <w:rPr>
          <w:sz w:val="24"/>
        </w:rPr>
        <w:softHyphen/>
      </w:r>
      <w:r w:rsidRPr="002B434E">
        <w:rPr>
          <w:sz w:val="24"/>
        </w:rPr>
        <w:t>sitizing chemotherapy has been well estab</w:t>
      </w:r>
      <w:r>
        <w:rPr>
          <w:sz w:val="24"/>
        </w:rPr>
        <w:softHyphen/>
      </w:r>
      <w:r w:rsidRPr="002B434E">
        <w:rPr>
          <w:sz w:val="24"/>
        </w:rPr>
        <w:t>lished in randomized trials comparing chemo</w:t>
      </w:r>
      <w:r>
        <w:rPr>
          <w:sz w:val="24"/>
        </w:rPr>
        <w:softHyphen/>
      </w:r>
      <w:r w:rsidRPr="002B434E">
        <w:rPr>
          <w:sz w:val="24"/>
        </w:rPr>
        <w:t>radiation compared to radiation alone. The two main trials, NCIC and BC2001, included con</w:t>
      </w:r>
      <w:r>
        <w:rPr>
          <w:sz w:val="24"/>
        </w:rPr>
        <w:softHyphen/>
      </w:r>
      <w:r w:rsidRPr="002B434E">
        <w:rPr>
          <w:sz w:val="24"/>
        </w:rPr>
        <w:t>current cisplatin monotherapy and 5-FU with mitomycin C, respectively. The National Can</w:t>
      </w:r>
      <w:r>
        <w:rPr>
          <w:sz w:val="24"/>
        </w:rPr>
        <w:softHyphen/>
      </w:r>
      <w:r w:rsidRPr="002B434E">
        <w:rPr>
          <w:sz w:val="24"/>
        </w:rPr>
        <w:t>cer Institute of Canada completed a prospec</w:t>
      </w:r>
      <w:r>
        <w:rPr>
          <w:sz w:val="24"/>
        </w:rPr>
        <w:softHyphen/>
      </w:r>
      <w:r w:rsidRPr="002B434E">
        <w:rPr>
          <w:sz w:val="24"/>
        </w:rPr>
        <w:t>tive randomized trial of radiation with or with</w:t>
      </w:r>
      <w:r>
        <w:rPr>
          <w:sz w:val="24"/>
        </w:rPr>
        <w:softHyphen/>
      </w:r>
      <w:r w:rsidRPr="002B434E">
        <w:rPr>
          <w:sz w:val="24"/>
        </w:rPr>
        <w:t>out concurrent cisplatin in 99 patients with T2-T4b MIBC [5]. After a median follow-up of 6.5 years, first recurrence in the pelvis was signif</w:t>
      </w:r>
      <w:r>
        <w:rPr>
          <w:sz w:val="24"/>
        </w:rPr>
        <w:softHyphen/>
      </w:r>
      <w:r w:rsidRPr="002B434E">
        <w:rPr>
          <w:sz w:val="24"/>
        </w:rPr>
        <w:t>icantly reduced in patients receiving cisplatin vs. without (29 vs.52%, p = 0.04). However, the addition of cisplatin did not improve OS or distant metastases but the trial was underpow</w:t>
      </w:r>
      <w:r>
        <w:rPr>
          <w:sz w:val="24"/>
        </w:rPr>
        <w:softHyphen/>
      </w:r>
      <w:r w:rsidRPr="002B434E">
        <w:rPr>
          <w:sz w:val="24"/>
        </w:rPr>
        <w:t>ered to detect these endpoints [5]. The BC2001 study was a randomized phase III trial with a partial 2 × 2 factorial design that enrolled 360 patients with muscle-invasive bladder cancer. Patients were randomized to radiation alone with or without fluorouracil (5-FU) and mito</w:t>
      </w:r>
      <w:r>
        <w:rPr>
          <w:sz w:val="24"/>
        </w:rPr>
        <w:softHyphen/>
      </w:r>
      <w:r w:rsidRPr="002B434E">
        <w:rPr>
          <w:sz w:val="24"/>
        </w:rPr>
        <w:t>mycin C. Notably, patients were also random</w:t>
      </w:r>
      <w:r>
        <w:rPr>
          <w:sz w:val="24"/>
        </w:rPr>
        <w:softHyphen/>
      </w:r>
      <w:r w:rsidRPr="002B434E">
        <w:rPr>
          <w:sz w:val="24"/>
        </w:rPr>
        <w:t>ized to receive whole-bladder radiation or ini</w:t>
      </w:r>
      <w:r>
        <w:rPr>
          <w:sz w:val="24"/>
        </w:rPr>
        <w:softHyphen/>
      </w:r>
      <w:r w:rsidRPr="002B434E">
        <w:rPr>
          <w:sz w:val="24"/>
        </w:rPr>
        <w:t>tial whole-bladder regimen with tumor boost. The primary endpoint was locoregional dis</w:t>
      </w:r>
      <w:r>
        <w:rPr>
          <w:sz w:val="24"/>
        </w:rPr>
        <w:softHyphen/>
      </w:r>
      <w:r w:rsidRPr="002B434E">
        <w:rPr>
          <w:sz w:val="24"/>
        </w:rPr>
        <w:t>ease-free survival and secondary endpoints were OS and toxicity. Patients receiving chemoradiation had a 2-year locoregional dis</w:t>
      </w:r>
      <w:r>
        <w:rPr>
          <w:sz w:val="24"/>
        </w:rPr>
        <w:softHyphen/>
      </w:r>
      <w:r w:rsidRPr="002B434E">
        <w:rPr>
          <w:sz w:val="24"/>
        </w:rPr>
        <w:t>ease-free survival of 67% compared to 54% in the radiation alone group and were 1.5 times more likely to be free of locoregional disease at a median follow-up of 5.8 years (HR 0.68, 95%CI 0.48–0.96, p = 0.03). Five-year OS was 48% in the chemoradiation group compared to 35% in the radiation alone group (HR 0.82, 95% CI 0.63–1.09, p = 0.16) with no statisti</w:t>
      </w:r>
      <w:r>
        <w:rPr>
          <w:sz w:val="24"/>
        </w:rPr>
        <w:softHyphen/>
      </w:r>
      <w:r w:rsidRPr="002B434E">
        <w:rPr>
          <w:sz w:val="24"/>
        </w:rPr>
        <w:t>cally significant</w:t>
      </w:r>
      <w:r>
        <w:rPr>
          <w:sz w:val="24"/>
        </w:rPr>
        <w:t xml:space="preserve"> </w:t>
      </w:r>
      <w:r w:rsidRPr="002B434E">
        <w:rPr>
          <w:sz w:val="24"/>
        </w:rPr>
        <w:t>difference in grade 3 or 4 ad</w:t>
      </w:r>
      <w:r>
        <w:rPr>
          <w:sz w:val="24"/>
        </w:rPr>
        <w:softHyphen/>
      </w:r>
      <w:r w:rsidRPr="002B434E">
        <w:rPr>
          <w:sz w:val="24"/>
        </w:rPr>
        <w:t>verse events (36 vs. 27.5%, p = 0.07) during treatment [42].</w:t>
      </w:r>
    </w:p>
    <w:p w14:paraId="42470CE0" w14:textId="77777777" w:rsidR="00DD566D" w:rsidRPr="002B434E" w:rsidRDefault="00DD566D" w:rsidP="00DD566D">
      <w:pPr>
        <w:spacing w:line="276" w:lineRule="auto"/>
        <w:ind w:firstLine="567"/>
        <w:jc w:val="both"/>
        <w:rPr>
          <w:sz w:val="24"/>
        </w:rPr>
      </w:pPr>
      <w:r w:rsidRPr="002B434E">
        <w:rPr>
          <w:sz w:val="24"/>
        </w:rPr>
        <w:t>Chemotherapy alone is not an appropri</w:t>
      </w:r>
      <w:r>
        <w:rPr>
          <w:sz w:val="24"/>
        </w:rPr>
        <w:softHyphen/>
      </w:r>
      <w:r w:rsidRPr="002B434E">
        <w:rPr>
          <w:sz w:val="24"/>
        </w:rPr>
        <w:t>ate therapy for MIBC being treated for cure. The RTOG investigated the efficacy of induc</w:t>
      </w:r>
      <w:r>
        <w:rPr>
          <w:sz w:val="24"/>
        </w:rPr>
        <w:softHyphen/>
      </w:r>
      <w:r w:rsidRPr="002B434E">
        <w:rPr>
          <w:sz w:val="24"/>
        </w:rPr>
        <w:t xml:space="preserve">tion chemotherapy in TMT in serial phase II studies. About 123 </w:t>
      </w:r>
      <w:r w:rsidRPr="002B434E">
        <w:rPr>
          <w:sz w:val="24"/>
        </w:rPr>
        <w:lastRenderedPageBreak/>
        <w:t>patients with T2-4a, Nx MIBC were randomized to receive two cycles of neoadjuvant cisplatin, methotrexate, and vinblastine chemotherapy followed by 39,6 Gy pelvic irradiation with concurrent cisplatin (100 mg/m2) for two courses 3 weeks apart. In the other arm of the trial patients did not re</w:t>
      </w:r>
      <w:r>
        <w:rPr>
          <w:sz w:val="24"/>
        </w:rPr>
        <w:softHyphen/>
      </w:r>
      <w:r w:rsidRPr="002B434E">
        <w:rPr>
          <w:sz w:val="24"/>
        </w:rPr>
        <w:t>ceive MCV before concurrent cisplatin and ra</w:t>
      </w:r>
      <w:r>
        <w:rPr>
          <w:sz w:val="24"/>
        </w:rPr>
        <w:softHyphen/>
      </w:r>
      <w:r w:rsidRPr="002B434E">
        <w:rPr>
          <w:sz w:val="24"/>
        </w:rPr>
        <w:t>diation therapy. In result 5-year overall sur</w:t>
      </w:r>
      <w:r>
        <w:rPr>
          <w:sz w:val="24"/>
        </w:rPr>
        <w:softHyphen/>
      </w:r>
      <w:r w:rsidRPr="002B434E">
        <w:rPr>
          <w:sz w:val="24"/>
        </w:rPr>
        <w:t>vival rate was 49%; 48% in arm 1 and 49% in arm 2. Thirty-five percent of the patients had evidence of distant metastases at 5 years; 33% in arm 1 and 39% in arm 2. The 5-year survival rate with a functioning bladder was 38%, 36% in arm 1 and 40% in arm 2. None of these dif</w:t>
      </w:r>
      <w:r>
        <w:rPr>
          <w:sz w:val="24"/>
        </w:rPr>
        <w:softHyphen/>
      </w:r>
      <w:r w:rsidRPr="002B434E">
        <w:rPr>
          <w:sz w:val="24"/>
        </w:rPr>
        <w:t>ferences were statistically significant [46], so that induction chemotherapy has not been es</w:t>
      </w:r>
      <w:r>
        <w:rPr>
          <w:sz w:val="24"/>
        </w:rPr>
        <w:softHyphen/>
      </w:r>
      <w:r w:rsidRPr="002B434E">
        <w:rPr>
          <w:sz w:val="24"/>
        </w:rPr>
        <w:t>tablished [42].</w:t>
      </w:r>
    </w:p>
    <w:p w14:paraId="3AC5BD66" w14:textId="77777777" w:rsidR="00DD566D" w:rsidRPr="002B434E" w:rsidRDefault="00DD566D" w:rsidP="00DD566D">
      <w:pPr>
        <w:spacing w:line="276" w:lineRule="auto"/>
        <w:ind w:firstLine="567"/>
        <w:jc w:val="both"/>
        <w:rPr>
          <w:sz w:val="24"/>
        </w:rPr>
      </w:pPr>
      <w:r w:rsidRPr="002B434E">
        <w:rPr>
          <w:b/>
          <w:bCs/>
          <w:sz w:val="24"/>
        </w:rPr>
        <w:t>RADIATHERAPY</w:t>
      </w:r>
      <w:r w:rsidRPr="002B434E">
        <w:rPr>
          <w:sz w:val="24"/>
        </w:rPr>
        <w:t>.</w:t>
      </w:r>
      <w:r>
        <w:rPr>
          <w:sz w:val="24"/>
        </w:rPr>
        <w:t xml:space="preserve"> </w:t>
      </w:r>
    </w:p>
    <w:p w14:paraId="4EFFCB98" w14:textId="77777777" w:rsidR="00DD566D" w:rsidRPr="002B434E" w:rsidRDefault="00DD566D" w:rsidP="00DD566D">
      <w:pPr>
        <w:spacing w:line="276" w:lineRule="auto"/>
        <w:ind w:firstLine="567"/>
        <w:jc w:val="both"/>
        <w:rPr>
          <w:sz w:val="24"/>
        </w:rPr>
      </w:pPr>
      <w:r w:rsidRPr="002B434E">
        <w:rPr>
          <w:sz w:val="24"/>
        </w:rPr>
        <w:t>Radiatherapy has been used alone for several decades for patients who are inopera</w:t>
      </w:r>
      <w:r>
        <w:rPr>
          <w:sz w:val="24"/>
        </w:rPr>
        <w:softHyphen/>
      </w:r>
      <w:r w:rsidRPr="002B434E">
        <w:rPr>
          <w:sz w:val="24"/>
        </w:rPr>
        <w:t>ble. As previously discussed, when used alone, radiation has inferior outcomes when com</w:t>
      </w:r>
      <w:r>
        <w:rPr>
          <w:sz w:val="24"/>
        </w:rPr>
        <w:softHyphen/>
      </w:r>
      <w:r w:rsidRPr="002B434E">
        <w:rPr>
          <w:sz w:val="24"/>
        </w:rPr>
        <w:t>pared to chemoradiotherapy [20,23]. There is limited information on the outcomes of pa</w:t>
      </w:r>
      <w:r>
        <w:rPr>
          <w:sz w:val="24"/>
        </w:rPr>
        <w:softHyphen/>
      </w:r>
      <w:r w:rsidRPr="002B434E">
        <w:rPr>
          <w:sz w:val="24"/>
        </w:rPr>
        <w:t>tients who undergo TURBT and chemotherapy without radiation. In a small retrospective se</w:t>
      </w:r>
      <w:r>
        <w:rPr>
          <w:sz w:val="24"/>
        </w:rPr>
        <w:softHyphen/>
      </w:r>
      <w:r w:rsidRPr="002B434E">
        <w:rPr>
          <w:sz w:val="24"/>
        </w:rPr>
        <w:t>ries, which included 63 patients who were planning on undergoing radical cystectomy but declined surgery following TURBT and neo</w:t>
      </w:r>
      <w:r>
        <w:rPr>
          <w:sz w:val="24"/>
        </w:rPr>
        <w:softHyphen/>
      </w:r>
      <w:r w:rsidRPr="002B434E">
        <w:rPr>
          <w:sz w:val="24"/>
        </w:rPr>
        <w:t>adjuvant chemotherapy, 30% of patients who initially had a complete response, relapsed in the bladder and died [5]. In a phase II nonran</w:t>
      </w:r>
      <w:r>
        <w:rPr>
          <w:sz w:val="24"/>
        </w:rPr>
        <w:softHyphen/>
      </w:r>
      <w:r w:rsidRPr="002B434E">
        <w:rPr>
          <w:sz w:val="24"/>
        </w:rPr>
        <w:t>domized trial of bladder preservation with chemotherapy and TURBT, Solsona et al. re</w:t>
      </w:r>
      <w:r>
        <w:rPr>
          <w:sz w:val="24"/>
        </w:rPr>
        <w:softHyphen/>
      </w:r>
      <w:r w:rsidRPr="002B434E">
        <w:rPr>
          <w:sz w:val="24"/>
        </w:rPr>
        <w:t>ported on 75 highly select patients following TURBT and 3 cycles of chemotherapy. Ap</w:t>
      </w:r>
      <w:r>
        <w:rPr>
          <w:sz w:val="24"/>
        </w:rPr>
        <w:softHyphen/>
      </w:r>
      <w:r w:rsidRPr="002B434E">
        <w:rPr>
          <w:sz w:val="24"/>
        </w:rPr>
        <w:t>proximately one-third of patients had persis</w:t>
      </w:r>
      <w:r>
        <w:rPr>
          <w:sz w:val="24"/>
        </w:rPr>
        <w:softHyphen/>
      </w:r>
      <w:r w:rsidRPr="002B434E">
        <w:rPr>
          <w:sz w:val="24"/>
        </w:rPr>
        <w:t>tent or new invasive tumors in the bladder and the 5-year progression-free survival with pre</w:t>
      </w:r>
      <w:r>
        <w:rPr>
          <w:sz w:val="24"/>
        </w:rPr>
        <w:softHyphen/>
      </w:r>
      <w:r w:rsidRPr="002B434E">
        <w:rPr>
          <w:sz w:val="24"/>
        </w:rPr>
        <w:t>served bladder and 5-year cancer-specific sur</w:t>
      </w:r>
      <w:r>
        <w:rPr>
          <w:sz w:val="24"/>
        </w:rPr>
        <w:softHyphen/>
      </w:r>
      <w:r w:rsidRPr="002B434E">
        <w:rPr>
          <w:sz w:val="24"/>
        </w:rPr>
        <w:t>vival rate was 58.9 and 64.5%, respectively [41]. However, of patients who achieved a complete response, 56% of patients</w:t>
      </w:r>
      <w:r>
        <w:rPr>
          <w:sz w:val="24"/>
        </w:rPr>
        <w:t xml:space="preserve"> </w:t>
      </w:r>
      <w:r w:rsidRPr="002B434E">
        <w:rPr>
          <w:sz w:val="24"/>
        </w:rPr>
        <w:t>had recur</w:t>
      </w:r>
      <w:r>
        <w:rPr>
          <w:sz w:val="24"/>
        </w:rPr>
        <w:softHyphen/>
      </w:r>
      <w:r w:rsidRPr="002B434E">
        <w:rPr>
          <w:sz w:val="24"/>
        </w:rPr>
        <w:t>rence or progression, resulting in 72% of pa</w:t>
      </w:r>
      <w:r>
        <w:rPr>
          <w:sz w:val="24"/>
        </w:rPr>
        <w:softHyphen/>
      </w:r>
      <w:r w:rsidRPr="002B434E">
        <w:rPr>
          <w:sz w:val="24"/>
        </w:rPr>
        <w:t>tients receiving additional therapies and 45% requiring salvage cystectomy, a cystectomy rate similar to that seen in patients who un</w:t>
      </w:r>
      <w:r>
        <w:rPr>
          <w:sz w:val="24"/>
        </w:rPr>
        <w:softHyphen/>
      </w:r>
      <w:r w:rsidRPr="002B434E">
        <w:rPr>
          <w:sz w:val="24"/>
        </w:rPr>
        <w:t>dergo incomplete TURBT as part of BPTT.</w:t>
      </w:r>
      <w:r>
        <w:rPr>
          <w:sz w:val="24"/>
        </w:rPr>
        <w:t xml:space="preserve"> </w:t>
      </w:r>
    </w:p>
    <w:p w14:paraId="46326261" w14:textId="77777777" w:rsidR="00DD566D" w:rsidRPr="002B434E" w:rsidRDefault="00DD566D" w:rsidP="00DD566D">
      <w:pPr>
        <w:spacing w:line="276" w:lineRule="auto"/>
        <w:ind w:firstLine="567"/>
        <w:jc w:val="both"/>
        <w:rPr>
          <w:sz w:val="24"/>
        </w:rPr>
      </w:pPr>
      <w:r w:rsidRPr="002B434E">
        <w:rPr>
          <w:sz w:val="24"/>
        </w:rPr>
        <w:t>Radiotherapy is an alternative to cystec</w:t>
      </w:r>
      <w:r>
        <w:rPr>
          <w:sz w:val="24"/>
        </w:rPr>
        <w:softHyphen/>
      </w:r>
      <w:r w:rsidRPr="002B434E">
        <w:rPr>
          <w:sz w:val="24"/>
        </w:rPr>
        <w:t>tomy for the treatment of MIBC, especially in patients for whom radical surgery is contrain</w:t>
      </w:r>
      <w:r>
        <w:rPr>
          <w:sz w:val="24"/>
        </w:rPr>
        <w:softHyphen/>
      </w:r>
      <w:r w:rsidRPr="002B434E">
        <w:rPr>
          <w:sz w:val="24"/>
        </w:rPr>
        <w:t>dicated (due to advanced age or poor medical condition) or who refuse radical cystectomy. There are two protocols for the implementation of radiotherapy in TMT. Standard radiation therapy regimen includes external-beam radio</w:t>
      </w:r>
      <w:r>
        <w:rPr>
          <w:sz w:val="24"/>
        </w:rPr>
        <w:softHyphen/>
      </w:r>
      <w:r w:rsidRPr="002B434E">
        <w:rPr>
          <w:sz w:val="24"/>
        </w:rPr>
        <w:t>therapy to the bladder and limited pelvic lymph nodes to a starting dose of 40–45 Gy, followed by cystoscopy (if necessary rebiopsy of resid</w:t>
      </w:r>
      <w:r>
        <w:rPr>
          <w:sz w:val="24"/>
        </w:rPr>
        <w:softHyphen/>
      </w:r>
      <w:r w:rsidRPr="002B434E">
        <w:rPr>
          <w:sz w:val="24"/>
        </w:rPr>
        <w:t>ual tumor tissue) and consolidation chemoradi</w:t>
      </w:r>
      <w:r>
        <w:rPr>
          <w:sz w:val="24"/>
        </w:rPr>
        <w:softHyphen/>
      </w:r>
      <w:r w:rsidRPr="002B434E">
        <w:rPr>
          <w:sz w:val="24"/>
        </w:rPr>
        <w:t>otherapy with additional 25 Gy or radiation in case of negative biopsy. The alternative radia</w:t>
      </w:r>
      <w:r>
        <w:rPr>
          <w:sz w:val="24"/>
        </w:rPr>
        <w:softHyphen/>
      </w:r>
      <w:r w:rsidRPr="002B434E">
        <w:rPr>
          <w:sz w:val="24"/>
        </w:rPr>
        <w:t>tion protocol includes full-dose chemoradia</w:t>
      </w:r>
      <w:r>
        <w:rPr>
          <w:sz w:val="24"/>
        </w:rPr>
        <w:softHyphen/>
      </w:r>
      <w:r w:rsidRPr="002B434E">
        <w:rPr>
          <w:sz w:val="24"/>
        </w:rPr>
        <w:t>tion to the whole bladder to 55–65 Gy followed by rebiopsy and surveillance in case of nega</w:t>
      </w:r>
      <w:r>
        <w:rPr>
          <w:sz w:val="24"/>
        </w:rPr>
        <w:softHyphen/>
      </w:r>
      <w:r w:rsidRPr="002B434E">
        <w:rPr>
          <w:sz w:val="24"/>
        </w:rPr>
        <w:t>tive rebiopsy. The standard fractionation used of both radiotherapy protocols is of 1.8–2 Gy/fraction with the total radiation dose to the bladder of 55–70 Gy and 45–50 Gy to the pel</w:t>
      </w:r>
      <w:r>
        <w:rPr>
          <w:sz w:val="24"/>
        </w:rPr>
        <w:softHyphen/>
      </w:r>
      <w:r w:rsidRPr="002B434E">
        <w:rPr>
          <w:sz w:val="24"/>
        </w:rPr>
        <w:t>vic lymph nodes. Compared to solitary radio</w:t>
      </w:r>
      <w:r>
        <w:rPr>
          <w:sz w:val="24"/>
        </w:rPr>
        <w:softHyphen/>
      </w:r>
      <w:r w:rsidRPr="002B434E">
        <w:rPr>
          <w:sz w:val="24"/>
        </w:rPr>
        <w:t>therapy, synchronous radiochemotherapy is associated with increased rates of local control and improved survival. Since the publication of two studies demonstrating significant im</w:t>
      </w:r>
      <w:r>
        <w:rPr>
          <w:sz w:val="24"/>
        </w:rPr>
        <w:softHyphen/>
      </w:r>
      <w:r w:rsidRPr="002B434E">
        <w:rPr>
          <w:sz w:val="24"/>
        </w:rPr>
        <w:t>provements in complete response, overall sur</w:t>
      </w:r>
      <w:r>
        <w:rPr>
          <w:sz w:val="24"/>
        </w:rPr>
        <w:softHyphen/>
      </w:r>
      <w:r w:rsidRPr="002B434E">
        <w:rPr>
          <w:sz w:val="24"/>
        </w:rPr>
        <w:t>vival, and local tumor control with cisplatin-based radiosensitizing chemotherapy followed by external beam radiotherapy [23], a com</w:t>
      </w:r>
      <w:r>
        <w:rPr>
          <w:sz w:val="24"/>
        </w:rPr>
        <w:softHyphen/>
      </w:r>
      <w:r w:rsidRPr="002B434E">
        <w:rPr>
          <w:sz w:val="24"/>
        </w:rPr>
        <w:t>bined cisplatin-based approach is recom</w:t>
      </w:r>
      <w:r>
        <w:rPr>
          <w:sz w:val="24"/>
        </w:rPr>
        <w:softHyphen/>
      </w:r>
      <w:r w:rsidRPr="002B434E">
        <w:rPr>
          <w:sz w:val="24"/>
        </w:rPr>
        <w:t>mended for patients with MIBC. The RTOG showed a complete response rate of 67% when patients with MIBC were treated with induc</w:t>
      </w:r>
      <w:r>
        <w:rPr>
          <w:sz w:val="24"/>
        </w:rPr>
        <w:softHyphen/>
      </w:r>
      <w:r w:rsidRPr="002B434E">
        <w:rPr>
          <w:sz w:val="24"/>
        </w:rPr>
        <w:t>tion chemotherapy [20]. Advances in radio</w:t>
      </w:r>
      <w:r>
        <w:rPr>
          <w:sz w:val="24"/>
        </w:rPr>
        <w:softHyphen/>
      </w:r>
      <w:r w:rsidRPr="002B434E">
        <w:rPr>
          <w:sz w:val="24"/>
        </w:rPr>
        <w:t>therapy techniques can reducelate grade 3 or higher gastrointestinal toxicity beyond the 7% reported in the ACRT arm using 3-dimensional conformal radiotherapy (3DCRT). Intensity modulated radiation therapy (IMRT) and im</w:t>
      </w:r>
      <w:r>
        <w:rPr>
          <w:sz w:val="24"/>
        </w:rPr>
        <w:softHyphen/>
      </w:r>
      <w:r w:rsidRPr="002B434E">
        <w:rPr>
          <w:sz w:val="24"/>
        </w:rPr>
        <w:t>age guidance allow radiation oncologists to de</w:t>
      </w:r>
      <w:r>
        <w:rPr>
          <w:sz w:val="24"/>
        </w:rPr>
        <w:softHyphen/>
      </w:r>
      <w:r w:rsidRPr="002B434E">
        <w:rPr>
          <w:sz w:val="24"/>
        </w:rPr>
        <w:t>liver doses of at least 50Gy to clinical target volumes within the pelvis, while avoiding ex</w:t>
      </w:r>
      <w:r>
        <w:rPr>
          <w:sz w:val="24"/>
        </w:rPr>
        <w:softHyphen/>
      </w:r>
      <w:r w:rsidRPr="002B434E">
        <w:rPr>
          <w:sz w:val="24"/>
        </w:rPr>
        <w:t xml:space="preserve">cessive doses to organs at risk [56]. </w:t>
      </w:r>
    </w:p>
    <w:p w14:paraId="15F50D1D" w14:textId="77777777" w:rsidR="00DD566D" w:rsidRPr="002B434E" w:rsidRDefault="00DD566D" w:rsidP="00DD566D">
      <w:pPr>
        <w:spacing w:line="276" w:lineRule="auto"/>
        <w:ind w:firstLine="567"/>
        <w:jc w:val="both"/>
        <w:rPr>
          <w:b/>
          <w:bCs/>
          <w:sz w:val="24"/>
        </w:rPr>
      </w:pPr>
      <w:r w:rsidRPr="002B434E">
        <w:rPr>
          <w:b/>
          <w:bCs/>
          <w:sz w:val="24"/>
        </w:rPr>
        <w:t xml:space="preserve">Surveillance after trimodal therapy. </w:t>
      </w:r>
    </w:p>
    <w:p w14:paraId="7504DE42" w14:textId="77777777" w:rsidR="00DD566D" w:rsidRPr="002B434E" w:rsidRDefault="00DD566D" w:rsidP="00DD566D">
      <w:pPr>
        <w:spacing w:line="276" w:lineRule="auto"/>
        <w:ind w:firstLine="567"/>
        <w:jc w:val="both"/>
        <w:rPr>
          <w:sz w:val="24"/>
        </w:rPr>
      </w:pPr>
      <w:r w:rsidRPr="002B434E">
        <w:rPr>
          <w:sz w:val="24"/>
        </w:rPr>
        <w:lastRenderedPageBreak/>
        <w:t>The aim of bladder-preserving therapy using the trimodal therapeutic approach for MIBC is to offer a quality of life advantage and avoid the potential morbidity or mortality of radical cystectomy without compromising on</w:t>
      </w:r>
      <w:r>
        <w:rPr>
          <w:sz w:val="24"/>
        </w:rPr>
        <w:softHyphen/>
      </w:r>
      <w:r w:rsidRPr="002B434E">
        <w:rPr>
          <w:sz w:val="24"/>
        </w:rPr>
        <w:t>cologic outcomes [52]. Taking the strict selec</w:t>
      </w:r>
      <w:r>
        <w:rPr>
          <w:sz w:val="24"/>
        </w:rPr>
        <w:softHyphen/>
      </w:r>
      <w:r w:rsidRPr="002B434E">
        <w:rPr>
          <w:sz w:val="24"/>
        </w:rPr>
        <w:t>tion criteria for bladder preserving therapy into account, the primary goal is complete tumor control. It is absolutely necessary that patients undergoing trimodal therapy agree to commit to lifelong surveillance with the option for rad</w:t>
      </w:r>
      <w:r>
        <w:rPr>
          <w:sz w:val="24"/>
        </w:rPr>
        <w:softHyphen/>
      </w:r>
      <w:r w:rsidRPr="002B434E">
        <w:rPr>
          <w:sz w:val="24"/>
        </w:rPr>
        <w:t>ical cystectomy in the case of treatment failure. Regular surveillance consists of physical and cystoscopic examinations including bladder biopsies, abdominal imaging by computed to</w:t>
      </w:r>
      <w:r>
        <w:rPr>
          <w:sz w:val="24"/>
        </w:rPr>
        <w:softHyphen/>
      </w:r>
      <w:r w:rsidRPr="002B434E">
        <w:rPr>
          <w:sz w:val="24"/>
        </w:rPr>
        <w:t>mography or magnetic resonance imaging and cytopathologic examination of urine samples [12,17]. One should also consider that the inci</w:t>
      </w:r>
      <w:r>
        <w:rPr>
          <w:sz w:val="24"/>
        </w:rPr>
        <w:softHyphen/>
      </w:r>
      <w:r w:rsidRPr="002B434E">
        <w:rPr>
          <w:sz w:val="24"/>
        </w:rPr>
        <w:t>dence of developing a urothelial malignancy of the upper urinary tract after primary urothelial carcinoma of the bladder is between 1 and 7%. Therefore, surveillance imaging of the upper tract is recommended every 1–2 years [37].</w:t>
      </w:r>
    </w:p>
    <w:p w14:paraId="56CF8A2E" w14:textId="77777777" w:rsidR="00DD566D" w:rsidRPr="002B434E" w:rsidRDefault="00DD566D" w:rsidP="00DD566D">
      <w:pPr>
        <w:spacing w:line="276" w:lineRule="auto"/>
        <w:ind w:firstLine="567"/>
        <w:jc w:val="both"/>
        <w:rPr>
          <w:b/>
          <w:bCs/>
          <w:sz w:val="24"/>
        </w:rPr>
      </w:pPr>
      <w:r w:rsidRPr="002B434E">
        <w:rPr>
          <w:b/>
          <w:bCs/>
          <w:sz w:val="24"/>
        </w:rPr>
        <w:t>Reasons for choosing a bladder-spar</w:t>
      </w:r>
      <w:r>
        <w:rPr>
          <w:b/>
          <w:bCs/>
          <w:sz w:val="24"/>
        </w:rPr>
        <w:softHyphen/>
      </w:r>
      <w:r w:rsidRPr="002B434E">
        <w:rPr>
          <w:b/>
          <w:bCs/>
          <w:sz w:val="24"/>
        </w:rPr>
        <w:t>ing treatment</w:t>
      </w:r>
    </w:p>
    <w:p w14:paraId="72F4D874" w14:textId="77777777" w:rsidR="00DD566D" w:rsidRPr="002B434E" w:rsidRDefault="00DD566D" w:rsidP="00DD566D">
      <w:pPr>
        <w:spacing w:line="276" w:lineRule="auto"/>
        <w:ind w:firstLine="567"/>
        <w:jc w:val="both"/>
        <w:rPr>
          <w:sz w:val="24"/>
        </w:rPr>
      </w:pPr>
      <w:r w:rsidRPr="002B434E">
        <w:rPr>
          <w:sz w:val="24"/>
        </w:rPr>
        <w:t>An important reason for choosing a blad</w:t>
      </w:r>
      <w:r>
        <w:rPr>
          <w:sz w:val="24"/>
        </w:rPr>
        <w:softHyphen/>
      </w:r>
      <w:r w:rsidRPr="002B434E">
        <w:rPr>
          <w:sz w:val="24"/>
        </w:rPr>
        <w:t>der-sparing therapy such as the trimodal thera</w:t>
      </w:r>
      <w:r>
        <w:rPr>
          <w:sz w:val="24"/>
        </w:rPr>
        <w:softHyphen/>
      </w:r>
      <w:r w:rsidRPr="002B434E">
        <w:rPr>
          <w:sz w:val="24"/>
        </w:rPr>
        <w:t>peutic approach is preservation of urinary bladder and sexual function. In urodynamic se</w:t>
      </w:r>
      <w:r>
        <w:rPr>
          <w:sz w:val="24"/>
        </w:rPr>
        <w:softHyphen/>
      </w:r>
      <w:r w:rsidRPr="002B434E">
        <w:rPr>
          <w:sz w:val="24"/>
        </w:rPr>
        <w:t>ries and quality of life questionnaires nearly 75% of patients showed normal bladder func</w:t>
      </w:r>
      <w:r>
        <w:rPr>
          <w:sz w:val="24"/>
        </w:rPr>
        <w:softHyphen/>
      </w:r>
      <w:r w:rsidRPr="002B434E">
        <w:rPr>
          <w:sz w:val="24"/>
        </w:rPr>
        <w:t>tion after bladder-sparing surgery. Distress from urinary symptoms was reported in &lt;50% of patients (increased urinary urge 15%; uri</w:t>
      </w:r>
      <w:r>
        <w:rPr>
          <w:sz w:val="24"/>
        </w:rPr>
        <w:softHyphen/>
      </w:r>
      <w:r w:rsidRPr="002B434E">
        <w:rPr>
          <w:sz w:val="24"/>
        </w:rPr>
        <w:t>nary incontinence 19%) [13]. Efstathiou et al. [12] examined the prevalence of genitourinary or gastrointestinal pelvic toxicity in 157 pa</w:t>
      </w:r>
      <w:r>
        <w:rPr>
          <w:sz w:val="24"/>
        </w:rPr>
        <w:softHyphen/>
      </w:r>
      <w:r w:rsidRPr="002B434E">
        <w:rPr>
          <w:sz w:val="24"/>
        </w:rPr>
        <w:t>tients 2 years after bladder-preserving therapy and found no incidences of grade 4 toxicity in their cohort; 7% of patients showed grade 3 toxicity (urinary urgency and hematuria was reported by 5–7% of patients; sigmoid obstruc</w:t>
      </w:r>
      <w:r>
        <w:rPr>
          <w:sz w:val="24"/>
        </w:rPr>
        <w:softHyphen/>
      </w:r>
      <w:r w:rsidRPr="002B434E">
        <w:rPr>
          <w:sz w:val="24"/>
        </w:rPr>
        <w:t>tion or proctitis was reported in 1.9%). Also, there was no indication for salvage cystectomy secondary to pelvic toxicity. A small, nonad</w:t>
      </w:r>
      <w:r>
        <w:rPr>
          <w:sz w:val="24"/>
        </w:rPr>
        <w:softHyphen/>
      </w:r>
      <w:r w:rsidRPr="002B434E">
        <w:rPr>
          <w:sz w:val="24"/>
        </w:rPr>
        <w:t>justed, case-controlled series of 33 patients with biopsy-proven T2-T4a, N0, M0 urothelial bladder cancer showed similar overall and dis</w:t>
      </w:r>
      <w:r>
        <w:rPr>
          <w:sz w:val="24"/>
        </w:rPr>
        <w:softHyphen/>
      </w:r>
      <w:r w:rsidRPr="002B434E">
        <w:rPr>
          <w:sz w:val="24"/>
        </w:rPr>
        <w:t>ease-free survival rates with</w:t>
      </w:r>
      <w:r>
        <w:rPr>
          <w:sz w:val="24"/>
        </w:rPr>
        <w:t xml:space="preserve"> </w:t>
      </w:r>
      <w:r w:rsidRPr="002B434E">
        <w:rPr>
          <w:sz w:val="24"/>
        </w:rPr>
        <w:t>low toxicity when treated by chemoradiation compared to radical cystectomy alone. The 2- and 5-year overall survival rates after surgery alone (74.4% and 54.8%, respectively) were not significantly dif</w:t>
      </w:r>
      <w:r>
        <w:rPr>
          <w:sz w:val="24"/>
        </w:rPr>
        <w:softHyphen/>
      </w:r>
      <w:r w:rsidRPr="002B434E">
        <w:rPr>
          <w:sz w:val="24"/>
        </w:rPr>
        <w:t>ferent than after chemoradiation (70.2% and 56.6%; P = 0.8). Similarly, 2- and 5-year dis</w:t>
      </w:r>
      <w:r>
        <w:rPr>
          <w:sz w:val="24"/>
        </w:rPr>
        <w:softHyphen/>
      </w:r>
      <w:r w:rsidRPr="002B434E">
        <w:rPr>
          <w:sz w:val="24"/>
        </w:rPr>
        <w:t>ease-free survival rates after surgery alone were 67.8% and 63.2%, compared to 63% and 54.3% after chemoradiation (P = 0.89). Side effects were mild in both groups, with grade 3 toxicity seen in only two surgical and four ir</w:t>
      </w:r>
      <w:r>
        <w:rPr>
          <w:sz w:val="24"/>
        </w:rPr>
        <w:softHyphen/>
      </w:r>
      <w:r w:rsidRPr="002B434E">
        <w:rPr>
          <w:sz w:val="24"/>
        </w:rPr>
        <w:t>radiated patients [35]. A propensity score matched-analysis of 112 patients comparing trimodal therapy and radical cystectomy for patients with MIBC showed a 5-year disease specific survival rate of 73.2% for radical cys</w:t>
      </w:r>
      <w:r>
        <w:rPr>
          <w:sz w:val="24"/>
        </w:rPr>
        <w:softHyphen/>
      </w:r>
      <w:r w:rsidRPr="002B434E">
        <w:rPr>
          <w:sz w:val="24"/>
        </w:rPr>
        <w:t>tectomy and 76.6% for trimodal therapy [56]. In summary, no significant differences be</w:t>
      </w:r>
      <w:r>
        <w:rPr>
          <w:sz w:val="24"/>
        </w:rPr>
        <w:softHyphen/>
      </w:r>
      <w:r w:rsidRPr="002B434E">
        <w:rPr>
          <w:sz w:val="24"/>
        </w:rPr>
        <w:t xml:space="preserve">tween these therapeutic options were observed in these studies. </w:t>
      </w:r>
    </w:p>
    <w:p w14:paraId="3620E0DD" w14:textId="77777777" w:rsidR="00DD566D" w:rsidRPr="002B434E" w:rsidRDefault="00DD566D" w:rsidP="00DD566D">
      <w:pPr>
        <w:spacing w:line="276" w:lineRule="auto"/>
        <w:ind w:firstLine="567"/>
        <w:jc w:val="both"/>
        <w:rPr>
          <w:b/>
          <w:bCs/>
          <w:sz w:val="24"/>
        </w:rPr>
      </w:pPr>
      <w:r w:rsidRPr="002B434E">
        <w:rPr>
          <w:b/>
          <w:bCs/>
          <w:sz w:val="24"/>
        </w:rPr>
        <w:t>CONCLUSION</w:t>
      </w:r>
    </w:p>
    <w:p w14:paraId="265F488A" w14:textId="77777777" w:rsidR="00DD566D" w:rsidRPr="002B434E" w:rsidRDefault="00DD566D" w:rsidP="00DD566D">
      <w:pPr>
        <w:spacing w:line="276" w:lineRule="auto"/>
        <w:ind w:firstLine="567"/>
        <w:jc w:val="both"/>
        <w:rPr>
          <w:sz w:val="24"/>
        </w:rPr>
      </w:pPr>
      <w:r w:rsidRPr="002B434E">
        <w:rPr>
          <w:sz w:val="24"/>
        </w:rPr>
        <w:t>The treatment of MIBC is complex and requires a multidisciplinary collaboration among surgery, radiation, and medical oncol</w:t>
      </w:r>
      <w:r>
        <w:rPr>
          <w:sz w:val="24"/>
        </w:rPr>
        <w:softHyphen/>
      </w:r>
      <w:r w:rsidRPr="002B434E">
        <w:rPr>
          <w:sz w:val="24"/>
        </w:rPr>
        <w:t>ogy. Although perioperative chemotherapy followed by RC and pelvic lymph node dissec</w:t>
      </w:r>
      <w:r>
        <w:rPr>
          <w:sz w:val="24"/>
        </w:rPr>
        <w:softHyphen/>
      </w:r>
      <w:r w:rsidRPr="002B434E">
        <w:rPr>
          <w:sz w:val="24"/>
        </w:rPr>
        <w:t>tion has been established as a standard treat</w:t>
      </w:r>
      <w:r>
        <w:rPr>
          <w:sz w:val="24"/>
        </w:rPr>
        <w:softHyphen/>
      </w:r>
      <w:r w:rsidRPr="002B434E">
        <w:rPr>
          <w:sz w:val="24"/>
        </w:rPr>
        <w:t>ment of MIBC, many patients are either unfit for surgery or ineligible for cisplatin; thus, bladder preservation</w:t>
      </w:r>
      <w:r>
        <w:rPr>
          <w:sz w:val="24"/>
        </w:rPr>
        <w:t xml:space="preserve"> </w:t>
      </w:r>
      <w:r w:rsidRPr="002B434E">
        <w:rPr>
          <w:sz w:val="24"/>
        </w:rPr>
        <w:t>employing the combina</w:t>
      </w:r>
      <w:r>
        <w:rPr>
          <w:sz w:val="24"/>
        </w:rPr>
        <w:softHyphen/>
      </w:r>
      <w:r w:rsidRPr="002B434E">
        <w:rPr>
          <w:sz w:val="24"/>
        </w:rPr>
        <w:t>tion of maximal TURBT, sensitizing chemo</w:t>
      </w:r>
      <w:r>
        <w:rPr>
          <w:sz w:val="24"/>
        </w:rPr>
        <w:softHyphen/>
      </w:r>
      <w:r w:rsidRPr="002B434E">
        <w:rPr>
          <w:sz w:val="24"/>
        </w:rPr>
        <w:t>therapy, and radiation is now an established part of the therapeutic landscape in MIBC. The bladder cancer guidelines published by the American Urological Association, ASCO, the American Society for Radiation Oncology, and the Society of Urologic Oncology now incor</w:t>
      </w:r>
      <w:r>
        <w:rPr>
          <w:sz w:val="24"/>
        </w:rPr>
        <w:softHyphen/>
      </w:r>
      <w:r w:rsidRPr="002B434E">
        <w:rPr>
          <w:sz w:val="24"/>
        </w:rPr>
        <w:t>porate the selective use of these strategies. It may be the preferred management in elderly patients, those with too many other comorbid conditions to consider cystectomy, and in those who, after a good discussion of the alterna</w:t>
      </w:r>
      <w:r>
        <w:rPr>
          <w:sz w:val="24"/>
        </w:rPr>
        <w:softHyphen/>
      </w:r>
      <w:r w:rsidRPr="002B434E">
        <w:rPr>
          <w:sz w:val="24"/>
        </w:rPr>
        <w:t>tives, simply choose it. In the past couple of years, there has been a rapid evolution in blad</w:t>
      </w:r>
      <w:r>
        <w:rPr>
          <w:sz w:val="24"/>
        </w:rPr>
        <w:softHyphen/>
      </w:r>
      <w:r w:rsidRPr="002B434E">
        <w:rPr>
          <w:sz w:val="24"/>
        </w:rPr>
        <w:t xml:space="preserve">der cancer treatment with immuno-oncology, especially checkpoint inhibitors as single agents and/or in combination therapy in the first- and </w:t>
      </w:r>
      <w:r w:rsidRPr="002B434E">
        <w:rPr>
          <w:sz w:val="24"/>
        </w:rPr>
        <w:lastRenderedPageBreak/>
        <w:t>second-line metastatic bladder cancer settings. The multidisciplinary treatment of pa</w:t>
      </w:r>
      <w:r>
        <w:rPr>
          <w:sz w:val="24"/>
        </w:rPr>
        <w:softHyphen/>
      </w:r>
      <w:r w:rsidRPr="002B434E">
        <w:rPr>
          <w:sz w:val="24"/>
        </w:rPr>
        <w:t>tients with MIBC offers the best approach and yields the best outcomes for such patients.</w:t>
      </w:r>
      <w:r>
        <w:rPr>
          <w:sz w:val="24"/>
        </w:rPr>
        <w:t xml:space="preserve"> </w:t>
      </w:r>
      <w:r w:rsidRPr="002B434E">
        <w:rPr>
          <w:sz w:val="24"/>
        </w:rPr>
        <w:t>Fu</w:t>
      </w:r>
      <w:r>
        <w:rPr>
          <w:sz w:val="24"/>
        </w:rPr>
        <w:softHyphen/>
      </w:r>
      <w:r w:rsidRPr="002B434E">
        <w:rPr>
          <w:sz w:val="24"/>
        </w:rPr>
        <w:t>ture trials are focusing on novel techniques and agents; however, randomized data comparing radical cystectomy to BPTT are critically needed to further clarify optimal treatment and patient selection for patients with MIBC. Cor</w:t>
      </w:r>
      <w:r>
        <w:rPr>
          <w:sz w:val="24"/>
        </w:rPr>
        <w:softHyphen/>
      </w:r>
      <w:r w:rsidRPr="002B434E">
        <w:rPr>
          <w:sz w:val="24"/>
        </w:rPr>
        <w:t>rect and careful selection of patients is of high</w:t>
      </w:r>
      <w:r>
        <w:rPr>
          <w:sz w:val="24"/>
        </w:rPr>
        <w:softHyphen/>
      </w:r>
      <w:r w:rsidRPr="002B434E">
        <w:rPr>
          <w:sz w:val="24"/>
        </w:rPr>
        <w:t>est importance for safe and successful trimodal therapy.</w:t>
      </w:r>
    </w:p>
    <w:p w14:paraId="306EB033" w14:textId="77777777" w:rsidR="00DD566D" w:rsidRPr="002B434E" w:rsidRDefault="00DD566D" w:rsidP="00DD566D">
      <w:pPr>
        <w:spacing w:line="276" w:lineRule="auto"/>
        <w:ind w:firstLine="567"/>
        <w:jc w:val="both"/>
        <w:rPr>
          <w:sz w:val="24"/>
        </w:rPr>
      </w:pPr>
      <w:r w:rsidRPr="002B434E">
        <w:rPr>
          <w:sz w:val="24"/>
        </w:rPr>
        <w:t xml:space="preserve"> </w:t>
      </w:r>
    </w:p>
    <w:p w14:paraId="216A54BE" w14:textId="77777777" w:rsidR="00DD566D" w:rsidRPr="002B434E" w:rsidRDefault="00DD566D" w:rsidP="00DD566D">
      <w:pPr>
        <w:spacing w:line="276" w:lineRule="auto"/>
        <w:jc w:val="center"/>
        <w:rPr>
          <w:b/>
          <w:bCs/>
          <w:sz w:val="24"/>
        </w:rPr>
      </w:pPr>
      <w:r w:rsidRPr="002B434E">
        <w:rPr>
          <w:b/>
          <w:bCs/>
          <w:sz w:val="24"/>
        </w:rPr>
        <w:t>REFERENCES</w:t>
      </w:r>
    </w:p>
    <w:p w14:paraId="0741CA0E" w14:textId="77777777" w:rsidR="00DD566D" w:rsidRPr="002B434E" w:rsidRDefault="00DD566D" w:rsidP="00DD566D">
      <w:pPr>
        <w:spacing w:line="276" w:lineRule="auto"/>
        <w:jc w:val="both"/>
        <w:rPr>
          <w:sz w:val="24"/>
        </w:rPr>
      </w:pPr>
    </w:p>
    <w:p w14:paraId="01F12413" w14:textId="77777777" w:rsidR="00DD566D" w:rsidRPr="002B434E" w:rsidRDefault="00DD566D" w:rsidP="00DD566D">
      <w:pPr>
        <w:spacing w:line="276" w:lineRule="auto"/>
        <w:ind w:firstLine="567"/>
        <w:jc w:val="both"/>
        <w:rPr>
          <w:sz w:val="24"/>
        </w:rPr>
      </w:pPr>
      <w:r w:rsidRPr="002B434E">
        <w:rPr>
          <w:sz w:val="24"/>
        </w:rPr>
        <w:t xml:space="preserve">1. Abdollah F, Gandaglia G, Thuret R, et al. Incidence, survival and mortality rates of stage-specific bladder cancer in United States: a trend analysis. Cancer Epidemiol. 2013;37(3):219–25. https://doi.org/10.1016/j.canep.2013.02.002. </w:t>
      </w:r>
    </w:p>
    <w:p w14:paraId="1B01AE18" w14:textId="77777777" w:rsidR="00DD566D" w:rsidRPr="002B434E" w:rsidRDefault="00DD566D" w:rsidP="00DD566D">
      <w:pPr>
        <w:spacing w:line="276" w:lineRule="auto"/>
        <w:ind w:firstLine="567"/>
        <w:jc w:val="both"/>
        <w:rPr>
          <w:sz w:val="24"/>
        </w:rPr>
      </w:pPr>
      <w:r w:rsidRPr="002B434E">
        <w:rPr>
          <w:sz w:val="24"/>
        </w:rPr>
        <w:t>2. Abdollah, F. et al. Incidence, survival and mortality rates of stage-specific bladder cancer in United States: a trend analysis. Can</w:t>
      </w:r>
      <w:r>
        <w:rPr>
          <w:sz w:val="24"/>
        </w:rPr>
        <w:softHyphen/>
      </w:r>
      <w:r w:rsidRPr="002B434E">
        <w:rPr>
          <w:sz w:val="24"/>
        </w:rPr>
        <w:t>cer Epidemiol. 37, 219–225 (2013).</w:t>
      </w:r>
    </w:p>
    <w:p w14:paraId="2A80833F" w14:textId="77777777" w:rsidR="00DD566D" w:rsidRPr="002B434E" w:rsidRDefault="00DD566D" w:rsidP="00DD566D">
      <w:pPr>
        <w:spacing w:line="276" w:lineRule="auto"/>
        <w:ind w:firstLine="567"/>
        <w:jc w:val="both"/>
        <w:rPr>
          <w:sz w:val="24"/>
        </w:rPr>
      </w:pPr>
      <w:r w:rsidRPr="002B434E">
        <w:rPr>
          <w:sz w:val="24"/>
        </w:rPr>
        <w:t>3. Adiyat KT, Katkoori D, Soloway CT, et al. “Complete transurethral resection of bladder tumor”: are the guidelines being fol</w:t>
      </w:r>
      <w:r>
        <w:rPr>
          <w:sz w:val="24"/>
        </w:rPr>
        <w:softHyphen/>
      </w:r>
      <w:r w:rsidRPr="002B434E">
        <w:rPr>
          <w:sz w:val="24"/>
        </w:rPr>
        <w:t>lowed? Urology. 2010;75(2):365–367.</w:t>
      </w:r>
    </w:p>
    <w:p w14:paraId="1F37DF08" w14:textId="77777777" w:rsidR="00DD566D" w:rsidRPr="002B434E" w:rsidRDefault="00DD566D" w:rsidP="00DD566D">
      <w:pPr>
        <w:spacing w:line="276" w:lineRule="auto"/>
        <w:ind w:firstLine="567"/>
        <w:jc w:val="both"/>
        <w:rPr>
          <w:sz w:val="24"/>
        </w:rPr>
      </w:pPr>
      <w:r w:rsidRPr="002B434E">
        <w:rPr>
          <w:sz w:val="24"/>
        </w:rPr>
        <w:t>4. Alfred Witjes J, Lebret T, Comperat EM, et al. Updated 2016 EAU guidelines</w:t>
      </w:r>
      <w:r>
        <w:rPr>
          <w:sz w:val="24"/>
        </w:rPr>
        <w:t xml:space="preserve"> </w:t>
      </w:r>
      <w:r w:rsidRPr="002B434E">
        <w:rPr>
          <w:sz w:val="24"/>
        </w:rPr>
        <w:t>on muscle-invasive and metastatic bladder cancer. Eur</w:t>
      </w:r>
      <w:r>
        <w:rPr>
          <w:sz w:val="24"/>
        </w:rPr>
        <w:t xml:space="preserve"> </w:t>
      </w:r>
      <w:r w:rsidRPr="002B434E">
        <w:rPr>
          <w:sz w:val="24"/>
        </w:rPr>
        <w:t>Urol.</w:t>
      </w:r>
      <w:r>
        <w:rPr>
          <w:sz w:val="24"/>
        </w:rPr>
        <w:t xml:space="preserve"> </w:t>
      </w:r>
      <w:r w:rsidRPr="002B434E">
        <w:rPr>
          <w:sz w:val="24"/>
        </w:rPr>
        <w:t>2017;71</w:t>
      </w:r>
    </w:p>
    <w:p w14:paraId="3D73F2E6" w14:textId="77777777" w:rsidR="00DD566D" w:rsidRPr="002B434E" w:rsidRDefault="00DD566D" w:rsidP="00DD566D">
      <w:pPr>
        <w:spacing w:line="276" w:lineRule="auto"/>
        <w:ind w:firstLine="567"/>
        <w:jc w:val="both"/>
        <w:rPr>
          <w:sz w:val="24"/>
        </w:rPr>
      </w:pPr>
      <w:r w:rsidRPr="002B434E">
        <w:rPr>
          <w:sz w:val="24"/>
        </w:rPr>
        <w:t>5. Arias, F. et al. Chemoradiotherapy for muscle invading bladder carcinoma. Final re</w:t>
      </w:r>
      <w:r>
        <w:rPr>
          <w:sz w:val="24"/>
        </w:rPr>
        <w:softHyphen/>
      </w:r>
      <w:r w:rsidRPr="002B434E">
        <w:rPr>
          <w:sz w:val="24"/>
        </w:rPr>
        <w:t>port of a single institutional organ-sparing pro</w:t>
      </w:r>
      <w:r>
        <w:rPr>
          <w:sz w:val="24"/>
        </w:rPr>
        <w:softHyphen/>
      </w:r>
      <w:r w:rsidRPr="002B434E">
        <w:rPr>
          <w:sz w:val="24"/>
        </w:rPr>
        <w:t>gram. Int. J. Radiat. Oncol. Biol. Phys. 47, 373–378 (2000).</w:t>
      </w:r>
    </w:p>
    <w:p w14:paraId="243A35DA" w14:textId="77777777" w:rsidR="00DD566D" w:rsidRPr="002B434E" w:rsidRDefault="00DD566D" w:rsidP="00DD566D">
      <w:pPr>
        <w:spacing w:line="276" w:lineRule="auto"/>
        <w:ind w:firstLine="567"/>
        <w:jc w:val="both"/>
        <w:rPr>
          <w:sz w:val="24"/>
        </w:rPr>
      </w:pPr>
      <w:r w:rsidRPr="002B434E">
        <w:rPr>
          <w:sz w:val="24"/>
        </w:rPr>
        <w:t>6. Burger M, Catto JWF, Dalbagni G, Grossman HB, Herr H. Karakiewicz P, et al. Epidemiology and risk factors of urothelial bladder cancer. Eur Urol. 2013;63(2):234–41. https://doi.org/10.1016/j.eururo.2012.07.033.</w:t>
      </w:r>
    </w:p>
    <w:p w14:paraId="6830ACEE" w14:textId="77777777" w:rsidR="00DD566D" w:rsidRPr="002B434E" w:rsidRDefault="00DD566D" w:rsidP="00DD566D">
      <w:pPr>
        <w:spacing w:line="276" w:lineRule="auto"/>
        <w:ind w:firstLine="567"/>
        <w:jc w:val="both"/>
        <w:rPr>
          <w:sz w:val="24"/>
        </w:rPr>
      </w:pPr>
      <w:r w:rsidRPr="002B434E">
        <w:rPr>
          <w:sz w:val="24"/>
        </w:rPr>
        <w:t>7. Choueiri TK, Jacobus S, Bellmunt J, et al. Neoadjuvant dose-dense methotrexate, vinblastine, doxorubicin, and cisplatin with pegfilgrastim support in muscle-invasive urothelial cancer: pathologic, radiologic, and biomarker correlates. J Clin Oncol. 2014; 32:1889-1894.</w:t>
      </w:r>
    </w:p>
    <w:p w14:paraId="2E672444" w14:textId="77777777" w:rsidR="00DD566D" w:rsidRPr="002B434E" w:rsidRDefault="00DD566D" w:rsidP="00DD566D">
      <w:pPr>
        <w:spacing w:line="276" w:lineRule="auto"/>
        <w:ind w:firstLine="567"/>
        <w:jc w:val="both"/>
        <w:rPr>
          <w:sz w:val="24"/>
        </w:rPr>
      </w:pPr>
      <w:r w:rsidRPr="002B434E">
        <w:rPr>
          <w:sz w:val="24"/>
        </w:rPr>
        <w:t>8. Coppin CM, Gospodarowicz MK, James K, et al. Improved local control of inva</w:t>
      </w:r>
      <w:r>
        <w:rPr>
          <w:sz w:val="24"/>
        </w:rPr>
        <w:softHyphen/>
      </w:r>
      <w:r w:rsidRPr="002B434E">
        <w:rPr>
          <w:sz w:val="24"/>
        </w:rPr>
        <w:t>sive bladder cancer by concurrent cisplatin and preoperative or definitive radiation. The na</w:t>
      </w:r>
      <w:r>
        <w:rPr>
          <w:sz w:val="24"/>
        </w:rPr>
        <w:softHyphen/>
      </w:r>
      <w:r w:rsidRPr="002B434E">
        <w:rPr>
          <w:sz w:val="24"/>
        </w:rPr>
        <w:t>tional cancer institute of Canada clinical trials group. J Clin Oncol. 1996;14(11):2901–2907.</w:t>
      </w:r>
    </w:p>
    <w:p w14:paraId="45E71D91" w14:textId="77777777" w:rsidR="00DD566D" w:rsidRPr="002B434E" w:rsidRDefault="00DD566D" w:rsidP="00DD566D">
      <w:pPr>
        <w:spacing w:line="276" w:lineRule="auto"/>
        <w:ind w:firstLine="567"/>
        <w:jc w:val="both"/>
        <w:rPr>
          <w:sz w:val="24"/>
        </w:rPr>
      </w:pPr>
      <w:r w:rsidRPr="002B434E">
        <w:rPr>
          <w:sz w:val="24"/>
        </w:rPr>
        <w:t>9. Cumberbatch MG, Rota M, Catto JW, La Vecchia C. The role of tobacco smoke in bladder and kidney carcinogenesis: a compari</w:t>
      </w:r>
      <w:r>
        <w:rPr>
          <w:sz w:val="24"/>
        </w:rPr>
        <w:softHyphen/>
      </w:r>
      <w:r w:rsidRPr="002B434E">
        <w:rPr>
          <w:sz w:val="24"/>
        </w:rPr>
        <w:t>son of exposures and meta-analysis of inci</w:t>
      </w:r>
      <w:r>
        <w:rPr>
          <w:sz w:val="24"/>
        </w:rPr>
        <w:softHyphen/>
      </w:r>
      <w:r w:rsidRPr="002B434E">
        <w:rPr>
          <w:sz w:val="24"/>
        </w:rPr>
        <w:t>dence and mortality risks. Eur Urol. 2016; 70:458-466.</w:t>
      </w:r>
    </w:p>
    <w:p w14:paraId="4E662DD9" w14:textId="77777777" w:rsidR="00DD566D" w:rsidRPr="002B434E" w:rsidRDefault="00DD566D" w:rsidP="00DD566D">
      <w:pPr>
        <w:spacing w:line="276" w:lineRule="auto"/>
        <w:ind w:firstLine="567"/>
        <w:jc w:val="both"/>
        <w:rPr>
          <w:sz w:val="24"/>
        </w:rPr>
      </w:pPr>
      <w:r w:rsidRPr="002B434E">
        <w:rPr>
          <w:sz w:val="24"/>
        </w:rPr>
        <w:t>10. Donat SM, Shabsigh A, Savage C, Cronin AM, Bochner BH, Dalbagni G, et al. Potential impact of postoperative early compli</w:t>
      </w:r>
      <w:r>
        <w:rPr>
          <w:sz w:val="24"/>
        </w:rPr>
        <w:softHyphen/>
      </w:r>
      <w:r w:rsidRPr="002B434E">
        <w:rPr>
          <w:sz w:val="24"/>
        </w:rPr>
        <w:t>cations on the timing of adjuvant chemother</w:t>
      </w:r>
      <w:r>
        <w:rPr>
          <w:sz w:val="24"/>
        </w:rPr>
        <w:softHyphen/>
      </w:r>
      <w:r w:rsidRPr="002B434E">
        <w:rPr>
          <w:sz w:val="24"/>
        </w:rPr>
        <w:t>apy in patients undergoing radical cystectomy: a high-volume tertiary cancer center experi</w:t>
      </w:r>
      <w:r>
        <w:rPr>
          <w:sz w:val="24"/>
        </w:rPr>
        <w:softHyphen/>
      </w:r>
      <w:r w:rsidRPr="002B434E">
        <w:rPr>
          <w:sz w:val="24"/>
        </w:rPr>
        <w:t>ence. Eur Urol. 2009;55(1):177–86.</w:t>
      </w:r>
    </w:p>
    <w:p w14:paraId="40F9C66F" w14:textId="77777777" w:rsidR="00DD566D" w:rsidRPr="002B434E" w:rsidRDefault="00DD566D" w:rsidP="00DD566D">
      <w:pPr>
        <w:spacing w:line="276" w:lineRule="auto"/>
        <w:ind w:firstLine="567"/>
        <w:jc w:val="both"/>
        <w:rPr>
          <w:sz w:val="24"/>
        </w:rPr>
      </w:pPr>
      <w:r w:rsidRPr="002B434E">
        <w:rPr>
          <w:sz w:val="24"/>
        </w:rPr>
        <w:t>11. Dunst, J. et al. Organ-sparing treat</w:t>
      </w:r>
      <w:r>
        <w:rPr>
          <w:sz w:val="24"/>
        </w:rPr>
        <w:softHyphen/>
      </w:r>
      <w:r w:rsidRPr="002B434E">
        <w:rPr>
          <w:sz w:val="24"/>
        </w:rPr>
        <w:t>ment of advanced bladder cancer: a 10-year ex</w:t>
      </w:r>
      <w:r>
        <w:rPr>
          <w:sz w:val="24"/>
        </w:rPr>
        <w:softHyphen/>
      </w:r>
      <w:r w:rsidRPr="002B434E">
        <w:rPr>
          <w:sz w:val="24"/>
        </w:rPr>
        <w:t>perience. Int. J. Radiat. Oncol. Biol. Phys. 30, 261–266 (1994).</w:t>
      </w:r>
    </w:p>
    <w:p w14:paraId="493E59AE" w14:textId="77777777" w:rsidR="00DD566D" w:rsidRPr="002B434E" w:rsidRDefault="00DD566D" w:rsidP="00DD566D">
      <w:pPr>
        <w:spacing w:line="276" w:lineRule="auto"/>
        <w:ind w:firstLine="567"/>
        <w:jc w:val="both"/>
        <w:rPr>
          <w:sz w:val="24"/>
        </w:rPr>
      </w:pPr>
      <w:r w:rsidRPr="002B434E">
        <w:rPr>
          <w:sz w:val="24"/>
        </w:rPr>
        <w:t>12. Efstathiou JA, Spiegel DY, Shipley WU, Heney NM, Kaufman DS, Niemierko A, et al. Long-term outcomes of selective bladder preservation by combined-modality therapy for invasive bladder cancer: the MGH experi</w:t>
      </w:r>
      <w:r>
        <w:rPr>
          <w:sz w:val="24"/>
        </w:rPr>
        <w:softHyphen/>
      </w:r>
      <w:r w:rsidRPr="002B434E">
        <w:rPr>
          <w:sz w:val="24"/>
        </w:rPr>
        <w:t>ence. Eur Urol. 2012;61(4):705–11.</w:t>
      </w:r>
    </w:p>
    <w:p w14:paraId="78033B61" w14:textId="77777777" w:rsidR="00DD566D" w:rsidRPr="002B434E" w:rsidRDefault="00DD566D" w:rsidP="00DD566D">
      <w:pPr>
        <w:spacing w:line="276" w:lineRule="auto"/>
        <w:ind w:firstLine="567"/>
        <w:jc w:val="both"/>
        <w:rPr>
          <w:sz w:val="24"/>
        </w:rPr>
      </w:pPr>
      <w:r w:rsidRPr="002B434E">
        <w:rPr>
          <w:sz w:val="24"/>
        </w:rPr>
        <w:t>13. Fellin, G. et al. Combined chemo</w:t>
      </w:r>
      <w:r>
        <w:rPr>
          <w:sz w:val="24"/>
        </w:rPr>
        <w:softHyphen/>
      </w:r>
      <w:r w:rsidRPr="002B434E">
        <w:rPr>
          <w:sz w:val="24"/>
        </w:rPr>
        <w:t>therapy and radiation with selective organ preservation for muscle-invasive bladder car</w:t>
      </w:r>
      <w:r>
        <w:rPr>
          <w:sz w:val="24"/>
        </w:rPr>
        <w:softHyphen/>
      </w:r>
      <w:r w:rsidRPr="002B434E">
        <w:rPr>
          <w:sz w:val="24"/>
        </w:rPr>
        <w:t>cinoma. A single-institution phase II study. Br. J. Urol. 80, 44 (1997).</w:t>
      </w:r>
    </w:p>
    <w:p w14:paraId="2F09E9E8" w14:textId="77777777" w:rsidR="00DD566D" w:rsidRPr="002B434E" w:rsidRDefault="00DD566D" w:rsidP="00DD566D">
      <w:pPr>
        <w:spacing w:line="276" w:lineRule="auto"/>
        <w:ind w:firstLine="567"/>
        <w:jc w:val="both"/>
        <w:rPr>
          <w:sz w:val="24"/>
        </w:rPr>
      </w:pPr>
      <w:r w:rsidRPr="002B434E">
        <w:rPr>
          <w:sz w:val="24"/>
        </w:rPr>
        <w:t>14. Golijanin DJ, Kakiashvili D, Madeb RR, Messing EM, Lerner SP. Chemopreven</w:t>
      </w:r>
      <w:r>
        <w:rPr>
          <w:sz w:val="24"/>
        </w:rPr>
        <w:softHyphen/>
      </w:r>
      <w:r w:rsidRPr="002B434E">
        <w:rPr>
          <w:sz w:val="24"/>
        </w:rPr>
        <w:t>tion of bladder cancer. World J Urol. 2006; 24:445-472.</w:t>
      </w:r>
    </w:p>
    <w:p w14:paraId="2A5F31E3" w14:textId="77777777" w:rsidR="00DD566D" w:rsidRPr="002B434E" w:rsidRDefault="00DD566D" w:rsidP="00DD566D">
      <w:pPr>
        <w:spacing w:line="276" w:lineRule="auto"/>
        <w:ind w:firstLine="567"/>
        <w:jc w:val="both"/>
        <w:rPr>
          <w:sz w:val="24"/>
        </w:rPr>
      </w:pPr>
      <w:r w:rsidRPr="002B434E">
        <w:rPr>
          <w:sz w:val="24"/>
        </w:rPr>
        <w:lastRenderedPageBreak/>
        <w:t>15. Grossman HB, Natale RB, Tangen CM, et al. Neoadjuvant chemotherapy plus cystectomy compared with cystectomy alone for locally advanced bladder cancer. N Engl J Med. 2003; 349:859-866.</w:t>
      </w:r>
    </w:p>
    <w:p w14:paraId="2109ABAE" w14:textId="77777777" w:rsidR="00DD566D" w:rsidRPr="002B434E" w:rsidRDefault="00DD566D" w:rsidP="00DD566D">
      <w:pPr>
        <w:spacing w:line="276" w:lineRule="auto"/>
        <w:ind w:firstLine="567"/>
        <w:jc w:val="both"/>
        <w:rPr>
          <w:sz w:val="24"/>
        </w:rPr>
      </w:pPr>
      <w:r w:rsidRPr="002B434E">
        <w:rPr>
          <w:sz w:val="24"/>
        </w:rPr>
        <w:t>16. Group EBCTC. Effect of radiother</w:t>
      </w:r>
      <w:r>
        <w:rPr>
          <w:sz w:val="24"/>
        </w:rPr>
        <w:softHyphen/>
      </w:r>
      <w:r w:rsidRPr="002B434E">
        <w:rPr>
          <w:sz w:val="24"/>
        </w:rPr>
        <w:t>apy after breast conserving surgery on 10-year recurrence and 15-year breast cancer death: metaanalysis of individual patient data for 10 801 women in 17 randomised trials. Lancet. 2011;378(9804):1707–16.</w:t>
      </w:r>
    </w:p>
    <w:p w14:paraId="0B0C005D" w14:textId="77777777" w:rsidR="00DD566D" w:rsidRPr="002B434E" w:rsidRDefault="00DD566D" w:rsidP="00DD566D">
      <w:pPr>
        <w:spacing w:line="276" w:lineRule="auto"/>
        <w:ind w:firstLine="567"/>
        <w:jc w:val="both"/>
        <w:rPr>
          <w:sz w:val="24"/>
        </w:rPr>
      </w:pPr>
      <w:r w:rsidRPr="009E1610">
        <w:rPr>
          <w:sz w:val="24"/>
          <w:lang w:val="de-DE"/>
        </w:rPr>
        <w:t xml:space="preserve">17. Hagan MP, Winter KA, Kaufman DS, et al. </w:t>
      </w:r>
      <w:r w:rsidRPr="002B434E">
        <w:rPr>
          <w:sz w:val="24"/>
        </w:rPr>
        <w:t>RTOG 97-06: initial report of a phase I-II trial of selective bladder conservation us</w:t>
      </w:r>
      <w:r>
        <w:rPr>
          <w:sz w:val="24"/>
        </w:rPr>
        <w:softHyphen/>
      </w:r>
      <w:r w:rsidRPr="002B434E">
        <w:rPr>
          <w:sz w:val="24"/>
        </w:rPr>
        <w:t>ing TURBT, twice-daily accelerated irradia</w:t>
      </w:r>
      <w:r>
        <w:rPr>
          <w:sz w:val="24"/>
        </w:rPr>
        <w:softHyphen/>
      </w:r>
      <w:r w:rsidRPr="002B434E">
        <w:rPr>
          <w:sz w:val="24"/>
        </w:rPr>
        <w:t xml:space="preserve">tion sensitized with cisplatin, and adjuvant MCV combination chemotherapy. Int J Radiat Oncol Biol Phys. 2003;57(3):665–672. </w:t>
      </w:r>
    </w:p>
    <w:p w14:paraId="6676B491" w14:textId="77777777" w:rsidR="00DD566D" w:rsidRPr="002B434E" w:rsidRDefault="00DD566D" w:rsidP="00DD566D">
      <w:pPr>
        <w:spacing w:line="276" w:lineRule="auto"/>
        <w:ind w:firstLine="567"/>
        <w:jc w:val="both"/>
        <w:rPr>
          <w:sz w:val="24"/>
        </w:rPr>
      </w:pPr>
      <w:r w:rsidRPr="002B434E">
        <w:rPr>
          <w:sz w:val="24"/>
        </w:rPr>
        <w:t>18. Herr HW. The value of a second tran</w:t>
      </w:r>
      <w:r>
        <w:rPr>
          <w:sz w:val="24"/>
        </w:rPr>
        <w:softHyphen/>
      </w:r>
      <w:r w:rsidRPr="002B434E">
        <w:rPr>
          <w:sz w:val="24"/>
        </w:rPr>
        <w:t>surethral resection in evaluating patients with bladder tumors. J Urol. 1999;162(1):74–76.</w:t>
      </w:r>
    </w:p>
    <w:p w14:paraId="72FA1522" w14:textId="77777777" w:rsidR="00DD566D" w:rsidRPr="002B434E" w:rsidRDefault="00DD566D" w:rsidP="00DD566D">
      <w:pPr>
        <w:spacing w:line="276" w:lineRule="auto"/>
        <w:ind w:firstLine="567"/>
        <w:jc w:val="both"/>
        <w:rPr>
          <w:sz w:val="24"/>
        </w:rPr>
      </w:pPr>
      <w:r w:rsidRPr="002B434E">
        <w:rPr>
          <w:sz w:val="24"/>
        </w:rPr>
        <w:t>19. Herr HW. Transurethral resection of muscle-invasive bladder cancer: 10-year out</w:t>
      </w:r>
      <w:r>
        <w:rPr>
          <w:sz w:val="24"/>
        </w:rPr>
        <w:softHyphen/>
      </w:r>
      <w:r w:rsidRPr="002B434E">
        <w:rPr>
          <w:sz w:val="24"/>
        </w:rPr>
        <w:t>come. J Clin Oncol. 2001;19(1):89–93.</w:t>
      </w:r>
    </w:p>
    <w:p w14:paraId="7F09C038" w14:textId="77777777" w:rsidR="00DD566D" w:rsidRPr="002B434E" w:rsidRDefault="00DD566D" w:rsidP="00DD566D">
      <w:pPr>
        <w:spacing w:line="276" w:lineRule="auto"/>
        <w:ind w:firstLine="567"/>
        <w:jc w:val="both"/>
        <w:rPr>
          <w:sz w:val="24"/>
        </w:rPr>
      </w:pPr>
      <w:r w:rsidRPr="002B434E">
        <w:rPr>
          <w:sz w:val="24"/>
        </w:rPr>
        <w:t>20. Housset, M. et al. Combined radia</w:t>
      </w:r>
      <w:r>
        <w:rPr>
          <w:sz w:val="24"/>
        </w:rPr>
        <w:softHyphen/>
      </w:r>
      <w:r w:rsidRPr="002B434E">
        <w:rPr>
          <w:sz w:val="24"/>
        </w:rPr>
        <w:t>tion and chemotherapy for invasive transi</w:t>
      </w:r>
      <w:r>
        <w:rPr>
          <w:sz w:val="24"/>
        </w:rPr>
        <w:softHyphen/>
      </w:r>
      <w:r w:rsidRPr="002B434E">
        <w:rPr>
          <w:sz w:val="24"/>
        </w:rPr>
        <w:t>tional-cell carcinoma of the bladder: a prospec</w:t>
      </w:r>
      <w:r>
        <w:rPr>
          <w:sz w:val="24"/>
        </w:rPr>
        <w:softHyphen/>
      </w:r>
      <w:r w:rsidRPr="002B434E">
        <w:rPr>
          <w:sz w:val="24"/>
        </w:rPr>
        <w:t>tive study. J. Clin. Oncol. 11, 2150–2157 (1993).</w:t>
      </w:r>
    </w:p>
    <w:p w14:paraId="342022C0" w14:textId="77777777" w:rsidR="00DD566D" w:rsidRPr="002B434E" w:rsidRDefault="00DD566D" w:rsidP="00DD566D">
      <w:pPr>
        <w:spacing w:line="276" w:lineRule="auto"/>
        <w:ind w:firstLine="567"/>
        <w:jc w:val="both"/>
        <w:rPr>
          <w:sz w:val="24"/>
        </w:rPr>
      </w:pPr>
      <w:r w:rsidRPr="002B434E">
        <w:rPr>
          <w:sz w:val="24"/>
        </w:rPr>
        <w:t>21. Huddart RA, Hall E, Hussain SA, et al. Randomized noninferiority trial of reduced high-dose volume versus standard volume ra</w:t>
      </w:r>
      <w:r>
        <w:rPr>
          <w:sz w:val="24"/>
        </w:rPr>
        <w:softHyphen/>
      </w:r>
      <w:r w:rsidRPr="002B434E">
        <w:rPr>
          <w:sz w:val="24"/>
        </w:rPr>
        <w:t>diation therapy for muscle-invasive bladder cancer: results of the BC2001 trial (CRUK/01/004). Int J Radiat Oncol Biol Phys. 2013;87(2):261–269.</w:t>
      </w:r>
    </w:p>
    <w:p w14:paraId="4FE1E3B6" w14:textId="77777777" w:rsidR="00DD566D" w:rsidRPr="002B434E" w:rsidRDefault="00DD566D" w:rsidP="00DD566D">
      <w:pPr>
        <w:spacing w:line="276" w:lineRule="auto"/>
        <w:ind w:firstLine="567"/>
        <w:jc w:val="both"/>
        <w:rPr>
          <w:sz w:val="24"/>
        </w:rPr>
      </w:pPr>
      <w:r w:rsidRPr="002B434E">
        <w:rPr>
          <w:sz w:val="24"/>
        </w:rPr>
        <w:t>22. International Collaboration of Trial</w:t>
      </w:r>
      <w:r>
        <w:rPr>
          <w:sz w:val="24"/>
        </w:rPr>
        <w:softHyphen/>
      </w:r>
      <w:r w:rsidRPr="002B434E">
        <w:rPr>
          <w:sz w:val="24"/>
        </w:rPr>
        <w:t>ists. International phase III trial assessing neo</w:t>
      </w:r>
      <w:r>
        <w:rPr>
          <w:sz w:val="24"/>
        </w:rPr>
        <w:softHyphen/>
      </w:r>
      <w:r w:rsidRPr="002B434E">
        <w:rPr>
          <w:sz w:val="24"/>
        </w:rPr>
        <w:t>adjuvant cisplatin, methotrexate, and vinblas</w:t>
      </w:r>
      <w:r>
        <w:rPr>
          <w:sz w:val="24"/>
        </w:rPr>
        <w:softHyphen/>
      </w:r>
      <w:r w:rsidRPr="002B434E">
        <w:rPr>
          <w:sz w:val="24"/>
        </w:rPr>
        <w:t>tine chemotherapy for muscle-invasive bladder cancer: long-term results of the BA06 30894 trial. J Clin Oncol. 2011; 29:2171-2177.</w:t>
      </w:r>
    </w:p>
    <w:p w14:paraId="27E98D4B" w14:textId="77777777" w:rsidR="00DD566D" w:rsidRPr="002B434E" w:rsidRDefault="00DD566D" w:rsidP="00DD566D">
      <w:pPr>
        <w:spacing w:line="276" w:lineRule="auto"/>
        <w:ind w:firstLine="567"/>
        <w:jc w:val="both"/>
        <w:rPr>
          <w:sz w:val="24"/>
        </w:rPr>
      </w:pPr>
      <w:r w:rsidRPr="002B434E">
        <w:rPr>
          <w:sz w:val="24"/>
        </w:rPr>
        <w:t>23. James ND, Hussain SA, Hall E, Jen</w:t>
      </w:r>
      <w:r>
        <w:rPr>
          <w:sz w:val="24"/>
        </w:rPr>
        <w:softHyphen/>
      </w:r>
      <w:r w:rsidRPr="002B434E">
        <w:rPr>
          <w:sz w:val="24"/>
        </w:rPr>
        <w:t>kins P, Tremlett J, Rawlings C, et al. Radio</w:t>
      </w:r>
      <w:r>
        <w:rPr>
          <w:sz w:val="24"/>
        </w:rPr>
        <w:softHyphen/>
      </w:r>
      <w:r w:rsidRPr="002B434E">
        <w:rPr>
          <w:sz w:val="24"/>
        </w:rPr>
        <w:t>therapy with or without chemotherapy in mus</w:t>
      </w:r>
      <w:r>
        <w:rPr>
          <w:sz w:val="24"/>
        </w:rPr>
        <w:softHyphen/>
      </w:r>
      <w:r w:rsidRPr="002B434E">
        <w:rPr>
          <w:sz w:val="24"/>
        </w:rPr>
        <w:t>cleinvasive bladder cancer. N Engl J Med. 2012;366(16):1477–88.</w:t>
      </w:r>
    </w:p>
    <w:p w14:paraId="45DE375C" w14:textId="77777777" w:rsidR="00DD566D" w:rsidRPr="002B434E" w:rsidRDefault="00DD566D" w:rsidP="00DD566D">
      <w:pPr>
        <w:spacing w:line="276" w:lineRule="auto"/>
        <w:ind w:firstLine="567"/>
        <w:jc w:val="both"/>
        <w:rPr>
          <w:sz w:val="24"/>
          <w:lang w:val="fr-FR"/>
        </w:rPr>
      </w:pPr>
      <w:r w:rsidRPr="002B434E">
        <w:rPr>
          <w:sz w:val="24"/>
        </w:rPr>
        <w:t>24. Kim YJ, Byun SJ, Ahn H, et al. Com</w:t>
      </w:r>
      <w:r>
        <w:rPr>
          <w:sz w:val="24"/>
        </w:rPr>
        <w:softHyphen/>
      </w:r>
      <w:r w:rsidRPr="002B434E">
        <w:rPr>
          <w:sz w:val="24"/>
        </w:rPr>
        <w:t xml:space="preserve">parison of outcomes between trimodal therapy and radical cystectomy in muscle-invasive bladder cancer: a propensity score matching analysis. </w:t>
      </w:r>
      <w:r w:rsidRPr="00034123">
        <w:rPr>
          <w:sz w:val="24"/>
          <w:lang w:val="fr-FR"/>
        </w:rPr>
        <w:t xml:space="preserve">Oncotarget. </w:t>
      </w:r>
      <w:r w:rsidRPr="002B434E">
        <w:rPr>
          <w:sz w:val="24"/>
          <w:lang w:val="fr-FR"/>
        </w:rPr>
        <w:t>2017;8(40):68996–69004.</w:t>
      </w:r>
    </w:p>
    <w:p w14:paraId="78FE9857" w14:textId="77777777" w:rsidR="00DD566D" w:rsidRPr="002B434E" w:rsidRDefault="00DD566D" w:rsidP="00DD566D">
      <w:pPr>
        <w:spacing w:line="276" w:lineRule="auto"/>
        <w:ind w:firstLine="567"/>
        <w:jc w:val="both"/>
        <w:rPr>
          <w:sz w:val="24"/>
        </w:rPr>
      </w:pPr>
      <w:r w:rsidRPr="002B434E">
        <w:rPr>
          <w:sz w:val="24"/>
          <w:lang w:val="fr-FR"/>
        </w:rPr>
        <w:t xml:space="preserve">25. Lin C-C, Hsu C-H, Cheng JC, Huang C-Y, Tsai Y-C, Hsu F-M, et al. </w:t>
      </w:r>
      <w:r w:rsidRPr="002B434E">
        <w:rPr>
          <w:sz w:val="24"/>
        </w:rPr>
        <w:t>Induction cis</w:t>
      </w:r>
      <w:r>
        <w:rPr>
          <w:sz w:val="24"/>
        </w:rPr>
        <w:softHyphen/>
      </w:r>
      <w:r w:rsidRPr="002B434E">
        <w:rPr>
          <w:sz w:val="24"/>
        </w:rPr>
        <w:t>platin and fluorouracil-based chemotherapy followed by concurrent chemoradiation for muscle-invasive bladder cancer. Int J Radiat Oncol Biol Phys. 2009;75(2):442–8.</w:t>
      </w:r>
    </w:p>
    <w:p w14:paraId="5A272C3A" w14:textId="77777777" w:rsidR="00DD566D" w:rsidRPr="002B434E" w:rsidRDefault="00DD566D" w:rsidP="00DD566D">
      <w:pPr>
        <w:spacing w:line="276" w:lineRule="auto"/>
        <w:ind w:firstLine="567"/>
        <w:jc w:val="both"/>
        <w:rPr>
          <w:sz w:val="24"/>
        </w:rPr>
      </w:pPr>
      <w:r w:rsidRPr="002B434E">
        <w:rPr>
          <w:sz w:val="24"/>
        </w:rPr>
        <w:t>26. M.N. Tillyashaykhov, Sh.N. Ibra</w:t>
      </w:r>
      <w:r>
        <w:rPr>
          <w:sz w:val="24"/>
        </w:rPr>
        <w:softHyphen/>
      </w:r>
      <w:r w:rsidRPr="002B434E">
        <w:rPr>
          <w:sz w:val="24"/>
        </w:rPr>
        <w:t>gimova</w:t>
      </w:r>
      <w:r>
        <w:rPr>
          <w:sz w:val="24"/>
        </w:rPr>
        <w:t xml:space="preserve"> </w:t>
      </w:r>
      <w:r w:rsidRPr="002B434E">
        <w:rPr>
          <w:sz w:val="24"/>
        </w:rPr>
        <w:t>S.M. Janklich et al. State of cancer care to the population of the republic of Uzbek</w:t>
      </w:r>
      <w:r>
        <w:rPr>
          <w:sz w:val="24"/>
        </w:rPr>
        <w:softHyphen/>
      </w:r>
      <w:r w:rsidRPr="002B434E">
        <w:rPr>
          <w:sz w:val="24"/>
        </w:rPr>
        <w:t>istan in 2019:28-35.</w:t>
      </w:r>
    </w:p>
    <w:p w14:paraId="2BD89932" w14:textId="77777777" w:rsidR="00DD566D" w:rsidRPr="002B434E" w:rsidRDefault="00DD566D" w:rsidP="00DD566D">
      <w:pPr>
        <w:spacing w:line="276" w:lineRule="auto"/>
        <w:ind w:firstLine="567"/>
        <w:jc w:val="both"/>
        <w:rPr>
          <w:sz w:val="24"/>
        </w:rPr>
      </w:pPr>
      <w:r w:rsidRPr="002B434E">
        <w:rPr>
          <w:sz w:val="24"/>
        </w:rPr>
        <w:t xml:space="preserve">27. Mak RH, Hunt D, Shipley WU, et al. Long-term outcomes in patients with muscle-invasive bladder cancer after selective bladder-preserving combined-modality therapy: a pooled analysis of radiation therapy oncology group protocols 8802, 8903, 9506, 9706, 9906, and 0233. J Clin Oncol. 2014;32(34):3801–3809. </w:t>
      </w:r>
    </w:p>
    <w:p w14:paraId="2F79CAC3" w14:textId="77777777" w:rsidR="00DD566D" w:rsidRPr="002B434E" w:rsidRDefault="00DD566D" w:rsidP="00DD566D">
      <w:pPr>
        <w:spacing w:line="276" w:lineRule="auto"/>
        <w:ind w:firstLine="567"/>
        <w:jc w:val="both"/>
        <w:rPr>
          <w:sz w:val="24"/>
        </w:rPr>
      </w:pPr>
      <w:r w:rsidRPr="002B434E">
        <w:rPr>
          <w:sz w:val="24"/>
        </w:rPr>
        <w:t>28. Malmstrom PU, Rintala E, Wahlqvist R, et al. Five-year follow-up of a prospective rial of radical cystectomy and neo</w:t>
      </w:r>
      <w:r>
        <w:rPr>
          <w:sz w:val="24"/>
        </w:rPr>
        <w:softHyphen/>
      </w:r>
      <w:r w:rsidRPr="002B434E">
        <w:rPr>
          <w:sz w:val="24"/>
        </w:rPr>
        <w:t>adjuvant chemotherapy: Nordic Cystectomy Trial I. J Urol. 1996;155:1903-1906.</w:t>
      </w:r>
    </w:p>
    <w:p w14:paraId="6E646C22" w14:textId="77777777" w:rsidR="00DD566D" w:rsidRPr="002B434E" w:rsidRDefault="00DD566D" w:rsidP="00DD566D">
      <w:pPr>
        <w:spacing w:line="276" w:lineRule="auto"/>
        <w:ind w:firstLine="567"/>
        <w:jc w:val="both"/>
        <w:rPr>
          <w:sz w:val="24"/>
        </w:rPr>
      </w:pPr>
      <w:r w:rsidRPr="002B434E">
        <w:rPr>
          <w:sz w:val="24"/>
          <w:lang w:val="it-IT"/>
        </w:rPr>
        <w:t>29. Mari A, Campi R, Tellini R, Gandag</w:t>
      </w:r>
      <w:r w:rsidRPr="002B434E">
        <w:rPr>
          <w:sz w:val="24"/>
          <w:lang w:val="it-IT"/>
        </w:rPr>
        <w:softHyphen/>
        <w:t xml:space="preserve">lia G, Albisinni S, Abufaraj M, et al. </w:t>
      </w:r>
      <w:r w:rsidRPr="002B434E">
        <w:rPr>
          <w:sz w:val="24"/>
        </w:rPr>
        <w:t>Patterns and predictors of recurrence after open radical cystectomy for bladder cancer: a comprehen</w:t>
      </w:r>
      <w:r>
        <w:rPr>
          <w:sz w:val="24"/>
        </w:rPr>
        <w:softHyphen/>
      </w:r>
      <w:r w:rsidRPr="002B434E">
        <w:rPr>
          <w:sz w:val="24"/>
        </w:rPr>
        <w:t>sive review of the literature. World J Urol. 2018;36(2):157–70. https://doi.org/10. 1007/s00345-017 2115-4.</w:t>
      </w:r>
    </w:p>
    <w:p w14:paraId="1D9557A1" w14:textId="77777777" w:rsidR="00DD566D" w:rsidRPr="002B434E" w:rsidRDefault="00DD566D" w:rsidP="00DD566D">
      <w:pPr>
        <w:spacing w:line="276" w:lineRule="auto"/>
        <w:ind w:firstLine="567"/>
        <w:jc w:val="both"/>
        <w:rPr>
          <w:sz w:val="24"/>
        </w:rPr>
      </w:pPr>
      <w:r w:rsidRPr="002B434E">
        <w:rPr>
          <w:sz w:val="24"/>
        </w:rPr>
        <w:t>30. Mariappan P, Finney SM, Head E, et al. Good quality white-light transurethral re</w:t>
      </w:r>
      <w:r>
        <w:rPr>
          <w:sz w:val="24"/>
        </w:rPr>
        <w:softHyphen/>
      </w:r>
      <w:r w:rsidRPr="002B434E">
        <w:rPr>
          <w:sz w:val="24"/>
        </w:rPr>
        <w:t>section of bladder tumours (GQ-WLTURBT) with experienced surgeons performing com</w:t>
      </w:r>
      <w:r>
        <w:rPr>
          <w:sz w:val="24"/>
        </w:rPr>
        <w:softHyphen/>
      </w:r>
      <w:r w:rsidRPr="002B434E">
        <w:rPr>
          <w:sz w:val="24"/>
        </w:rPr>
        <w:t>plete resections and obtaining detrusor muscle reduces early recurrence in new non-muscle</w:t>
      </w:r>
      <w:r>
        <w:rPr>
          <w:sz w:val="24"/>
        </w:rPr>
        <w:softHyphen/>
      </w:r>
      <w:r w:rsidRPr="002B434E">
        <w:rPr>
          <w:sz w:val="24"/>
        </w:rPr>
        <w:t xml:space="preserve">invasive bladder cancer: </w:t>
      </w:r>
      <w:r w:rsidRPr="002B434E">
        <w:rPr>
          <w:sz w:val="24"/>
        </w:rPr>
        <w:lastRenderedPageBreak/>
        <w:t>validation across time and place and recommendation for benchmark</w:t>
      </w:r>
      <w:r>
        <w:rPr>
          <w:sz w:val="24"/>
        </w:rPr>
        <w:softHyphen/>
      </w:r>
      <w:r w:rsidRPr="002B434E">
        <w:rPr>
          <w:sz w:val="24"/>
        </w:rPr>
        <w:t>ing. BJU Int. 2012;109(11):1666–1673.</w:t>
      </w:r>
    </w:p>
    <w:p w14:paraId="054F77F6" w14:textId="77777777" w:rsidR="00DD566D" w:rsidRPr="002B434E" w:rsidRDefault="00DD566D" w:rsidP="00DD566D">
      <w:pPr>
        <w:spacing w:line="276" w:lineRule="auto"/>
        <w:ind w:firstLine="567"/>
        <w:jc w:val="both"/>
        <w:rPr>
          <w:sz w:val="24"/>
        </w:rPr>
      </w:pPr>
      <w:r w:rsidRPr="002B434E">
        <w:rPr>
          <w:sz w:val="24"/>
        </w:rPr>
        <w:t>31. Mitin T, George A, Zietman AL, et al. Long-term outcomes among patients who achieve complete or near-complete responses after the induction phase of bladder-preserving combined-modality therapy for muscle-inva</w:t>
      </w:r>
      <w:r>
        <w:rPr>
          <w:sz w:val="24"/>
        </w:rPr>
        <w:softHyphen/>
      </w:r>
      <w:r w:rsidRPr="002B434E">
        <w:rPr>
          <w:sz w:val="24"/>
        </w:rPr>
        <w:t>sive bladder cancer: a pooled analysis of NRG oncology/RTOG 9906 and 0233. Int J Radiat Oncol Biol Phys. 2016;94(1):67–74.</w:t>
      </w:r>
    </w:p>
    <w:p w14:paraId="54B9BBE2" w14:textId="77777777" w:rsidR="00DD566D" w:rsidRPr="002B434E" w:rsidRDefault="00DD566D" w:rsidP="00DD566D">
      <w:pPr>
        <w:spacing w:line="276" w:lineRule="auto"/>
        <w:ind w:firstLine="567"/>
        <w:jc w:val="both"/>
        <w:rPr>
          <w:sz w:val="24"/>
        </w:rPr>
      </w:pPr>
      <w:r w:rsidRPr="002B434E">
        <w:rPr>
          <w:sz w:val="24"/>
        </w:rPr>
        <w:t>32. Mitra, A. P. &amp; Cote, R. J. Molecular screening for bladder cancer: progress and po</w:t>
      </w:r>
      <w:r>
        <w:rPr>
          <w:sz w:val="24"/>
        </w:rPr>
        <w:softHyphen/>
      </w:r>
      <w:r w:rsidRPr="002B434E">
        <w:rPr>
          <w:sz w:val="24"/>
        </w:rPr>
        <w:t>tential. Nat. Rev. Urol. 7, 11–20 (2010).</w:t>
      </w:r>
    </w:p>
    <w:p w14:paraId="7469AAAF" w14:textId="77777777" w:rsidR="00DD566D" w:rsidRPr="002B434E" w:rsidRDefault="00DD566D" w:rsidP="00DD566D">
      <w:pPr>
        <w:spacing w:line="276" w:lineRule="auto"/>
        <w:ind w:firstLine="567"/>
        <w:jc w:val="both"/>
        <w:rPr>
          <w:sz w:val="24"/>
        </w:rPr>
      </w:pPr>
      <w:r w:rsidRPr="002B434E">
        <w:rPr>
          <w:sz w:val="24"/>
        </w:rPr>
        <w:t>33. Neoadjuvant cisplatin, methotrexate, and vinblastine chemotherapy for muscle-in</w:t>
      </w:r>
      <w:r>
        <w:rPr>
          <w:sz w:val="24"/>
        </w:rPr>
        <w:softHyphen/>
      </w:r>
      <w:r w:rsidRPr="002B434E">
        <w:rPr>
          <w:sz w:val="24"/>
        </w:rPr>
        <w:t>vasive bladder cancer: a randomized controlled trial. International Collaboration of Trialists. Lancet. 1999; 354:533-540.</w:t>
      </w:r>
    </w:p>
    <w:p w14:paraId="14C5F6C2" w14:textId="77777777" w:rsidR="00DD566D" w:rsidRPr="002B434E" w:rsidRDefault="00DD566D" w:rsidP="00DD566D">
      <w:pPr>
        <w:spacing w:line="276" w:lineRule="auto"/>
        <w:ind w:firstLine="567"/>
        <w:jc w:val="both"/>
        <w:rPr>
          <w:sz w:val="24"/>
        </w:rPr>
      </w:pPr>
      <w:r w:rsidRPr="002B434E">
        <w:rPr>
          <w:sz w:val="24"/>
        </w:rPr>
        <w:t>34. Plimack ER, Hoffman-Censits JH, Viterbo R, et al. Accelerated methotrexate, vinblastine, doxorubicin, and cisplatin is safe, effective, and efficient neoadjuvant treatment for muscle-invasive bladder cancer: results of a multicenter phase II study with molecular metastasis.</w:t>
      </w:r>
    </w:p>
    <w:p w14:paraId="09983BA2" w14:textId="77777777" w:rsidR="00DD566D" w:rsidRPr="002B434E" w:rsidRDefault="00DD566D" w:rsidP="00DD566D">
      <w:pPr>
        <w:spacing w:line="276" w:lineRule="auto"/>
        <w:ind w:firstLine="567"/>
        <w:jc w:val="both"/>
        <w:rPr>
          <w:sz w:val="24"/>
        </w:rPr>
      </w:pPr>
      <w:r w:rsidRPr="002B434E">
        <w:rPr>
          <w:sz w:val="24"/>
        </w:rPr>
        <w:t>35. Ploussard G, Daneshmand S, Ef</w:t>
      </w:r>
      <w:r>
        <w:rPr>
          <w:sz w:val="24"/>
        </w:rPr>
        <w:softHyphen/>
      </w:r>
      <w:r w:rsidRPr="002B434E">
        <w:rPr>
          <w:sz w:val="24"/>
        </w:rPr>
        <w:t>stathiou JA, et al. Critical analysis of bladder sparing with trimodal therapy in muscle-inva</w:t>
      </w:r>
      <w:r>
        <w:rPr>
          <w:sz w:val="24"/>
        </w:rPr>
        <w:softHyphen/>
      </w:r>
      <w:r w:rsidRPr="002B434E">
        <w:rPr>
          <w:sz w:val="24"/>
        </w:rPr>
        <w:t>sive bladder cancer: a systematic review. Eur Urol. 2014;66(1):120–137.</w:t>
      </w:r>
    </w:p>
    <w:p w14:paraId="30347072" w14:textId="77777777" w:rsidR="00DD566D" w:rsidRPr="002B434E" w:rsidRDefault="00DD566D" w:rsidP="00DD566D">
      <w:pPr>
        <w:spacing w:line="276" w:lineRule="auto"/>
        <w:ind w:firstLine="567"/>
        <w:jc w:val="both"/>
        <w:rPr>
          <w:sz w:val="24"/>
        </w:rPr>
      </w:pPr>
      <w:r w:rsidRPr="002B434E">
        <w:rPr>
          <w:sz w:val="24"/>
        </w:rPr>
        <w:t>36. Prout, G. &amp; Marshall, V. F. The prog</w:t>
      </w:r>
      <w:r>
        <w:rPr>
          <w:sz w:val="24"/>
        </w:rPr>
        <w:softHyphen/>
      </w:r>
      <w:r w:rsidRPr="002B434E">
        <w:rPr>
          <w:sz w:val="24"/>
        </w:rPr>
        <w:t>nosis with untreated bladder tumors. Cancer 9, 551–558 (1956).</w:t>
      </w:r>
    </w:p>
    <w:p w14:paraId="66CAA0E6" w14:textId="77777777" w:rsidR="00DD566D" w:rsidRPr="002B434E" w:rsidRDefault="00DD566D" w:rsidP="00DD566D">
      <w:pPr>
        <w:spacing w:line="276" w:lineRule="auto"/>
        <w:ind w:firstLine="567"/>
        <w:jc w:val="both"/>
        <w:rPr>
          <w:sz w:val="24"/>
        </w:rPr>
      </w:pPr>
      <w:r w:rsidRPr="002B434E">
        <w:rPr>
          <w:sz w:val="24"/>
        </w:rPr>
        <w:t>37. Richards KA, Smith ND, Steinberg GD. The importance of transurethral resection of bladder tumor in the management of non</w:t>
      </w:r>
      <w:r>
        <w:rPr>
          <w:sz w:val="24"/>
        </w:rPr>
        <w:softHyphen/>
      </w:r>
      <w:r w:rsidRPr="002B434E">
        <w:rPr>
          <w:sz w:val="24"/>
        </w:rPr>
        <w:t>muscle invasive bladder cancer: a systematic review of novel technologies. J Urol. 2014;191(6):1655–1664.</w:t>
      </w:r>
    </w:p>
    <w:p w14:paraId="068B8F72" w14:textId="77777777" w:rsidR="00DD566D" w:rsidRPr="002B434E" w:rsidRDefault="00DD566D" w:rsidP="00DD566D">
      <w:pPr>
        <w:spacing w:line="276" w:lineRule="auto"/>
        <w:ind w:firstLine="567"/>
        <w:jc w:val="both"/>
        <w:rPr>
          <w:sz w:val="24"/>
        </w:rPr>
      </w:pPr>
      <w:r w:rsidRPr="002B434E">
        <w:rPr>
          <w:sz w:val="24"/>
        </w:rPr>
        <w:t>38. Rödel C, Grabenbauer GG, Kühn R, Papadopoulos T, Jr D, Meyer M, et al. Com</w:t>
      </w:r>
      <w:r>
        <w:rPr>
          <w:sz w:val="24"/>
        </w:rPr>
        <w:softHyphen/>
      </w:r>
      <w:r w:rsidRPr="002B434E">
        <w:rPr>
          <w:sz w:val="24"/>
        </w:rPr>
        <w:t>bined-modality treatment and selective organ preservation in invasive bladder cancer: long-term results. J Clin Oncol. 2002;20(14):3061–71.</w:t>
      </w:r>
    </w:p>
    <w:p w14:paraId="330AAD81" w14:textId="77777777" w:rsidR="00DD566D" w:rsidRPr="002B434E" w:rsidRDefault="00DD566D" w:rsidP="00DD566D">
      <w:pPr>
        <w:spacing w:line="276" w:lineRule="auto"/>
        <w:ind w:firstLine="567"/>
        <w:jc w:val="both"/>
        <w:rPr>
          <w:sz w:val="24"/>
        </w:rPr>
      </w:pPr>
      <w:r w:rsidRPr="002B434E">
        <w:rPr>
          <w:sz w:val="24"/>
        </w:rPr>
        <w:t>39. Rödel, C. et al. Combined-modality treatment and selective organ preservation in invasive bladder cancer: long-term results. J. Clin. Oncol. 20, 3061–3071 (2002).</w:t>
      </w:r>
    </w:p>
    <w:p w14:paraId="3BAF0455" w14:textId="77777777" w:rsidR="00DD566D" w:rsidRPr="002B434E" w:rsidRDefault="00DD566D" w:rsidP="00DD566D">
      <w:pPr>
        <w:spacing w:line="264" w:lineRule="auto"/>
        <w:ind w:firstLine="567"/>
        <w:jc w:val="both"/>
        <w:rPr>
          <w:sz w:val="24"/>
        </w:rPr>
      </w:pPr>
      <w:r w:rsidRPr="002B434E">
        <w:rPr>
          <w:sz w:val="24"/>
        </w:rPr>
        <w:t>40. Rosenberg SA, Tepper J, Glatstein E, Costa J, Baker A, Brennan M, et al. The treat</w:t>
      </w:r>
      <w:r>
        <w:rPr>
          <w:sz w:val="24"/>
        </w:rPr>
        <w:softHyphen/>
      </w:r>
      <w:r w:rsidRPr="002B434E">
        <w:rPr>
          <w:sz w:val="24"/>
        </w:rPr>
        <w:t xml:space="preserve">ment of soft-tissue sarcomas of the extremities: prospective randomized evaluations of (1) limb-sparing surgery plus radiation therapy compared with amputation and (2) the role of adjuvant chemotherapy. Ann Surg. 1982;196(3):305–15.35 Sischy B, Doggett RS, Krall JM, Taylor DG, Sause WT, Lipsett J. </w:t>
      </w:r>
    </w:p>
    <w:p w14:paraId="4445FBE2" w14:textId="77777777" w:rsidR="00DD566D" w:rsidRPr="002B434E" w:rsidRDefault="00DD566D" w:rsidP="00DD566D">
      <w:pPr>
        <w:spacing w:line="264" w:lineRule="auto"/>
        <w:ind w:firstLine="567"/>
        <w:jc w:val="both"/>
        <w:rPr>
          <w:sz w:val="24"/>
        </w:rPr>
      </w:pPr>
      <w:r w:rsidRPr="002B434E">
        <w:rPr>
          <w:sz w:val="24"/>
        </w:rPr>
        <w:t>41. Sauer, R. et al. Efficacy of radi</w:t>
      </w:r>
      <w:r>
        <w:rPr>
          <w:sz w:val="24"/>
        </w:rPr>
        <w:softHyphen/>
      </w:r>
      <w:r w:rsidRPr="002B434E">
        <w:rPr>
          <w:sz w:val="24"/>
        </w:rPr>
        <w:t>ochemotherapy with platin derivates compared to radiotherapy alone in organ-sparing treat</w:t>
      </w:r>
      <w:r>
        <w:rPr>
          <w:sz w:val="24"/>
        </w:rPr>
        <w:softHyphen/>
      </w:r>
      <w:r w:rsidRPr="002B434E">
        <w:rPr>
          <w:sz w:val="24"/>
        </w:rPr>
        <w:t>ment of bladder cancer. Int. J. Radiat. Biol. Phys. 40, 121–127 (1998).</w:t>
      </w:r>
    </w:p>
    <w:p w14:paraId="4BDCE01F" w14:textId="77777777" w:rsidR="00DD566D" w:rsidRPr="002B434E" w:rsidRDefault="00DD566D" w:rsidP="00DD566D">
      <w:pPr>
        <w:spacing w:line="264" w:lineRule="auto"/>
        <w:ind w:firstLine="567"/>
        <w:jc w:val="both"/>
        <w:rPr>
          <w:sz w:val="24"/>
        </w:rPr>
      </w:pPr>
      <w:r w:rsidRPr="002B434E">
        <w:rPr>
          <w:sz w:val="24"/>
        </w:rPr>
        <w:t xml:space="preserve">42. Sauer, R. et al. Radiotherapy with and without cisplatin in bladder cancer. Int. J. Radiat. Oncol. Biol. Phys. 19, 687–691(1990). </w:t>
      </w:r>
    </w:p>
    <w:p w14:paraId="738EE8FD" w14:textId="77777777" w:rsidR="00DD566D" w:rsidRPr="002B434E" w:rsidRDefault="00DD566D" w:rsidP="00DD566D">
      <w:pPr>
        <w:spacing w:line="264" w:lineRule="auto"/>
        <w:ind w:firstLine="567"/>
        <w:jc w:val="both"/>
        <w:rPr>
          <w:sz w:val="24"/>
        </w:rPr>
      </w:pPr>
      <w:r w:rsidRPr="002B434E">
        <w:rPr>
          <w:sz w:val="24"/>
        </w:rPr>
        <w:t>43. Scosyrev E, Noyes K, Feng C, Mess</w:t>
      </w:r>
      <w:r>
        <w:rPr>
          <w:sz w:val="24"/>
        </w:rPr>
        <w:softHyphen/>
      </w:r>
      <w:r w:rsidRPr="002B434E">
        <w:rPr>
          <w:sz w:val="24"/>
        </w:rPr>
        <w:t xml:space="preserve">ing E. Sex and racial differences in bladder cancer presentation and mortality in the US. Cancer. 2009; 115:68–74. </w:t>
      </w:r>
      <w:hyperlink r:id="rId28" w:history="1">
        <w:r w:rsidRPr="00B72DC6">
          <w:rPr>
            <w:rStyle w:val="a3"/>
            <w:sz w:val="24"/>
          </w:rPr>
          <w:t>https://doi.org/</w:t>
        </w:r>
      </w:hyperlink>
      <w:r>
        <w:rPr>
          <w:sz w:val="24"/>
        </w:rPr>
        <w:t xml:space="preserve">  </w:t>
      </w:r>
      <w:r w:rsidRPr="002B434E">
        <w:rPr>
          <w:sz w:val="24"/>
        </w:rPr>
        <w:t>10.1002/cncr.</w:t>
      </w:r>
    </w:p>
    <w:p w14:paraId="4C8D290C" w14:textId="77777777" w:rsidR="00DD566D" w:rsidRPr="002B434E" w:rsidRDefault="00DD566D" w:rsidP="00DD566D">
      <w:pPr>
        <w:spacing w:line="264" w:lineRule="auto"/>
        <w:ind w:firstLine="567"/>
        <w:jc w:val="both"/>
        <w:rPr>
          <w:sz w:val="24"/>
        </w:rPr>
      </w:pPr>
      <w:r w:rsidRPr="002B434E">
        <w:rPr>
          <w:sz w:val="24"/>
        </w:rPr>
        <w:t>44. Shabsigh A, Korets R, Vora KC, Brooks CM, Cronin AM, Savage C, et al. De</w:t>
      </w:r>
      <w:r>
        <w:rPr>
          <w:sz w:val="24"/>
        </w:rPr>
        <w:softHyphen/>
      </w:r>
      <w:r w:rsidRPr="002B434E">
        <w:rPr>
          <w:sz w:val="24"/>
        </w:rPr>
        <w:t>fining early morbidity of radical cystectomy for patients with bladder cancer using a stand</w:t>
      </w:r>
      <w:r>
        <w:rPr>
          <w:sz w:val="24"/>
        </w:rPr>
        <w:softHyphen/>
      </w:r>
      <w:r w:rsidRPr="002B434E">
        <w:rPr>
          <w:sz w:val="24"/>
        </w:rPr>
        <w:t>ardized reporting methodology. Eur Urol. 2009;55(1):164–76.</w:t>
      </w:r>
    </w:p>
    <w:p w14:paraId="5E6C8401" w14:textId="77777777" w:rsidR="00DD566D" w:rsidRPr="002B434E" w:rsidRDefault="00DD566D" w:rsidP="00DD566D">
      <w:pPr>
        <w:spacing w:line="264" w:lineRule="auto"/>
        <w:ind w:firstLine="567"/>
        <w:jc w:val="both"/>
        <w:rPr>
          <w:sz w:val="24"/>
        </w:rPr>
      </w:pPr>
      <w:r w:rsidRPr="002B434E">
        <w:rPr>
          <w:sz w:val="24"/>
        </w:rPr>
        <w:t>45. Sherif A, Rintala E, Mestad O, et al. Neoadjuvant cisplatin-methotrexate chemo</w:t>
      </w:r>
      <w:r>
        <w:rPr>
          <w:sz w:val="24"/>
        </w:rPr>
        <w:softHyphen/>
      </w:r>
      <w:r w:rsidRPr="002B434E">
        <w:rPr>
          <w:sz w:val="24"/>
        </w:rPr>
        <w:t>therapy for invasive bladder cancer Nordic Cystectomy Trial 2. Scand J Urol Nephrol. 2002; 36:419-425.</w:t>
      </w:r>
    </w:p>
    <w:p w14:paraId="0411019E" w14:textId="77777777" w:rsidR="00DD566D" w:rsidRPr="002B434E" w:rsidRDefault="00DD566D" w:rsidP="00DD566D">
      <w:pPr>
        <w:spacing w:line="264" w:lineRule="auto"/>
        <w:ind w:firstLine="567"/>
        <w:jc w:val="both"/>
        <w:rPr>
          <w:sz w:val="24"/>
        </w:rPr>
      </w:pPr>
      <w:r w:rsidRPr="002B434E">
        <w:rPr>
          <w:sz w:val="24"/>
        </w:rPr>
        <w:lastRenderedPageBreak/>
        <w:t>46. Shipley W, Winter K, Kaufman D, Lee W, Heney N, Tester W, et al. Phase III trial of neoadjuvant chemotherapy in patients with invasive bladder cancer treated with selective bladder preservation by combined radiation therapy and chemotherapy: initial results of Radiation Therapy Oncology Group 89-03. J Clin Oncol.</w:t>
      </w:r>
      <w:r>
        <w:rPr>
          <w:sz w:val="24"/>
        </w:rPr>
        <w:t xml:space="preserve"> </w:t>
      </w:r>
      <w:r w:rsidRPr="002B434E">
        <w:rPr>
          <w:sz w:val="24"/>
        </w:rPr>
        <w:t>1998;16(11):3576–83.</w:t>
      </w:r>
    </w:p>
    <w:p w14:paraId="1B77C96A" w14:textId="77777777" w:rsidR="00DD566D" w:rsidRPr="002B434E" w:rsidRDefault="00DD566D" w:rsidP="00DD566D">
      <w:pPr>
        <w:spacing w:line="264" w:lineRule="auto"/>
        <w:ind w:firstLine="567"/>
        <w:jc w:val="both"/>
        <w:rPr>
          <w:sz w:val="24"/>
        </w:rPr>
      </w:pPr>
      <w:r w:rsidRPr="002B434E">
        <w:rPr>
          <w:sz w:val="24"/>
        </w:rPr>
        <w:t>47. Siegel RL, Miller KD, Jemal A. Can</w:t>
      </w:r>
      <w:r>
        <w:rPr>
          <w:sz w:val="24"/>
        </w:rPr>
        <w:softHyphen/>
      </w:r>
      <w:r w:rsidRPr="002B434E">
        <w:rPr>
          <w:sz w:val="24"/>
        </w:rPr>
        <w:t>cer statistics, 2018. CA Cancer</w:t>
      </w:r>
      <w:r>
        <w:rPr>
          <w:sz w:val="24"/>
        </w:rPr>
        <w:t xml:space="preserve"> </w:t>
      </w:r>
      <w:r w:rsidRPr="002B434E">
        <w:rPr>
          <w:sz w:val="24"/>
        </w:rPr>
        <w:t>J</w:t>
      </w:r>
      <w:r>
        <w:rPr>
          <w:sz w:val="24"/>
        </w:rPr>
        <w:t xml:space="preserve"> </w:t>
      </w:r>
      <w:r w:rsidRPr="002B434E">
        <w:rPr>
          <w:sz w:val="24"/>
        </w:rPr>
        <w:t>Clin.2018;68:7-30.</w:t>
      </w:r>
    </w:p>
    <w:p w14:paraId="5D76B821" w14:textId="77777777" w:rsidR="00DD566D" w:rsidRPr="002B434E" w:rsidRDefault="00DD566D" w:rsidP="00DD566D">
      <w:pPr>
        <w:spacing w:line="264" w:lineRule="auto"/>
        <w:ind w:firstLine="567"/>
        <w:jc w:val="both"/>
        <w:rPr>
          <w:sz w:val="24"/>
        </w:rPr>
      </w:pPr>
      <w:r w:rsidRPr="002B434E">
        <w:rPr>
          <w:sz w:val="24"/>
        </w:rPr>
        <w:t>48. Siegel RL, Miller KD. Cancer statis</w:t>
      </w:r>
      <w:r>
        <w:rPr>
          <w:sz w:val="24"/>
        </w:rPr>
        <w:softHyphen/>
      </w:r>
      <w:r w:rsidRPr="002B434E">
        <w:rPr>
          <w:sz w:val="24"/>
        </w:rPr>
        <w:t>tics. CA Cancer J Clin.2019;69(1):7–34. https://doi.org/10.3322/caac.21551.</w:t>
      </w:r>
    </w:p>
    <w:p w14:paraId="2E82B4EA" w14:textId="77777777" w:rsidR="00DD566D" w:rsidRPr="002B434E" w:rsidRDefault="00DD566D" w:rsidP="00DD566D">
      <w:pPr>
        <w:spacing w:line="264" w:lineRule="auto"/>
        <w:ind w:firstLine="567"/>
        <w:jc w:val="both"/>
        <w:rPr>
          <w:sz w:val="24"/>
        </w:rPr>
      </w:pPr>
      <w:r w:rsidRPr="002B434E">
        <w:rPr>
          <w:sz w:val="24"/>
          <w:lang w:val="it-IT"/>
        </w:rPr>
        <w:t xml:space="preserve">49. Solsona E, Iborra I, Collado A, et al. </w:t>
      </w:r>
      <w:r w:rsidRPr="002B434E">
        <w:rPr>
          <w:sz w:val="24"/>
        </w:rPr>
        <w:t>Feasibility of radical transurethral resection as monotherapy for selected patients with muscle invasive bladder cancer. J Urol. 2010;184(2):475–480.</w:t>
      </w:r>
    </w:p>
    <w:p w14:paraId="67633033" w14:textId="77777777" w:rsidR="00DD566D" w:rsidRPr="002B434E" w:rsidRDefault="00DD566D" w:rsidP="00DD566D">
      <w:pPr>
        <w:spacing w:line="264" w:lineRule="auto"/>
        <w:ind w:firstLine="567"/>
        <w:jc w:val="both"/>
        <w:rPr>
          <w:sz w:val="24"/>
        </w:rPr>
      </w:pPr>
      <w:r w:rsidRPr="002B434E">
        <w:rPr>
          <w:sz w:val="24"/>
        </w:rPr>
        <w:t>50. Stein JP, Lieskovsky G, Cote R, et al. Radical cystectomy in the treatment of inva</w:t>
      </w:r>
      <w:r>
        <w:rPr>
          <w:sz w:val="24"/>
        </w:rPr>
        <w:softHyphen/>
      </w:r>
      <w:r w:rsidRPr="002B434E">
        <w:rPr>
          <w:sz w:val="24"/>
        </w:rPr>
        <w:t>sive bladder cancer: long-term results in 1,054 patients. J Clin Oncol. 2001; 19:666-675.</w:t>
      </w:r>
    </w:p>
    <w:p w14:paraId="633D0165" w14:textId="77777777" w:rsidR="00DD566D" w:rsidRPr="002B434E" w:rsidRDefault="00DD566D" w:rsidP="00DD566D">
      <w:pPr>
        <w:spacing w:line="264" w:lineRule="auto"/>
        <w:ind w:firstLine="567"/>
        <w:jc w:val="both"/>
        <w:rPr>
          <w:sz w:val="24"/>
        </w:rPr>
      </w:pPr>
      <w:r w:rsidRPr="002B434E">
        <w:rPr>
          <w:sz w:val="24"/>
        </w:rPr>
        <w:t>51. Stein, J. P. et al. Radical cystectomy in the treatment of invasive bladder cancer: long-term results in 1,054 patients. J. Clin. On</w:t>
      </w:r>
      <w:r>
        <w:rPr>
          <w:sz w:val="24"/>
        </w:rPr>
        <w:softHyphen/>
      </w:r>
      <w:r w:rsidRPr="002B434E">
        <w:rPr>
          <w:sz w:val="24"/>
        </w:rPr>
        <w:t>col. 19, 666–675 (2001).</w:t>
      </w:r>
    </w:p>
    <w:p w14:paraId="366B7CF9" w14:textId="77777777" w:rsidR="00DD566D" w:rsidRPr="002B434E" w:rsidRDefault="00DD566D" w:rsidP="00DD566D">
      <w:pPr>
        <w:spacing w:line="264" w:lineRule="auto"/>
        <w:ind w:firstLine="567"/>
        <w:jc w:val="both"/>
        <w:rPr>
          <w:sz w:val="24"/>
        </w:rPr>
      </w:pPr>
      <w:r w:rsidRPr="002B434E">
        <w:rPr>
          <w:sz w:val="24"/>
        </w:rPr>
        <w:t>52. Volkmer BG, Kuefer R, Bartsch G Jr., et al. Effect of a pT0 cystectomy specimen without neoadjuvant therapy on survival. Can</w:t>
      </w:r>
      <w:r>
        <w:rPr>
          <w:sz w:val="24"/>
        </w:rPr>
        <w:softHyphen/>
      </w:r>
      <w:r w:rsidRPr="002B434E">
        <w:rPr>
          <w:sz w:val="24"/>
        </w:rPr>
        <w:t>cer.2005;104(11):2384–2391.</w:t>
      </w:r>
    </w:p>
    <w:p w14:paraId="54A62AE8" w14:textId="77777777" w:rsidR="00DD566D" w:rsidRPr="002B434E" w:rsidRDefault="00DD566D" w:rsidP="00DD566D">
      <w:pPr>
        <w:spacing w:line="264" w:lineRule="auto"/>
        <w:ind w:firstLine="567"/>
        <w:jc w:val="both"/>
        <w:rPr>
          <w:sz w:val="24"/>
        </w:rPr>
      </w:pPr>
      <w:r w:rsidRPr="002B434E">
        <w:rPr>
          <w:sz w:val="24"/>
        </w:rPr>
        <w:t>Wolf G, Hong K, Fisher S. The Depart</w:t>
      </w:r>
      <w:r>
        <w:rPr>
          <w:sz w:val="24"/>
        </w:rPr>
        <w:softHyphen/>
      </w:r>
      <w:r w:rsidRPr="002B434E">
        <w:rPr>
          <w:sz w:val="24"/>
        </w:rPr>
        <w:t>ment of Veterans Affairs Laryngeal Cancer Study Group: induction chemotherapy plus ra</w:t>
      </w:r>
      <w:r>
        <w:rPr>
          <w:sz w:val="24"/>
        </w:rPr>
        <w:softHyphen/>
      </w:r>
      <w:r w:rsidRPr="002B434E">
        <w:rPr>
          <w:sz w:val="24"/>
        </w:rPr>
        <w:t>diation compared with surgery plus radiation in patients with advanced laryngeal cancer. N Engl J Med. 1991;324(24):1685–90.</w:t>
      </w:r>
    </w:p>
    <w:p w14:paraId="05C8E6F1" w14:textId="77777777" w:rsidR="00DD566D" w:rsidRPr="002B434E" w:rsidRDefault="00DD566D" w:rsidP="00DD566D">
      <w:pPr>
        <w:spacing w:line="264" w:lineRule="auto"/>
        <w:ind w:firstLine="567"/>
        <w:jc w:val="both"/>
        <w:rPr>
          <w:sz w:val="24"/>
        </w:rPr>
      </w:pPr>
      <w:r w:rsidRPr="002B434E">
        <w:rPr>
          <w:sz w:val="24"/>
        </w:rPr>
        <w:t>53. Wolf G, Hong K, Fisher S. The De</w:t>
      </w:r>
      <w:r>
        <w:rPr>
          <w:sz w:val="24"/>
        </w:rPr>
        <w:softHyphen/>
      </w:r>
      <w:r w:rsidRPr="002B434E">
        <w:rPr>
          <w:sz w:val="24"/>
        </w:rPr>
        <w:t>partment of Veterans Affairs Laryngeal Cancer Study Group: induction chemotherapy plus ra</w:t>
      </w:r>
      <w:r>
        <w:rPr>
          <w:sz w:val="24"/>
        </w:rPr>
        <w:softHyphen/>
      </w:r>
      <w:r w:rsidRPr="002B434E">
        <w:rPr>
          <w:sz w:val="24"/>
        </w:rPr>
        <w:t>diation compared with surgery plus radiation in patients with advanced laryngeal cancer. N Engl J Med. 1991;324(24):1685–90.</w:t>
      </w:r>
    </w:p>
    <w:p w14:paraId="07506B2B" w14:textId="77777777" w:rsidR="00DD566D" w:rsidRPr="002B434E" w:rsidRDefault="00DD566D" w:rsidP="00DD566D">
      <w:pPr>
        <w:spacing w:line="264" w:lineRule="auto"/>
        <w:ind w:firstLine="567"/>
        <w:jc w:val="both"/>
        <w:rPr>
          <w:sz w:val="24"/>
        </w:rPr>
      </w:pPr>
      <w:r w:rsidRPr="002B434E">
        <w:rPr>
          <w:sz w:val="24"/>
        </w:rPr>
        <w:t>54. Yafi FA, Aprikian AG, Chin JL, et al. Contemporary outcomes of 2287 patients with bladder cancer who were treated with rad</w:t>
      </w:r>
      <w:r>
        <w:rPr>
          <w:sz w:val="24"/>
        </w:rPr>
        <w:softHyphen/>
      </w:r>
      <w:r w:rsidRPr="002B434E">
        <w:rPr>
          <w:sz w:val="24"/>
        </w:rPr>
        <w:t>ical cystectomy: a Canadian multicentre expe</w:t>
      </w:r>
      <w:r>
        <w:rPr>
          <w:sz w:val="24"/>
        </w:rPr>
        <w:softHyphen/>
      </w:r>
      <w:r w:rsidRPr="002B434E">
        <w:rPr>
          <w:sz w:val="24"/>
        </w:rPr>
        <w:t>rience. BJU Int. 2011; 108:539-545.</w:t>
      </w:r>
    </w:p>
    <w:p w14:paraId="332C0C44" w14:textId="77777777" w:rsidR="00DD566D" w:rsidRPr="002B434E" w:rsidRDefault="00DD566D" w:rsidP="00DD566D">
      <w:pPr>
        <w:spacing w:line="264" w:lineRule="auto"/>
        <w:ind w:firstLine="567"/>
        <w:jc w:val="both"/>
        <w:rPr>
          <w:sz w:val="24"/>
          <w:lang w:val="es-MX"/>
        </w:rPr>
      </w:pPr>
      <w:r w:rsidRPr="002B434E">
        <w:rPr>
          <w:sz w:val="24"/>
        </w:rPr>
        <w:t>55. Zakaria AS, Santos F, Dragomir A, Tanguay S, Kassouf W, Aprikian AG. Postop</w:t>
      </w:r>
      <w:r>
        <w:rPr>
          <w:sz w:val="24"/>
        </w:rPr>
        <w:softHyphen/>
      </w:r>
      <w:r w:rsidRPr="002B434E">
        <w:rPr>
          <w:sz w:val="24"/>
        </w:rPr>
        <w:t>erative mortality and complications after radi</w:t>
      </w:r>
      <w:r>
        <w:rPr>
          <w:sz w:val="24"/>
        </w:rPr>
        <w:softHyphen/>
      </w:r>
      <w:r w:rsidRPr="002B434E">
        <w:rPr>
          <w:sz w:val="24"/>
        </w:rPr>
        <w:t xml:space="preserve">cal cystectomy for bladder cancer in Quebec: a population-based analysis during the years 2000-2009. </w:t>
      </w:r>
      <w:r w:rsidRPr="002B434E">
        <w:rPr>
          <w:sz w:val="24"/>
          <w:lang w:val="es-MX"/>
        </w:rPr>
        <w:t>Can Urol Assoc J= J Assoc Urol Can. 2014;8(7–8):259–67</w:t>
      </w:r>
    </w:p>
    <w:p w14:paraId="1CEE8CF6" w14:textId="3BDF56A8" w:rsidR="00DD566D" w:rsidRDefault="00DD566D" w:rsidP="00DD566D">
      <w:pPr>
        <w:jc w:val="center"/>
        <w:rPr>
          <w:rFonts w:ascii="Cambria" w:hAnsi="Cambria"/>
          <w:b/>
          <w:bCs/>
          <w:sz w:val="48"/>
          <w:szCs w:val="40"/>
          <w:lang w:val="es-MX"/>
        </w:rPr>
      </w:pPr>
      <w:r w:rsidRPr="002B434E">
        <w:rPr>
          <w:sz w:val="24"/>
          <w:lang w:val="es-MX"/>
        </w:rPr>
        <w:t>56. Zapatero A, De Vidales CM, Arel</w:t>
      </w:r>
      <w:r w:rsidRPr="002B434E">
        <w:rPr>
          <w:sz w:val="24"/>
          <w:lang w:val="es-MX"/>
        </w:rPr>
        <w:softHyphen/>
        <w:t xml:space="preserve">lano R, Ibañez Y, Bocardo G, Perez M, et al. </w:t>
      </w:r>
      <w:r w:rsidRPr="002B434E">
        <w:rPr>
          <w:sz w:val="24"/>
        </w:rPr>
        <w:t>Long-term results of two prospective blad</w:t>
      </w:r>
      <w:r>
        <w:rPr>
          <w:sz w:val="24"/>
        </w:rPr>
        <w:softHyphen/>
      </w:r>
      <w:r w:rsidRPr="002B434E">
        <w:rPr>
          <w:sz w:val="24"/>
        </w:rPr>
        <w:t>dersparing trimodality approaches for invasive bladder cancer: neoadjuvant chemotherapy and concurrent radio-chemotherapy. Urology. 2012;80(5):1056–62.</w:t>
      </w:r>
    </w:p>
    <w:p w14:paraId="22E84D1B" w14:textId="77777777" w:rsidR="00DD566D" w:rsidRPr="00DD566D" w:rsidRDefault="00DD566D" w:rsidP="0068136C">
      <w:pPr>
        <w:jc w:val="center"/>
        <w:rPr>
          <w:rFonts w:ascii="Cambria" w:hAnsi="Cambria"/>
          <w:b/>
          <w:bCs/>
          <w:sz w:val="48"/>
          <w:szCs w:val="40"/>
          <w:lang w:val="es-MX"/>
        </w:rPr>
      </w:pPr>
    </w:p>
    <w:p w14:paraId="68B8448E" w14:textId="48BCF060" w:rsidR="00DD566D" w:rsidRDefault="00DD566D" w:rsidP="0068136C">
      <w:pPr>
        <w:jc w:val="center"/>
        <w:rPr>
          <w:rFonts w:ascii="Cambria" w:hAnsi="Cambria"/>
          <w:b/>
          <w:bCs/>
          <w:sz w:val="48"/>
          <w:szCs w:val="40"/>
          <w:lang w:val="es-MX"/>
        </w:rPr>
      </w:pPr>
    </w:p>
    <w:p w14:paraId="135E739C" w14:textId="2985EE42" w:rsidR="009E1250" w:rsidRDefault="009E1250" w:rsidP="0068136C">
      <w:pPr>
        <w:jc w:val="center"/>
        <w:rPr>
          <w:rFonts w:ascii="Cambria" w:hAnsi="Cambria"/>
          <w:b/>
          <w:bCs/>
          <w:sz w:val="48"/>
          <w:szCs w:val="40"/>
          <w:lang w:val="es-MX"/>
        </w:rPr>
      </w:pPr>
    </w:p>
    <w:p w14:paraId="12121180" w14:textId="5A3625D4" w:rsidR="009E1250" w:rsidRDefault="009E1250" w:rsidP="0068136C">
      <w:pPr>
        <w:jc w:val="center"/>
        <w:rPr>
          <w:rFonts w:ascii="Cambria" w:hAnsi="Cambria"/>
          <w:b/>
          <w:bCs/>
          <w:sz w:val="48"/>
          <w:szCs w:val="40"/>
          <w:lang w:val="es-MX"/>
        </w:rPr>
      </w:pPr>
    </w:p>
    <w:p w14:paraId="6A56170C" w14:textId="03BF09D2" w:rsidR="009E1250" w:rsidRDefault="009E1250" w:rsidP="0068136C">
      <w:pPr>
        <w:jc w:val="center"/>
        <w:rPr>
          <w:rFonts w:ascii="Cambria" w:hAnsi="Cambria"/>
          <w:b/>
          <w:bCs/>
          <w:sz w:val="48"/>
          <w:szCs w:val="40"/>
          <w:lang w:val="es-MX"/>
        </w:rPr>
      </w:pPr>
    </w:p>
    <w:p w14:paraId="52E86453" w14:textId="385DB658" w:rsidR="009E1250" w:rsidRDefault="009E1250" w:rsidP="0068136C">
      <w:pPr>
        <w:jc w:val="center"/>
        <w:rPr>
          <w:rFonts w:ascii="Cambria" w:hAnsi="Cambria"/>
          <w:b/>
          <w:bCs/>
          <w:sz w:val="48"/>
          <w:szCs w:val="40"/>
          <w:lang w:val="es-MX"/>
        </w:rPr>
      </w:pPr>
    </w:p>
    <w:p w14:paraId="7E2920E9" w14:textId="0AE08DC6" w:rsidR="009E1250" w:rsidRDefault="009E1250" w:rsidP="0068136C">
      <w:pPr>
        <w:jc w:val="center"/>
        <w:rPr>
          <w:rFonts w:ascii="Cambria" w:hAnsi="Cambria"/>
          <w:b/>
          <w:bCs/>
          <w:sz w:val="48"/>
          <w:szCs w:val="40"/>
          <w:lang w:val="es-MX"/>
        </w:rPr>
      </w:pPr>
    </w:p>
    <w:p w14:paraId="47979545" w14:textId="083CD80C" w:rsidR="00C83D6A" w:rsidRPr="000E51E4" w:rsidRDefault="009E1250" w:rsidP="0068136C">
      <w:pPr>
        <w:jc w:val="center"/>
        <w:rPr>
          <w:rFonts w:ascii="Cambria" w:hAnsi="Cambria"/>
          <w:b/>
          <w:bCs/>
          <w:sz w:val="48"/>
          <w:szCs w:val="40"/>
          <w:lang w:val="ru-RU"/>
        </w:rPr>
      </w:pPr>
      <w:r w:rsidRPr="009E1250">
        <w:rPr>
          <w:rFonts w:ascii="Cambria" w:hAnsi="Cambria"/>
          <w:b/>
          <w:bCs/>
          <w:sz w:val="48"/>
          <w:szCs w:val="40"/>
          <w:lang w:val="ru-RU"/>
        </w:rPr>
        <w:t>HYGIENE, SANITARY AND EPIDEMIOLOGY</w:t>
      </w:r>
    </w:p>
    <w:tbl>
      <w:tblPr>
        <w:tblW w:w="0" w:type="auto"/>
        <w:tblLook w:val="04A0" w:firstRow="1" w:lastRow="0" w:firstColumn="1" w:lastColumn="0" w:noHBand="0" w:noVBand="1"/>
      </w:tblPr>
      <w:tblGrid>
        <w:gridCol w:w="9629"/>
      </w:tblGrid>
      <w:tr w:rsidR="00C83D6A" w14:paraId="2DE94125" w14:textId="77777777" w:rsidTr="008664B6">
        <w:tc>
          <w:tcPr>
            <w:tcW w:w="9629" w:type="dxa"/>
            <w:tcBorders>
              <w:top w:val="nil"/>
              <w:left w:val="nil"/>
              <w:bottom w:val="thinThickSmallGap" w:sz="12" w:space="0" w:color="2E74B5" w:themeColor="accent5" w:themeShade="BF"/>
              <w:right w:val="nil"/>
            </w:tcBorders>
          </w:tcPr>
          <w:p w14:paraId="1D4652F5" w14:textId="77777777" w:rsidR="00C83D6A" w:rsidRPr="00D4390E" w:rsidRDefault="00C83D6A" w:rsidP="0068136C">
            <w:pPr>
              <w:rPr>
                <w:rFonts w:ascii="Cambria" w:hAnsi="Cambria"/>
                <w:sz w:val="20"/>
                <w:szCs w:val="16"/>
                <w:lang w:val="ru-RU"/>
              </w:rPr>
            </w:pPr>
          </w:p>
        </w:tc>
      </w:tr>
    </w:tbl>
    <w:p w14:paraId="0A5B5461" w14:textId="6CC0BA0B" w:rsidR="00C83D6A" w:rsidRPr="00231A23" w:rsidRDefault="00C83D6A" w:rsidP="00F20187">
      <w:pPr>
        <w:spacing w:line="276" w:lineRule="auto"/>
        <w:ind w:firstLine="567"/>
        <w:jc w:val="both"/>
        <w:rPr>
          <w:rFonts w:cs="Times New Roman"/>
          <w:sz w:val="24"/>
          <w:szCs w:val="24"/>
          <w:lang w:val="ru-RU"/>
        </w:rPr>
      </w:pPr>
    </w:p>
    <w:p w14:paraId="60FE01DF" w14:textId="15A32EAE" w:rsidR="00F20187" w:rsidRDefault="00F20187" w:rsidP="00231A23">
      <w:pPr>
        <w:spacing w:line="276" w:lineRule="auto"/>
        <w:jc w:val="both"/>
        <w:rPr>
          <w:rFonts w:eastAsia="Times New Roman" w:cs="Times New Roman"/>
          <w:sz w:val="24"/>
          <w:szCs w:val="24"/>
          <w:lang w:eastAsia="ru-RU"/>
        </w:rPr>
      </w:pPr>
      <w:r w:rsidRPr="00F20187">
        <w:rPr>
          <w:rFonts w:eastAsia="Times New Roman" w:cs="Times New Roman"/>
          <w:sz w:val="24"/>
          <w:szCs w:val="24"/>
          <w:lang w:eastAsia="ru-RU"/>
        </w:rPr>
        <w:t>UDC: 612.017.3-056.3</w:t>
      </w:r>
    </w:p>
    <w:p w14:paraId="160768DD" w14:textId="77777777" w:rsidR="00231A23" w:rsidRDefault="00231A23" w:rsidP="0023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sz w:val="24"/>
          <w:szCs w:val="24"/>
          <w:lang w:eastAsia="ru-RU"/>
        </w:rPr>
      </w:pPr>
    </w:p>
    <w:p w14:paraId="0B9AB93B" w14:textId="028DD3EA" w:rsidR="00F20187" w:rsidRPr="00F20187" w:rsidRDefault="00F20187" w:rsidP="00F130D7">
      <w:pPr>
        <w:pStyle w:val="1"/>
      </w:pPr>
      <w:bookmarkStart w:id="14" w:name="_Toc104745737"/>
      <w:r w:rsidRPr="00F20187">
        <w:t>TO THE PROBLEM OF FOOD ALLERGIES AND CROSS-ALLERGIC REACTIONS</w:t>
      </w:r>
      <w:bookmarkEnd w:id="14"/>
      <w:r w:rsidRPr="00F20187">
        <w:t xml:space="preserve"> </w:t>
      </w:r>
    </w:p>
    <w:p w14:paraId="25E61A11" w14:textId="77777777" w:rsidR="00231A23" w:rsidRDefault="00231A23" w:rsidP="00F20187">
      <w:pPr>
        <w:spacing w:line="276" w:lineRule="auto"/>
        <w:ind w:firstLine="567"/>
        <w:jc w:val="both"/>
        <w:rPr>
          <w:rFonts w:eastAsia="Times New Roman" w:cs="Times New Roman"/>
          <w:b/>
          <w:sz w:val="24"/>
          <w:szCs w:val="24"/>
          <w:lang w:eastAsia="ru-RU"/>
        </w:rPr>
      </w:pPr>
    </w:p>
    <w:p w14:paraId="49C0D184" w14:textId="641BBC02" w:rsidR="00F20187" w:rsidRPr="00F20187" w:rsidRDefault="00F20187" w:rsidP="00231A23">
      <w:pPr>
        <w:spacing w:line="276" w:lineRule="auto"/>
        <w:jc w:val="center"/>
        <w:rPr>
          <w:rFonts w:eastAsia="Times New Roman" w:cs="Times New Roman"/>
          <w:b/>
          <w:sz w:val="24"/>
          <w:szCs w:val="24"/>
          <w:lang w:eastAsia="ru-RU"/>
        </w:rPr>
      </w:pPr>
      <w:r w:rsidRPr="00F20187">
        <w:rPr>
          <w:rFonts w:eastAsia="Times New Roman" w:cs="Times New Roman"/>
          <w:b/>
          <w:sz w:val="24"/>
          <w:szCs w:val="24"/>
          <w:lang w:eastAsia="ru-RU"/>
        </w:rPr>
        <w:t>Abdullaeva Dilafruz Gayratovna, Senior lecturer (PhD)</w:t>
      </w:r>
    </w:p>
    <w:p w14:paraId="0532A0EE" w14:textId="17088FF1" w:rsidR="00F20187" w:rsidRPr="00F20187" w:rsidRDefault="00F20187" w:rsidP="00231A23">
      <w:pPr>
        <w:spacing w:line="276" w:lineRule="auto"/>
        <w:jc w:val="center"/>
        <w:rPr>
          <w:rFonts w:eastAsia="Times New Roman" w:cs="Times New Roman"/>
          <w:b/>
          <w:sz w:val="24"/>
          <w:szCs w:val="24"/>
          <w:lang w:val="it-IT" w:eastAsia="ru-RU"/>
        </w:rPr>
      </w:pPr>
      <w:r w:rsidRPr="00F20187">
        <w:rPr>
          <w:rFonts w:eastAsia="Times New Roman" w:cs="Times New Roman"/>
          <w:b/>
          <w:sz w:val="24"/>
          <w:szCs w:val="24"/>
          <w:lang w:val="it-IT" w:eastAsia="ru-RU"/>
        </w:rPr>
        <w:t xml:space="preserve">Azizova Feruza Lutpillaevna, </w:t>
      </w:r>
      <w:r w:rsidRPr="00F20187">
        <w:rPr>
          <w:rFonts w:eastAsia="Times New Roman" w:cs="Times New Roman"/>
          <w:b/>
          <w:sz w:val="24"/>
          <w:szCs w:val="24"/>
          <w:lang w:val="uz-Cyrl-UZ" w:eastAsia="ru-RU"/>
        </w:rPr>
        <w:t>Associate Professor</w:t>
      </w:r>
      <w:r w:rsidRPr="00F20187">
        <w:rPr>
          <w:rFonts w:eastAsia="Times New Roman" w:cs="Times New Roman"/>
          <w:b/>
          <w:sz w:val="24"/>
          <w:szCs w:val="24"/>
          <w:lang w:val="it-IT" w:eastAsia="ru-RU"/>
        </w:rPr>
        <w:t xml:space="preserve"> (DSc)</w:t>
      </w:r>
    </w:p>
    <w:p w14:paraId="02547420" w14:textId="77777777" w:rsidR="00F20187" w:rsidRPr="00F20187" w:rsidRDefault="00F20187" w:rsidP="0023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sz w:val="24"/>
          <w:szCs w:val="24"/>
          <w:lang w:eastAsia="ru-RU"/>
        </w:rPr>
      </w:pPr>
      <w:r w:rsidRPr="00F20187">
        <w:rPr>
          <w:rFonts w:eastAsia="Times New Roman" w:cs="Times New Roman"/>
          <w:sz w:val="24"/>
          <w:szCs w:val="24"/>
          <w:lang w:eastAsia="ru-RU"/>
        </w:rPr>
        <w:t xml:space="preserve">Department of </w:t>
      </w:r>
      <w:r w:rsidRPr="00F20187">
        <w:rPr>
          <w:rFonts w:eastAsia="Times New Roman" w:cs="Times New Roman"/>
          <w:sz w:val="24"/>
          <w:szCs w:val="24"/>
          <w:lang w:val="en" w:eastAsia="ru-RU"/>
        </w:rPr>
        <w:t>hygiene of children, adolescents and food hygiene</w:t>
      </w:r>
      <w:r w:rsidRPr="00F20187">
        <w:rPr>
          <w:rFonts w:eastAsia="Times New Roman" w:cs="Times New Roman"/>
          <w:sz w:val="24"/>
          <w:szCs w:val="24"/>
          <w:lang w:eastAsia="ru-RU"/>
        </w:rPr>
        <w:t>,</w:t>
      </w:r>
    </w:p>
    <w:p w14:paraId="7CF7A2CC" w14:textId="514E3B94" w:rsidR="00F20187" w:rsidRPr="00F20187" w:rsidRDefault="00231A23" w:rsidP="00231A23">
      <w:pPr>
        <w:spacing w:line="276" w:lineRule="auto"/>
        <w:jc w:val="center"/>
        <w:rPr>
          <w:rFonts w:eastAsia="Times New Roman" w:cs="Times New Roman"/>
          <w:sz w:val="24"/>
          <w:szCs w:val="24"/>
          <w:lang w:eastAsia="ru-RU"/>
        </w:rPr>
      </w:pPr>
      <w:r w:rsidRPr="00231A23">
        <w:rPr>
          <w:rFonts w:eastAsia="Times New Roman" w:cs="Times New Roman"/>
          <w:sz w:val="24"/>
          <w:szCs w:val="24"/>
          <w:lang w:eastAsia="ru-RU"/>
        </w:rPr>
        <w:t>Tashkent medical academy, Tashkent, Uzbekistan</w:t>
      </w:r>
    </w:p>
    <w:p w14:paraId="432D6EA3" w14:textId="77777777" w:rsidR="00F20187" w:rsidRPr="00F20187" w:rsidRDefault="00F20187" w:rsidP="00F20187">
      <w:pPr>
        <w:spacing w:line="276" w:lineRule="auto"/>
        <w:ind w:firstLine="567"/>
        <w:jc w:val="both"/>
        <w:rPr>
          <w:rFonts w:eastAsia="Times New Roman" w:cs="Times New Roman"/>
          <w:b/>
          <w:sz w:val="24"/>
          <w:szCs w:val="24"/>
          <w:lang w:eastAsia="ru-RU"/>
        </w:rPr>
      </w:pPr>
    </w:p>
    <w:p w14:paraId="3B93F5C6" w14:textId="348EDFC8" w:rsidR="00F20187" w:rsidRPr="00F20187" w:rsidRDefault="00F20187" w:rsidP="00231A23">
      <w:pPr>
        <w:autoSpaceDE w:val="0"/>
        <w:autoSpaceDN w:val="0"/>
        <w:adjustRightInd w:val="0"/>
        <w:spacing w:line="276" w:lineRule="auto"/>
        <w:ind w:firstLine="567"/>
        <w:jc w:val="both"/>
        <w:rPr>
          <w:rFonts w:eastAsia="Times New Roman" w:cs="Times New Roman"/>
          <w:i/>
          <w:iCs/>
          <w:sz w:val="24"/>
          <w:szCs w:val="24"/>
          <w:lang w:val="en" w:eastAsia="ru-RU"/>
        </w:rPr>
      </w:pPr>
      <w:r w:rsidRPr="00F20187">
        <w:rPr>
          <w:rFonts w:eastAsia="Times New Roman" w:cs="Times New Roman"/>
          <w:b/>
          <w:i/>
          <w:iCs/>
          <w:spacing w:val="5"/>
          <w:sz w:val="24"/>
          <w:szCs w:val="24"/>
          <w:shd w:val="clear" w:color="auto" w:fill="FFFFFF"/>
          <w:lang w:eastAsia="ru-RU"/>
        </w:rPr>
        <w:t>ABSTRACT</w:t>
      </w:r>
      <w:r w:rsidR="00231A23" w:rsidRPr="00231A23">
        <w:rPr>
          <w:rFonts w:eastAsia="Times New Roman" w:cs="Times New Roman"/>
          <w:b/>
          <w:i/>
          <w:iCs/>
          <w:spacing w:val="5"/>
          <w:sz w:val="24"/>
          <w:szCs w:val="24"/>
          <w:shd w:val="clear" w:color="auto" w:fill="FFFFFF"/>
          <w:lang w:eastAsia="ru-RU"/>
        </w:rPr>
        <w:t xml:space="preserve">. </w:t>
      </w:r>
      <w:r w:rsidRPr="00F20187">
        <w:rPr>
          <w:rFonts w:eastAsia="Times New Roman" w:cs="Times New Roman"/>
          <w:i/>
          <w:iCs/>
          <w:sz w:val="24"/>
          <w:szCs w:val="24"/>
          <w:lang w:val="en" w:eastAsia="ru-RU"/>
        </w:rPr>
        <w:t>Food allergy is a global public health problem and needs to be addressed both at the level of individual countries and the global community. Clinical manifestations of the disease cover a wide range of diseases of the gastrointestinal tract, skin and respiratory tract, one of the manifestations of food allergy is oral allergy syndrome (OSA) associated with pollen sensitization. Homologous proteins found in plant foods can cause allergic reactions. To date, diet therapy is the main method of treatment. The main principle of the diet for food allergies is the elimination of allergens and allergen components that are specific to the region and individually for each patient. sick.</w:t>
      </w:r>
    </w:p>
    <w:p w14:paraId="36487EE7" w14:textId="682BC589"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i/>
          <w:sz w:val="24"/>
          <w:szCs w:val="24"/>
          <w:lang w:eastAsia="ru-RU"/>
        </w:rPr>
      </w:pPr>
      <w:r w:rsidRPr="00F20187">
        <w:rPr>
          <w:rFonts w:eastAsia="Times New Roman" w:cs="Times New Roman"/>
          <w:b/>
          <w:i/>
          <w:spacing w:val="5"/>
          <w:sz w:val="24"/>
          <w:szCs w:val="24"/>
          <w:shd w:val="clear" w:color="auto" w:fill="FFFFFF"/>
          <w:lang w:eastAsia="ru-RU"/>
        </w:rPr>
        <w:t>Key words:</w:t>
      </w:r>
      <w:r w:rsidRPr="00F20187">
        <w:rPr>
          <w:rFonts w:eastAsia="Times New Roman" w:cs="Times New Roman"/>
          <w:i/>
          <w:spacing w:val="5"/>
          <w:sz w:val="24"/>
          <w:szCs w:val="24"/>
          <w:shd w:val="clear" w:color="auto" w:fill="FFFFFF"/>
          <w:lang w:eastAsia="ru-RU"/>
        </w:rPr>
        <w:t xml:space="preserve"> food allergy, food allergens, </w:t>
      </w:r>
      <w:r w:rsidRPr="00F20187">
        <w:rPr>
          <w:rFonts w:eastAsia="Times New Roman" w:cs="Times New Roman"/>
          <w:i/>
          <w:sz w:val="24"/>
          <w:szCs w:val="24"/>
          <w:lang w:eastAsia="ru-RU"/>
        </w:rPr>
        <w:t xml:space="preserve">syndrome of cross-reactivity, immunoglobulin E, fungi </w:t>
      </w:r>
    </w:p>
    <w:p w14:paraId="163932D2" w14:textId="77777777" w:rsidR="00F20187" w:rsidRPr="00F20187" w:rsidRDefault="00F20187" w:rsidP="00F20187">
      <w:pPr>
        <w:autoSpaceDE w:val="0"/>
        <w:autoSpaceDN w:val="0"/>
        <w:adjustRightInd w:val="0"/>
        <w:spacing w:line="276" w:lineRule="auto"/>
        <w:ind w:firstLine="567"/>
        <w:jc w:val="both"/>
        <w:rPr>
          <w:rFonts w:eastAsia="Times New Roman" w:cs="Times New Roman"/>
          <w:i/>
          <w:spacing w:val="5"/>
          <w:sz w:val="24"/>
          <w:szCs w:val="24"/>
          <w:shd w:val="clear" w:color="auto" w:fill="FFFFFF"/>
          <w:lang w:eastAsia="ru-RU"/>
        </w:rPr>
      </w:pPr>
    </w:p>
    <w:p w14:paraId="0108D5E2" w14:textId="77777777" w:rsidR="00231A23" w:rsidRPr="00D936B4" w:rsidRDefault="00231A23" w:rsidP="00231A23">
      <w:pPr>
        <w:autoSpaceDE w:val="0"/>
        <w:autoSpaceDN w:val="0"/>
        <w:adjustRightInd w:val="0"/>
        <w:spacing w:line="276" w:lineRule="auto"/>
        <w:jc w:val="both"/>
        <w:rPr>
          <w:rFonts w:eastAsia="Times New Roman" w:cs="Times New Roman"/>
          <w:b/>
          <w:sz w:val="24"/>
          <w:szCs w:val="24"/>
          <w:lang w:eastAsia="ru-RU"/>
        </w:rPr>
      </w:pPr>
    </w:p>
    <w:p w14:paraId="2B5F6008" w14:textId="60684EC5" w:rsidR="00F20187" w:rsidRDefault="00F20187" w:rsidP="00F130D7">
      <w:pPr>
        <w:autoSpaceDE w:val="0"/>
        <w:autoSpaceDN w:val="0"/>
        <w:adjustRightInd w:val="0"/>
        <w:spacing w:line="276" w:lineRule="auto"/>
        <w:jc w:val="center"/>
        <w:rPr>
          <w:rFonts w:eastAsia="Times New Roman" w:cs="Times New Roman"/>
          <w:b/>
          <w:sz w:val="24"/>
          <w:szCs w:val="24"/>
          <w:lang w:val="ru-RU" w:eastAsia="ru-RU"/>
        </w:rPr>
      </w:pPr>
      <w:r w:rsidRPr="00F20187">
        <w:rPr>
          <w:rFonts w:eastAsia="Times New Roman" w:cs="Times New Roman"/>
          <w:b/>
          <w:sz w:val="24"/>
          <w:szCs w:val="24"/>
          <w:lang w:val="ru-RU" w:eastAsia="ru-RU"/>
        </w:rPr>
        <w:t>К ПРОБЛЕМЕ ПИЩЕВОЙ АЛЛЕРГИИ И ПЕРЕКРЕСТНЫХ АЛЛЕРГИЧЕСКИХ РЕАКЦИЙ</w:t>
      </w:r>
    </w:p>
    <w:p w14:paraId="1CA2D434" w14:textId="77777777" w:rsidR="00F130D7" w:rsidRPr="00F20187" w:rsidRDefault="00F130D7" w:rsidP="00F130D7">
      <w:pPr>
        <w:autoSpaceDE w:val="0"/>
        <w:autoSpaceDN w:val="0"/>
        <w:adjustRightInd w:val="0"/>
        <w:spacing w:line="276" w:lineRule="auto"/>
        <w:jc w:val="center"/>
        <w:rPr>
          <w:rFonts w:eastAsia="Times New Roman" w:cs="Times New Roman"/>
          <w:b/>
          <w:sz w:val="24"/>
          <w:szCs w:val="24"/>
          <w:lang w:val="ru-RU" w:eastAsia="ru-RU"/>
        </w:rPr>
      </w:pPr>
    </w:p>
    <w:p w14:paraId="04F3E029" w14:textId="77777777" w:rsidR="00F20187" w:rsidRPr="00F20187" w:rsidRDefault="00F20187" w:rsidP="00F130D7">
      <w:pPr>
        <w:autoSpaceDE w:val="0"/>
        <w:autoSpaceDN w:val="0"/>
        <w:adjustRightInd w:val="0"/>
        <w:spacing w:line="276" w:lineRule="auto"/>
        <w:jc w:val="center"/>
        <w:rPr>
          <w:rFonts w:eastAsia="Times New Roman" w:cs="Times New Roman"/>
          <w:b/>
          <w:sz w:val="24"/>
          <w:szCs w:val="24"/>
          <w:lang w:val="ru-RU" w:eastAsia="ru-RU"/>
        </w:rPr>
      </w:pPr>
      <w:r w:rsidRPr="00F20187">
        <w:rPr>
          <w:rFonts w:eastAsia="Times New Roman" w:cs="Times New Roman"/>
          <w:b/>
          <w:sz w:val="24"/>
          <w:szCs w:val="24"/>
          <w:lang w:val="ru-RU" w:eastAsia="ru-RU"/>
        </w:rPr>
        <w:t xml:space="preserve">Абдуллаева Дилафруз Гайратовна, </w:t>
      </w:r>
      <w:r w:rsidRPr="00F20187">
        <w:rPr>
          <w:rFonts w:eastAsia="Times New Roman" w:cs="Times New Roman"/>
          <w:b/>
          <w:sz w:val="24"/>
          <w:szCs w:val="24"/>
          <w:lang w:eastAsia="ru-RU"/>
        </w:rPr>
        <w:t>PhD</w:t>
      </w:r>
      <w:r w:rsidRPr="00F20187">
        <w:rPr>
          <w:rFonts w:eastAsia="Times New Roman" w:cs="Times New Roman"/>
          <w:b/>
          <w:sz w:val="24"/>
          <w:szCs w:val="24"/>
          <w:lang w:val="ru-RU" w:eastAsia="ru-RU"/>
        </w:rPr>
        <w:t>, старший преподаватель</w:t>
      </w:r>
    </w:p>
    <w:p w14:paraId="1AEB42CA" w14:textId="77777777" w:rsidR="00F20187" w:rsidRPr="00F20187" w:rsidRDefault="00F20187" w:rsidP="00F130D7">
      <w:pPr>
        <w:autoSpaceDE w:val="0"/>
        <w:autoSpaceDN w:val="0"/>
        <w:adjustRightInd w:val="0"/>
        <w:spacing w:line="276" w:lineRule="auto"/>
        <w:jc w:val="center"/>
        <w:rPr>
          <w:rFonts w:eastAsia="Times New Roman" w:cs="Times New Roman"/>
          <w:b/>
          <w:sz w:val="24"/>
          <w:szCs w:val="24"/>
          <w:lang w:val="ru-RU" w:eastAsia="ru-RU"/>
        </w:rPr>
      </w:pPr>
      <w:r w:rsidRPr="00F20187">
        <w:rPr>
          <w:rFonts w:eastAsia="Times New Roman" w:cs="Times New Roman"/>
          <w:b/>
          <w:sz w:val="24"/>
          <w:szCs w:val="24"/>
          <w:lang w:val="ru-RU" w:eastAsia="ru-RU"/>
        </w:rPr>
        <w:t>Азизова Феруза Лютпиллаевна, д.м.н., доцент</w:t>
      </w:r>
    </w:p>
    <w:p w14:paraId="3D610543" w14:textId="77777777" w:rsidR="00F130D7" w:rsidRDefault="00F130D7" w:rsidP="00F130D7">
      <w:pPr>
        <w:autoSpaceDE w:val="0"/>
        <w:autoSpaceDN w:val="0"/>
        <w:adjustRightInd w:val="0"/>
        <w:spacing w:line="276" w:lineRule="auto"/>
        <w:jc w:val="center"/>
        <w:rPr>
          <w:rFonts w:eastAsia="Times New Roman" w:cs="Times New Roman"/>
          <w:bCs/>
          <w:sz w:val="24"/>
          <w:szCs w:val="24"/>
          <w:lang w:val="ru-RU" w:eastAsia="ru-RU"/>
        </w:rPr>
      </w:pPr>
      <w:r w:rsidRPr="00E0463D">
        <w:rPr>
          <w:rFonts w:eastAsia="Times New Roman" w:cs="Times New Roman"/>
          <w:bCs/>
          <w:sz w:val="24"/>
          <w:szCs w:val="24"/>
          <w:lang w:val="ru-RU" w:eastAsia="ru-RU"/>
        </w:rPr>
        <w:t>Кафедра гигиены детей, подростков и питания</w:t>
      </w:r>
      <w:r w:rsidRPr="003F771C">
        <w:rPr>
          <w:rFonts w:eastAsia="Times New Roman" w:cs="Times New Roman"/>
          <w:bCs/>
          <w:sz w:val="24"/>
          <w:szCs w:val="24"/>
          <w:lang w:val="ru-RU" w:eastAsia="ru-RU"/>
        </w:rPr>
        <w:t xml:space="preserve">, </w:t>
      </w:r>
    </w:p>
    <w:p w14:paraId="4E13B0D5" w14:textId="77777777" w:rsidR="00F130D7" w:rsidRPr="00E0463D" w:rsidRDefault="00F130D7" w:rsidP="00F130D7">
      <w:pPr>
        <w:autoSpaceDE w:val="0"/>
        <w:autoSpaceDN w:val="0"/>
        <w:adjustRightInd w:val="0"/>
        <w:spacing w:line="276" w:lineRule="auto"/>
        <w:jc w:val="center"/>
        <w:rPr>
          <w:rFonts w:eastAsia="Times New Roman" w:cs="Times New Roman"/>
          <w:bCs/>
          <w:sz w:val="24"/>
          <w:szCs w:val="24"/>
          <w:lang w:val="ru-RU" w:eastAsia="ru-RU"/>
        </w:rPr>
      </w:pPr>
      <w:r w:rsidRPr="00E0463D">
        <w:rPr>
          <w:rFonts w:eastAsia="Times New Roman" w:cs="Times New Roman"/>
          <w:bCs/>
          <w:sz w:val="24"/>
          <w:szCs w:val="24"/>
          <w:lang w:val="ru-RU" w:eastAsia="ru-RU"/>
        </w:rPr>
        <w:t>Ташкентская медицинская академия</w:t>
      </w:r>
      <w:r>
        <w:rPr>
          <w:rFonts w:eastAsia="Times New Roman" w:cs="Times New Roman"/>
          <w:bCs/>
          <w:sz w:val="24"/>
          <w:szCs w:val="24"/>
          <w:lang w:val="ru-RU" w:eastAsia="ru-RU"/>
        </w:rPr>
        <w:t xml:space="preserve">, </w:t>
      </w:r>
      <w:r w:rsidRPr="003F771C">
        <w:rPr>
          <w:rFonts w:eastAsia="Times New Roman" w:cs="Times New Roman"/>
          <w:bCs/>
          <w:sz w:val="24"/>
          <w:szCs w:val="24"/>
          <w:lang w:val="ru-RU" w:eastAsia="ru-RU"/>
        </w:rPr>
        <w:t>Ташкент, Узбекистан</w:t>
      </w:r>
    </w:p>
    <w:p w14:paraId="4E6DF435" w14:textId="3350C9F8" w:rsidR="00F20187" w:rsidRPr="00F20187" w:rsidRDefault="00F20187" w:rsidP="00F20187">
      <w:pPr>
        <w:autoSpaceDE w:val="0"/>
        <w:autoSpaceDN w:val="0"/>
        <w:adjustRightInd w:val="0"/>
        <w:spacing w:line="276" w:lineRule="auto"/>
        <w:ind w:firstLine="567"/>
        <w:jc w:val="both"/>
        <w:rPr>
          <w:rFonts w:eastAsia="Times New Roman" w:cs="Times New Roman"/>
          <w:b/>
          <w:sz w:val="24"/>
          <w:szCs w:val="24"/>
          <w:lang w:val="ru-RU" w:eastAsia="ru-RU"/>
        </w:rPr>
      </w:pPr>
    </w:p>
    <w:p w14:paraId="558C19A4" w14:textId="77777777" w:rsidR="00F20187" w:rsidRPr="00F20187" w:rsidRDefault="00F20187" w:rsidP="00F20187">
      <w:pPr>
        <w:autoSpaceDE w:val="0"/>
        <w:autoSpaceDN w:val="0"/>
        <w:adjustRightInd w:val="0"/>
        <w:spacing w:line="276" w:lineRule="auto"/>
        <w:ind w:firstLine="567"/>
        <w:jc w:val="both"/>
        <w:rPr>
          <w:rFonts w:eastAsia="Times New Roman" w:cs="Times New Roman"/>
          <w:i/>
          <w:iCs/>
          <w:sz w:val="24"/>
          <w:szCs w:val="24"/>
          <w:lang w:val="ru-RU" w:eastAsia="ru-RU"/>
        </w:rPr>
      </w:pPr>
      <w:r w:rsidRPr="00F20187">
        <w:rPr>
          <w:rFonts w:eastAsia="Times New Roman" w:cs="Times New Roman"/>
          <w:i/>
          <w:iCs/>
          <w:sz w:val="24"/>
          <w:szCs w:val="24"/>
          <w:lang w:val="ru-RU" w:eastAsia="ru-RU"/>
        </w:rPr>
        <w:t xml:space="preserve">Пищевая аллергия является глобальной проблемой общественного здравоохранения и требует решения как на уровне отдельных стран, так и мирового сообщества. Клинические проявления заболевания охватывают широкий спектр заболеваний желудочно-кишечного тракта, кожи и дыхательных путей, одним из проявлений пищевой аллергии является оральный аллергический синдром (ОАС), связанный с сенсибилизацией к пыльце. Гомологичные белки, содержащиеся в растительных продуктах, могут вызывать аллергические реакции. На сегодняшний день диетотерапия является основным методом лечения. Основным принципом диеты при пищевой аллергии является устранение аллергенов и компонентов аллергенов, характерных для региона и индивидуально для каждого больного. больного. </w:t>
      </w:r>
    </w:p>
    <w:p w14:paraId="7AC07D9E" w14:textId="77777777" w:rsidR="00F20187" w:rsidRPr="00F20187" w:rsidRDefault="00F20187" w:rsidP="00F20187">
      <w:pPr>
        <w:autoSpaceDE w:val="0"/>
        <w:autoSpaceDN w:val="0"/>
        <w:adjustRightInd w:val="0"/>
        <w:spacing w:line="276" w:lineRule="auto"/>
        <w:ind w:firstLine="567"/>
        <w:jc w:val="both"/>
        <w:rPr>
          <w:rFonts w:eastAsia="Times New Roman" w:cs="Times New Roman"/>
          <w:i/>
          <w:iCs/>
          <w:sz w:val="24"/>
          <w:szCs w:val="24"/>
          <w:lang w:val="ru-RU" w:eastAsia="ru-RU"/>
        </w:rPr>
      </w:pPr>
      <w:r w:rsidRPr="00F20187">
        <w:rPr>
          <w:rFonts w:eastAsia="Times New Roman" w:cs="Times New Roman"/>
          <w:b/>
          <w:i/>
          <w:iCs/>
          <w:sz w:val="24"/>
          <w:szCs w:val="24"/>
          <w:lang w:val="ru-RU" w:eastAsia="ru-RU"/>
        </w:rPr>
        <w:t>Ключевые слова:</w:t>
      </w:r>
      <w:r w:rsidRPr="00F20187">
        <w:rPr>
          <w:rFonts w:eastAsia="Times New Roman" w:cs="Times New Roman"/>
          <w:i/>
          <w:iCs/>
          <w:sz w:val="24"/>
          <w:szCs w:val="24"/>
          <w:lang w:val="ru-RU" w:eastAsia="ru-RU"/>
        </w:rPr>
        <w:t xml:space="preserve"> пищевая аллергия, пищевые аллергены, синдром перекрёстной аллергии, иммуноглобулин Е, грибки.</w:t>
      </w:r>
    </w:p>
    <w:p w14:paraId="45A01CD2" w14:textId="77777777" w:rsidR="00F20187" w:rsidRPr="00F20187" w:rsidRDefault="00F20187" w:rsidP="00F20187">
      <w:pPr>
        <w:autoSpaceDE w:val="0"/>
        <w:autoSpaceDN w:val="0"/>
        <w:adjustRightInd w:val="0"/>
        <w:spacing w:line="276" w:lineRule="auto"/>
        <w:ind w:firstLine="567"/>
        <w:jc w:val="both"/>
        <w:rPr>
          <w:rFonts w:eastAsia="Times New Roman" w:cs="Times New Roman"/>
          <w:sz w:val="24"/>
          <w:szCs w:val="24"/>
          <w:lang w:val="ru-RU" w:eastAsia="ru-RU"/>
        </w:rPr>
      </w:pPr>
    </w:p>
    <w:p w14:paraId="2A7E7909" w14:textId="77777777" w:rsidR="00F20187" w:rsidRPr="00F20187" w:rsidRDefault="00F20187" w:rsidP="00F130D7">
      <w:pPr>
        <w:autoSpaceDE w:val="0"/>
        <w:autoSpaceDN w:val="0"/>
        <w:adjustRightInd w:val="0"/>
        <w:spacing w:line="276" w:lineRule="auto"/>
        <w:jc w:val="center"/>
        <w:rPr>
          <w:rFonts w:eastAsia="Times New Roman" w:cs="Times New Roman"/>
          <w:b/>
          <w:sz w:val="24"/>
          <w:szCs w:val="24"/>
          <w:lang w:val="uz-Cyrl-UZ" w:eastAsia="ru-RU"/>
        </w:rPr>
      </w:pPr>
      <w:r w:rsidRPr="00F20187">
        <w:rPr>
          <w:rFonts w:eastAsia="Times New Roman" w:cs="Times New Roman"/>
          <w:b/>
          <w:sz w:val="24"/>
          <w:szCs w:val="24"/>
          <w:lang w:val="uz-Cyrl-UZ" w:eastAsia="ru-RU"/>
        </w:rPr>
        <w:t>ОВҚАТ АЛЛЕРГИЯСИ ВА КЕСИШГАН АЛЛЕРГИК РЕАКЦИЯЛАР</w:t>
      </w:r>
    </w:p>
    <w:p w14:paraId="215367AA" w14:textId="77777777" w:rsidR="00F130D7" w:rsidRDefault="00F130D7" w:rsidP="00F20187">
      <w:pPr>
        <w:autoSpaceDE w:val="0"/>
        <w:autoSpaceDN w:val="0"/>
        <w:adjustRightInd w:val="0"/>
        <w:spacing w:line="276" w:lineRule="auto"/>
        <w:ind w:firstLine="567"/>
        <w:jc w:val="both"/>
        <w:rPr>
          <w:rFonts w:eastAsia="Times New Roman" w:cs="Times New Roman"/>
          <w:b/>
          <w:sz w:val="24"/>
          <w:szCs w:val="24"/>
          <w:lang w:val="uz-Cyrl-UZ" w:eastAsia="ru-RU"/>
        </w:rPr>
      </w:pPr>
    </w:p>
    <w:p w14:paraId="50F61274" w14:textId="14126904" w:rsidR="00F20187" w:rsidRPr="00F20187" w:rsidRDefault="00F20187" w:rsidP="00F130D7">
      <w:pPr>
        <w:autoSpaceDE w:val="0"/>
        <w:autoSpaceDN w:val="0"/>
        <w:adjustRightInd w:val="0"/>
        <w:spacing w:line="276" w:lineRule="auto"/>
        <w:jc w:val="center"/>
        <w:rPr>
          <w:rFonts w:eastAsia="Times New Roman" w:cs="Times New Roman"/>
          <w:b/>
          <w:sz w:val="24"/>
          <w:szCs w:val="24"/>
          <w:lang w:val="uz-Cyrl-UZ" w:eastAsia="ru-RU"/>
        </w:rPr>
      </w:pPr>
      <w:r w:rsidRPr="00F20187">
        <w:rPr>
          <w:rFonts w:eastAsia="Times New Roman" w:cs="Times New Roman"/>
          <w:b/>
          <w:sz w:val="24"/>
          <w:szCs w:val="24"/>
          <w:lang w:val="uz-Cyrl-UZ" w:eastAsia="ru-RU"/>
        </w:rPr>
        <w:lastRenderedPageBreak/>
        <w:t>Абдуллаева Дилафруз Гайратовна, PhD, катта ўқитувчи</w:t>
      </w:r>
    </w:p>
    <w:p w14:paraId="0B2ED139" w14:textId="77777777" w:rsidR="00F20187" w:rsidRPr="00F20187" w:rsidRDefault="00F20187" w:rsidP="00F130D7">
      <w:pPr>
        <w:autoSpaceDE w:val="0"/>
        <w:autoSpaceDN w:val="0"/>
        <w:adjustRightInd w:val="0"/>
        <w:spacing w:line="276" w:lineRule="auto"/>
        <w:jc w:val="center"/>
        <w:rPr>
          <w:rFonts w:eastAsia="Times New Roman" w:cs="Times New Roman"/>
          <w:b/>
          <w:sz w:val="24"/>
          <w:szCs w:val="24"/>
          <w:lang w:val="uz-Cyrl-UZ" w:eastAsia="ru-RU"/>
        </w:rPr>
      </w:pPr>
      <w:r w:rsidRPr="00F20187">
        <w:rPr>
          <w:rFonts w:eastAsia="Times New Roman" w:cs="Times New Roman"/>
          <w:b/>
          <w:sz w:val="24"/>
          <w:szCs w:val="24"/>
          <w:lang w:val="ru-RU" w:eastAsia="ru-RU"/>
        </w:rPr>
        <w:t>Азизова Феруза Лютпиллаевна, т.ф.д., доцент</w:t>
      </w:r>
    </w:p>
    <w:p w14:paraId="04DAD15C" w14:textId="11138824" w:rsidR="00F130D7" w:rsidRDefault="00F130D7" w:rsidP="00F130D7">
      <w:pPr>
        <w:autoSpaceDE w:val="0"/>
        <w:autoSpaceDN w:val="0"/>
        <w:adjustRightInd w:val="0"/>
        <w:spacing w:line="276" w:lineRule="auto"/>
        <w:jc w:val="center"/>
        <w:rPr>
          <w:rFonts w:eastAsia="Times New Roman" w:cs="Times New Roman"/>
          <w:bCs/>
          <w:sz w:val="24"/>
          <w:szCs w:val="24"/>
          <w:lang w:val="uz-Cyrl-UZ" w:eastAsia="ru-RU"/>
        </w:rPr>
      </w:pPr>
      <w:r w:rsidRPr="00E0463D">
        <w:rPr>
          <w:rFonts w:eastAsia="Times New Roman" w:cs="Times New Roman"/>
          <w:bCs/>
          <w:sz w:val="24"/>
          <w:szCs w:val="24"/>
          <w:lang w:val="uz-Cyrl-UZ" w:eastAsia="ru-RU"/>
        </w:rPr>
        <w:t>Болалар, ўсмирлар ва овқатланиш гигиенаси кафедраси</w:t>
      </w:r>
    </w:p>
    <w:p w14:paraId="603F598C" w14:textId="4BFA66CD" w:rsidR="00F20187" w:rsidRDefault="00F130D7" w:rsidP="00F130D7">
      <w:pPr>
        <w:autoSpaceDE w:val="0"/>
        <w:autoSpaceDN w:val="0"/>
        <w:adjustRightInd w:val="0"/>
        <w:spacing w:line="276" w:lineRule="auto"/>
        <w:jc w:val="center"/>
        <w:rPr>
          <w:rFonts w:eastAsia="Times New Roman" w:cs="Times New Roman"/>
          <w:bCs/>
          <w:sz w:val="24"/>
          <w:szCs w:val="24"/>
          <w:lang w:val="uz-Cyrl-UZ" w:eastAsia="ru-RU"/>
        </w:rPr>
      </w:pPr>
      <w:r w:rsidRPr="00E0463D">
        <w:rPr>
          <w:rFonts w:eastAsia="Times New Roman" w:cs="Times New Roman"/>
          <w:bCs/>
          <w:sz w:val="24"/>
          <w:szCs w:val="24"/>
          <w:lang w:val="uz-Cyrl-UZ" w:eastAsia="ru-RU"/>
        </w:rPr>
        <w:t>Тошкент тиббиёт академияси</w:t>
      </w:r>
      <w:r>
        <w:rPr>
          <w:rFonts w:eastAsia="Times New Roman" w:cs="Times New Roman"/>
          <w:bCs/>
          <w:sz w:val="24"/>
          <w:szCs w:val="24"/>
          <w:lang w:val="uz-Cyrl-UZ" w:eastAsia="ru-RU"/>
        </w:rPr>
        <w:t xml:space="preserve">, </w:t>
      </w:r>
      <w:r w:rsidRPr="00491E34">
        <w:rPr>
          <w:rFonts w:eastAsia="Times New Roman" w:cs="Times New Roman"/>
          <w:bCs/>
          <w:sz w:val="24"/>
          <w:szCs w:val="24"/>
          <w:lang w:val="uz-Cyrl-UZ" w:eastAsia="ru-RU"/>
        </w:rPr>
        <w:t>Тошкент, Ўзбекистан</w:t>
      </w:r>
    </w:p>
    <w:p w14:paraId="6046A422" w14:textId="77777777" w:rsidR="00F130D7" w:rsidRPr="00F20187" w:rsidRDefault="00F130D7" w:rsidP="00F130D7">
      <w:pPr>
        <w:autoSpaceDE w:val="0"/>
        <w:autoSpaceDN w:val="0"/>
        <w:adjustRightInd w:val="0"/>
        <w:spacing w:line="276" w:lineRule="auto"/>
        <w:ind w:firstLine="567"/>
        <w:jc w:val="both"/>
        <w:rPr>
          <w:rFonts w:eastAsia="Times New Roman" w:cs="Times New Roman"/>
          <w:b/>
          <w:sz w:val="24"/>
          <w:szCs w:val="24"/>
          <w:lang w:val="uz-Cyrl-UZ" w:eastAsia="ru-RU"/>
        </w:rPr>
      </w:pPr>
    </w:p>
    <w:p w14:paraId="795B2FEA" w14:textId="77777777" w:rsidR="00F20187" w:rsidRPr="00F20187" w:rsidRDefault="00F20187" w:rsidP="00F20187">
      <w:pPr>
        <w:autoSpaceDE w:val="0"/>
        <w:autoSpaceDN w:val="0"/>
        <w:adjustRightInd w:val="0"/>
        <w:spacing w:line="276" w:lineRule="auto"/>
        <w:ind w:firstLine="567"/>
        <w:jc w:val="both"/>
        <w:rPr>
          <w:rFonts w:eastAsia="Times New Roman" w:cs="Times New Roman"/>
          <w:i/>
          <w:iCs/>
          <w:sz w:val="24"/>
          <w:szCs w:val="24"/>
          <w:lang w:val="uz-Latn-UZ" w:eastAsia="ru-RU"/>
        </w:rPr>
      </w:pPr>
      <w:r w:rsidRPr="00F20187">
        <w:rPr>
          <w:rFonts w:eastAsia="Times New Roman" w:cs="Times New Roman"/>
          <w:i/>
          <w:iCs/>
          <w:sz w:val="24"/>
          <w:szCs w:val="24"/>
          <w:lang w:val="uz-Cyrl-UZ" w:eastAsia="ru-RU"/>
        </w:rPr>
        <w:t>Ovqat allergiyasi sog‘</w:t>
      </w:r>
      <w:r w:rsidRPr="00F20187">
        <w:rPr>
          <w:rFonts w:eastAsia="Times New Roman" w:cs="Times New Roman"/>
          <w:i/>
          <w:iCs/>
          <w:sz w:val="24"/>
          <w:szCs w:val="24"/>
          <w:lang w:val="uz-Latn-UZ" w:eastAsia="ru-RU"/>
        </w:rPr>
        <w:t>liqni saqlash muammosi bo</w:t>
      </w:r>
      <w:r w:rsidRPr="00F20187">
        <w:rPr>
          <w:rFonts w:eastAsia="Times New Roman" w:cs="Times New Roman"/>
          <w:i/>
          <w:iCs/>
          <w:sz w:val="24"/>
          <w:szCs w:val="24"/>
          <w:lang w:val="uz-Cyrl-UZ" w:eastAsia="ru-RU"/>
        </w:rPr>
        <w:t>‘</w:t>
      </w:r>
      <w:r w:rsidRPr="00F20187">
        <w:rPr>
          <w:rFonts w:eastAsia="Times New Roman" w:cs="Times New Roman"/>
          <w:i/>
          <w:iCs/>
          <w:sz w:val="24"/>
          <w:szCs w:val="24"/>
          <w:lang w:val="uz-Latn-UZ" w:eastAsia="ru-RU"/>
        </w:rPr>
        <w:t>lib, uni alohida mamlakatlar darajasida ham, jahon hamjamiyatida ham hal qilish kerak. Kasallikning klinik ko‘rinishlari oshqozon-ichak trakti, teri va nafas olish yo‘llari kasalliklarining keng doirasini qamrab oladi, oziq-ovqat allergiyasining ko‘rinishlaridan biri gul changlarning sezgirligi bilan bog‘liq bo‘lgan oral allergik sindrom (OSA) sanaladi. O‘simlik tarkibidagi gomologik oqsillar allergik reaktsiyaga olib kelishi mumkin. Bugungi kunga kelib, parhez terapiyasi davolashning asosiy usuli hisoblanadi.</w:t>
      </w:r>
    </w:p>
    <w:p w14:paraId="3A4A1EF7" w14:textId="77777777" w:rsidR="00F20187" w:rsidRPr="00F20187" w:rsidRDefault="00F20187" w:rsidP="00F20187">
      <w:pPr>
        <w:autoSpaceDE w:val="0"/>
        <w:autoSpaceDN w:val="0"/>
        <w:adjustRightInd w:val="0"/>
        <w:spacing w:line="276" w:lineRule="auto"/>
        <w:ind w:firstLine="567"/>
        <w:jc w:val="both"/>
        <w:rPr>
          <w:rFonts w:eastAsia="Times New Roman" w:cs="Times New Roman"/>
          <w:i/>
          <w:iCs/>
          <w:sz w:val="24"/>
          <w:szCs w:val="24"/>
          <w:lang w:val="uz-Latn-UZ" w:eastAsia="ru-RU"/>
        </w:rPr>
      </w:pPr>
      <w:r w:rsidRPr="00F20187">
        <w:rPr>
          <w:rFonts w:eastAsia="Times New Roman" w:cs="Times New Roman"/>
          <w:b/>
          <w:i/>
          <w:iCs/>
          <w:sz w:val="24"/>
          <w:szCs w:val="24"/>
          <w:lang w:val="uz-Latn-UZ" w:eastAsia="ru-RU"/>
        </w:rPr>
        <w:t>Kalit so‘zlar</w:t>
      </w:r>
      <w:r w:rsidRPr="00F20187">
        <w:rPr>
          <w:rFonts w:eastAsia="Times New Roman" w:cs="Times New Roman"/>
          <w:i/>
          <w:iCs/>
          <w:sz w:val="24"/>
          <w:szCs w:val="24"/>
          <w:lang w:val="uz-Latn-UZ" w:eastAsia="ru-RU"/>
        </w:rPr>
        <w:t>: ovqat allergiyasi, ovqat allergenlari, kesishgan allergic sindrom, immunoglobulin E, zamburug‘lar.</w:t>
      </w:r>
    </w:p>
    <w:p w14:paraId="4892C66B" w14:textId="77777777" w:rsidR="00F20187" w:rsidRPr="00F20187" w:rsidRDefault="00F20187" w:rsidP="00F20187">
      <w:pPr>
        <w:autoSpaceDE w:val="0"/>
        <w:autoSpaceDN w:val="0"/>
        <w:adjustRightInd w:val="0"/>
        <w:spacing w:line="276" w:lineRule="auto"/>
        <w:ind w:firstLine="567"/>
        <w:jc w:val="both"/>
        <w:rPr>
          <w:rFonts w:eastAsia="Times New Roman" w:cs="Times New Roman"/>
          <w:b/>
          <w:sz w:val="24"/>
          <w:szCs w:val="24"/>
          <w:lang w:val="uz-Latn-UZ" w:eastAsia="ru-RU"/>
        </w:rPr>
      </w:pPr>
    </w:p>
    <w:p w14:paraId="63FE4BC2" w14:textId="77777777" w:rsidR="00F130D7" w:rsidRPr="00D936B4" w:rsidRDefault="00F130D7" w:rsidP="00F130D7">
      <w:pPr>
        <w:autoSpaceDE w:val="0"/>
        <w:autoSpaceDN w:val="0"/>
        <w:adjustRightInd w:val="0"/>
        <w:spacing w:line="276" w:lineRule="auto"/>
        <w:jc w:val="center"/>
        <w:rPr>
          <w:rFonts w:eastAsia="Times New Roman" w:cs="Times New Roman"/>
          <w:b/>
          <w:sz w:val="24"/>
          <w:szCs w:val="24"/>
          <w:lang w:val="uz-Latn-UZ" w:eastAsia="ru-RU"/>
        </w:rPr>
        <w:sectPr w:rsidR="00F130D7" w:rsidRPr="00D936B4" w:rsidSect="001B41EC">
          <w:type w:val="continuous"/>
          <w:pgSz w:w="11907" w:h="16840" w:code="9"/>
          <w:pgMar w:top="1418" w:right="1134" w:bottom="1134" w:left="1134" w:header="907" w:footer="794" w:gutter="0"/>
          <w:cols w:space="708"/>
          <w:docGrid w:linePitch="381"/>
        </w:sectPr>
      </w:pPr>
    </w:p>
    <w:p w14:paraId="41D2C4CC" w14:textId="77777777" w:rsidR="00F20187" w:rsidRPr="00F20187" w:rsidRDefault="00F20187" w:rsidP="00F130D7">
      <w:pPr>
        <w:autoSpaceDE w:val="0"/>
        <w:autoSpaceDN w:val="0"/>
        <w:adjustRightInd w:val="0"/>
        <w:spacing w:line="276" w:lineRule="auto"/>
        <w:jc w:val="center"/>
        <w:rPr>
          <w:rFonts w:eastAsia="Times New Roman" w:cs="Times New Roman"/>
          <w:b/>
          <w:spacing w:val="5"/>
          <w:sz w:val="24"/>
          <w:szCs w:val="24"/>
          <w:shd w:val="clear" w:color="auto" w:fill="FFFFFF"/>
          <w:lang w:eastAsia="ru-RU"/>
        </w:rPr>
      </w:pPr>
      <w:r w:rsidRPr="00F20187">
        <w:rPr>
          <w:rFonts w:eastAsia="Times New Roman" w:cs="Times New Roman"/>
          <w:b/>
          <w:sz w:val="24"/>
          <w:szCs w:val="24"/>
          <w:lang w:eastAsia="ru-RU"/>
        </w:rPr>
        <w:t>INTRODUCTION</w:t>
      </w:r>
    </w:p>
    <w:p w14:paraId="4DD49C5A" w14:textId="77777777"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b/>
      </w:r>
      <w:r w:rsidRPr="00F20187">
        <w:rPr>
          <w:rFonts w:eastAsia="Times New Roman" w:cs="Times New Roman"/>
          <w:sz w:val="24"/>
          <w:szCs w:val="24"/>
          <w:lang w:val="en" w:eastAsia="ru-RU"/>
        </w:rPr>
        <w:tab/>
      </w:r>
    </w:p>
    <w:p w14:paraId="707F0527" w14:textId="4008240B"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Food allergy (</w:t>
      </w:r>
      <w:r w:rsidRPr="00F20187">
        <w:rPr>
          <w:rFonts w:eastAsia="Times New Roman" w:cs="Times New Roman"/>
          <w:sz w:val="24"/>
          <w:szCs w:val="24"/>
          <w:lang w:eastAsia="ru-RU"/>
        </w:rPr>
        <w:t>F</w:t>
      </w:r>
      <w:r w:rsidRPr="00F20187">
        <w:rPr>
          <w:rFonts w:eastAsia="Times New Roman" w:cs="Times New Roman"/>
          <w:sz w:val="24"/>
          <w:szCs w:val="24"/>
          <w:lang w:val="en" w:eastAsia="ru-RU"/>
        </w:rPr>
        <w:t>A) is a widespread dis</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ease with prevalence ranging from 0.1% to 50% in the population. Clinical symptoms of FA cover a wide range of diseases of the skin, gastrointestinal tract and respiratory tract, among which one of the most common is OAS associated with sensitization to pollen. OAS is characterized by homology of thermolabile proteins of plant pollen, fresh fruits, and vege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tables.</w:t>
      </w:r>
    </w:p>
    <w:p w14:paraId="53F5AEEA" w14:textId="492EEABC"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shd w:val="clear" w:color="auto" w:fill="FFFFFF"/>
          <w:lang w:eastAsia="ru-RU"/>
        </w:rPr>
        <w:t>An understanding of the characteristic clinical presentation can help with diagnosis. Diagnostic testing is highly sensitive and often identifies clinically irrelevant sensitization. Testing therefore must be selected and inter</w:t>
      </w:r>
      <w:r w:rsidR="00F130D7">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preted in the context of the patient’s clinical history. Prognosis varies depending on the food allergen, and food allergy is a risk factor for other atopic diseases [3].</w:t>
      </w:r>
    </w:p>
    <w:p w14:paraId="134429B1" w14:textId="15426A71"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eastAsia="ru-RU"/>
        </w:rPr>
        <w:t>Pollen-food allergy syndrome (OAS) is a common disorder in which oral symp</w:t>
      </w:r>
      <w:r w:rsidR="00F130D7">
        <w:rPr>
          <w:rFonts w:eastAsia="Times New Roman" w:cs="Times New Roman"/>
          <w:sz w:val="24"/>
          <w:szCs w:val="24"/>
          <w:lang w:eastAsia="ru-RU"/>
        </w:rPr>
        <w:softHyphen/>
      </w:r>
      <w:r w:rsidRPr="00F20187">
        <w:rPr>
          <w:rFonts w:eastAsia="Times New Roman" w:cs="Times New Roman"/>
          <w:sz w:val="24"/>
          <w:szCs w:val="24"/>
          <w:lang w:eastAsia="ru-RU"/>
        </w:rPr>
        <w:t>toms, </w:t>
      </w:r>
      <w:hyperlink r:id="rId29" w:tooltip="Learn more about Pruritus from ScienceDirect's AI-generated Topic Pages" w:history="1">
        <w:r w:rsidRPr="00F20187">
          <w:rPr>
            <w:rFonts w:eastAsia="Times New Roman" w:cs="Times New Roman"/>
            <w:sz w:val="24"/>
            <w:szCs w:val="24"/>
            <w:lang w:eastAsia="ru-RU"/>
          </w:rPr>
          <w:t>pruritus</w:t>
        </w:r>
      </w:hyperlink>
      <w:r w:rsidRPr="00F20187">
        <w:rPr>
          <w:rFonts w:eastAsia="Times New Roman" w:cs="Times New Roman"/>
          <w:sz w:val="24"/>
          <w:szCs w:val="24"/>
          <w:lang w:eastAsia="ru-RU"/>
        </w:rPr>
        <w:t xml:space="preserve"> is a common disorder in which oral symptoms, itching of the throat and occa</w:t>
      </w:r>
      <w:r w:rsidR="00F130D7">
        <w:rPr>
          <w:rFonts w:eastAsia="Times New Roman" w:cs="Times New Roman"/>
          <w:sz w:val="24"/>
          <w:szCs w:val="24"/>
          <w:lang w:eastAsia="ru-RU"/>
        </w:rPr>
        <w:softHyphen/>
      </w:r>
      <w:r w:rsidRPr="00F20187">
        <w:rPr>
          <w:rFonts w:eastAsia="Times New Roman" w:cs="Times New Roman"/>
          <w:sz w:val="24"/>
          <w:szCs w:val="24"/>
          <w:lang w:eastAsia="ru-RU"/>
        </w:rPr>
        <w:t>sionally mild oral edema occur immediately upon the ingestion of certain foods, most com</w:t>
      </w:r>
      <w:r w:rsidR="00F130D7">
        <w:rPr>
          <w:rFonts w:eastAsia="Times New Roman" w:cs="Times New Roman"/>
          <w:sz w:val="24"/>
          <w:szCs w:val="24"/>
          <w:lang w:eastAsia="ru-RU"/>
        </w:rPr>
        <w:softHyphen/>
      </w:r>
      <w:r w:rsidRPr="00F20187">
        <w:rPr>
          <w:rFonts w:eastAsia="Times New Roman" w:cs="Times New Roman"/>
          <w:sz w:val="24"/>
          <w:szCs w:val="24"/>
          <w:lang w:eastAsia="ru-RU"/>
        </w:rPr>
        <w:t>monly raw fruits and vegetables, but also cer</w:t>
      </w:r>
      <w:r w:rsidR="00F130D7">
        <w:rPr>
          <w:rFonts w:eastAsia="Times New Roman" w:cs="Times New Roman"/>
          <w:sz w:val="24"/>
          <w:szCs w:val="24"/>
          <w:lang w:eastAsia="ru-RU"/>
        </w:rPr>
        <w:softHyphen/>
      </w:r>
      <w:r w:rsidRPr="00F20187">
        <w:rPr>
          <w:rFonts w:eastAsia="Times New Roman" w:cs="Times New Roman"/>
          <w:sz w:val="24"/>
          <w:szCs w:val="24"/>
          <w:lang w:eastAsia="ru-RU"/>
        </w:rPr>
        <w:t>tain nuts, e.g. hazelnuts and peanuts can trigger these symptoms. These complaints are due to specific IgE antibodies directed to aeroaller</w:t>
      </w:r>
      <w:r w:rsidR="00F130D7">
        <w:rPr>
          <w:rFonts w:eastAsia="Times New Roman" w:cs="Times New Roman"/>
          <w:sz w:val="24"/>
          <w:szCs w:val="24"/>
          <w:lang w:eastAsia="ru-RU"/>
        </w:rPr>
        <w:softHyphen/>
      </w:r>
      <w:r w:rsidRPr="00F20187">
        <w:rPr>
          <w:rFonts w:eastAsia="Times New Roman" w:cs="Times New Roman"/>
          <w:sz w:val="24"/>
          <w:szCs w:val="24"/>
          <w:lang w:eastAsia="ru-RU"/>
        </w:rPr>
        <w:t>gens that cross-react with certain food proteins. It is often useful to perform skin tests with fresh fruits and vegetables to confirm the diag</w:t>
      </w:r>
      <w:r w:rsidR="00F130D7">
        <w:rPr>
          <w:rFonts w:eastAsia="Times New Roman" w:cs="Times New Roman"/>
          <w:sz w:val="24"/>
          <w:szCs w:val="24"/>
          <w:lang w:eastAsia="ru-RU"/>
        </w:rPr>
        <w:softHyphen/>
      </w:r>
      <w:r w:rsidRPr="00F20187">
        <w:rPr>
          <w:rFonts w:eastAsia="Times New Roman" w:cs="Times New Roman"/>
          <w:sz w:val="24"/>
          <w:szCs w:val="24"/>
          <w:lang w:eastAsia="ru-RU"/>
        </w:rPr>
        <w:t>nosis, and component protein testing for hazel</w:t>
      </w:r>
      <w:r w:rsidR="00F130D7">
        <w:rPr>
          <w:rFonts w:eastAsia="Times New Roman" w:cs="Times New Roman"/>
          <w:sz w:val="24"/>
          <w:szCs w:val="24"/>
          <w:lang w:eastAsia="ru-RU"/>
        </w:rPr>
        <w:softHyphen/>
      </w:r>
      <w:r w:rsidRPr="00F20187">
        <w:rPr>
          <w:rFonts w:eastAsia="Times New Roman" w:cs="Times New Roman"/>
          <w:sz w:val="24"/>
          <w:szCs w:val="24"/>
          <w:lang w:eastAsia="ru-RU"/>
        </w:rPr>
        <w:t>nut (Cor a 9 and 14) and peanut (Ara h 8) will identify IgE to the birch pollen cross-reactive protein, Bet v 1</w:t>
      </w:r>
      <w:r w:rsidRPr="00F20187">
        <w:rPr>
          <w:rFonts w:eastAsia="Times New Roman" w:cs="Times New Roman"/>
          <w:sz w:val="24"/>
          <w:szCs w:val="24"/>
          <w:lang w:val="en" w:eastAsia="ru-RU"/>
        </w:rPr>
        <w:t xml:space="preserve"> </w:t>
      </w:r>
      <w:r w:rsidRPr="00F20187">
        <w:rPr>
          <w:rFonts w:eastAsia="Times New Roman" w:cs="Times New Roman"/>
          <w:sz w:val="24"/>
          <w:szCs w:val="24"/>
          <w:lang w:eastAsia="ru-RU"/>
        </w:rPr>
        <w:t>[1].</w:t>
      </w:r>
      <w:r w:rsidRPr="00F20187">
        <w:rPr>
          <w:rFonts w:eastAsia="Times New Roman" w:cs="Times New Roman"/>
          <w:sz w:val="24"/>
          <w:szCs w:val="24"/>
          <w:lang w:val="en" w:eastAsia="ru-RU"/>
        </w:rPr>
        <w:t xml:space="preserve"> </w:t>
      </w:r>
    </w:p>
    <w:p w14:paraId="3900273F" w14:textId="56154079"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OAS is an allergic reaction in the oral cavity subsequent to the consumption of food, such as fruits, nuts, and vegetables, which oc</w:t>
      </w:r>
      <w:r w:rsidR="00F130D7">
        <w:rPr>
          <w:rFonts w:eastAsia="Times New Roman" w:cs="Times New Roman"/>
          <w:sz w:val="24"/>
          <w:szCs w:val="24"/>
          <w:lang w:eastAsia="ru-RU"/>
        </w:rPr>
        <w:softHyphen/>
      </w:r>
      <w:r w:rsidRPr="00F20187">
        <w:rPr>
          <w:rFonts w:eastAsia="Times New Roman" w:cs="Times New Roman"/>
          <w:sz w:val="24"/>
          <w:szCs w:val="24"/>
          <w:lang w:eastAsia="ru-RU"/>
        </w:rPr>
        <w:t xml:space="preserve">curs in adults who suffer from allergic rhinitis. </w:t>
      </w:r>
      <w:r w:rsidRPr="00F20187">
        <w:rPr>
          <w:rFonts w:eastAsia="Times New Roman" w:cs="Times New Roman"/>
          <w:sz w:val="24"/>
          <w:szCs w:val="24"/>
          <w:shd w:val="clear" w:color="auto" w:fill="FFFFFF"/>
          <w:lang w:eastAsia="ru-RU"/>
        </w:rPr>
        <w:t>Here we investigate the prevalence and trig</w:t>
      </w:r>
      <w:r w:rsidR="00F130D7">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 xml:space="preserve">gers of birch pollen-related food allergy. </w:t>
      </w:r>
      <w:r w:rsidRPr="00F20187">
        <w:rPr>
          <w:rFonts w:eastAsia="Times New Roman" w:cs="Times New Roman"/>
          <w:sz w:val="24"/>
          <w:szCs w:val="24"/>
          <w:lang w:eastAsia="ru-RU"/>
        </w:rPr>
        <w:t>It has been described under various names including «pollen-food allergy syndrome», «pollen-food syndrome» and «pollen-associated food al</w:t>
      </w:r>
      <w:r w:rsidR="00F130D7">
        <w:rPr>
          <w:rFonts w:eastAsia="Times New Roman" w:cs="Times New Roman"/>
          <w:sz w:val="24"/>
          <w:szCs w:val="24"/>
          <w:lang w:eastAsia="ru-RU"/>
        </w:rPr>
        <w:softHyphen/>
      </w:r>
      <w:r w:rsidRPr="00F20187">
        <w:rPr>
          <w:rFonts w:eastAsia="Times New Roman" w:cs="Times New Roman"/>
          <w:sz w:val="24"/>
          <w:szCs w:val="24"/>
          <w:lang w:eastAsia="ru-RU"/>
        </w:rPr>
        <w:t xml:space="preserve">lergy syndrome» </w:t>
      </w:r>
      <w:r w:rsidRPr="00F20187">
        <w:rPr>
          <w:rFonts w:eastAsia="Times New Roman" w:cs="Times New Roman"/>
          <w:sz w:val="24"/>
          <w:szCs w:val="24"/>
          <w:shd w:val="clear" w:color="auto" w:fill="FFFFFF"/>
          <w:lang w:eastAsia="ru-RU"/>
        </w:rPr>
        <w:t>[8,9</w:t>
      </w:r>
      <w:r w:rsidRPr="00F20187">
        <w:rPr>
          <w:rFonts w:eastAsia="Times New Roman" w:cs="Times New Roman"/>
          <w:sz w:val="24"/>
          <w:szCs w:val="24"/>
          <w:lang w:eastAsia="ru-RU"/>
        </w:rPr>
        <w:t xml:space="preserve">,11]. </w:t>
      </w:r>
    </w:p>
    <w:p w14:paraId="55EE5B5A" w14:textId="671F0306"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OAS in adults probably represents the most common allergic reaction caused by food; and more than 60% of all FA are actually cross-reactions between food and inhaled aller</w:t>
      </w:r>
      <w:r w:rsidR="00F130D7">
        <w:rPr>
          <w:rFonts w:eastAsia="Times New Roman" w:cs="Times New Roman"/>
          <w:sz w:val="24"/>
          <w:szCs w:val="24"/>
          <w:lang w:eastAsia="ru-RU"/>
        </w:rPr>
        <w:softHyphen/>
      </w:r>
      <w:r w:rsidRPr="00F20187">
        <w:rPr>
          <w:rFonts w:eastAsia="Times New Roman" w:cs="Times New Roman"/>
          <w:sz w:val="24"/>
          <w:szCs w:val="24"/>
          <w:lang w:eastAsia="ru-RU"/>
        </w:rPr>
        <w:t>gens. Unlike other food allergies, OAS is a re</w:t>
      </w:r>
      <w:r w:rsidR="00F130D7">
        <w:rPr>
          <w:rFonts w:eastAsia="Times New Roman" w:cs="Times New Roman"/>
          <w:sz w:val="24"/>
          <w:szCs w:val="24"/>
          <w:lang w:eastAsia="ru-RU"/>
        </w:rPr>
        <w:softHyphen/>
      </w:r>
      <w:r w:rsidRPr="00F20187">
        <w:rPr>
          <w:rFonts w:eastAsia="Times New Roman" w:cs="Times New Roman"/>
          <w:sz w:val="24"/>
          <w:szCs w:val="24"/>
          <w:lang w:eastAsia="ru-RU"/>
        </w:rPr>
        <w:t>action limited to the oral mucosa, lips, tongue, and throat. OAS belongs to the allergy type I group, that is, allergic reactions mediated by immunoglobulin E (IgE). In susceptible pa</w:t>
      </w:r>
      <w:r w:rsidR="00F130D7">
        <w:rPr>
          <w:rFonts w:eastAsia="Times New Roman" w:cs="Times New Roman"/>
          <w:sz w:val="24"/>
          <w:szCs w:val="24"/>
          <w:lang w:eastAsia="ru-RU"/>
        </w:rPr>
        <w:softHyphen/>
      </w:r>
      <w:r w:rsidRPr="00F20187">
        <w:rPr>
          <w:rFonts w:eastAsia="Times New Roman" w:cs="Times New Roman"/>
          <w:sz w:val="24"/>
          <w:szCs w:val="24"/>
          <w:lang w:eastAsia="ru-RU"/>
        </w:rPr>
        <w:t>tients, the immune system produces IgE anti</w:t>
      </w:r>
      <w:r w:rsidR="00F130D7">
        <w:rPr>
          <w:rFonts w:eastAsia="Times New Roman" w:cs="Times New Roman"/>
          <w:sz w:val="24"/>
          <w:szCs w:val="24"/>
          <w:lang w:eastAsia="ru-RU"/>
        </w:rPr>
        <w:softHyphen/>
      </w:r>
      <w:r w:rsidRPr="00F20187">
        <w:rPr>
          <w:rFonts w:eastAsia="Times New Roman" w:cs="Times New Roman"/>
          <w:sz w:val="24"/>
          <w:szCs w:val="24"/>
          <w:lang w:eastAsia="ru-RU"/>
        </w:rPr>
        <w:t xml:space="preserve">bodies against the proteins of pollen which causes hay allergy. Pollen allergies are caused by repeated exposure to the pollen of some plants, which are usually pollinated by air and </w:t>
      </w:r>
      <w:r w:rsidRPr="00F20187">
        <w:rPr>
          <w:rFonts w:eastAsia="Times New Roman" w:cs="Times New Roman"/>
          <w:sz w:val="24"/>
          <w:szCs w:val="24"/>
          <w:lang w:eastAsia="ru-RU"/>
        </w:rPr>
        <w:lastRenderedPageBreak/>
        <w:t>have such pollen quantities that inhalation of the pollen easily reaches the surface of the pul</w:t>
      </w:r>
      <w:r w:rsidR="00F130D7">
        <w:rPr>
          <w:rFonts w:eastAsia="Times New Roman" w:cs="Times New Roman"/>
          <w:sz w:val="24"/>
          <w:szCs w:val="24"/>
          <w:lang w:eastAsia="ru-RU"/>
        </w:rPr>
        <w:softHyphen/>
      </w:r>
      <w:r w:rsidRPr="00F20187">
        <w:rPr>
          <w:rFonts w:eastAsia="Times New Roman" w:cs="Times New Roman"/>
          <w:sz w:val="24"/>
          <w:szCs w:val="24"/>
          <w:lang w:eastAsia="ru-RU"/>
        </w:rPr>
        <w:t>monary alveoli. The proteins which are struc</w:t>
      </w:r>
      <w:r w:rsidR="00F130D7">
        <w:rPr>
          <w:rFonts w:eastAsia="Times New Roman" w:cs="Times New Roman"/>
          <w:sz w:val="24"/>
          <w:szCs w:val="24"/>
          <w:lang w:eastAsia="ru-RU"/>
        </w:rPr>
        <w:softHyphen/>
      </w:r>
      <w:r w:rsidRPr="00F20187">
        <w:rPr>
          <w:rFonts w:eastAsia="Times New Roman" w:cs="Times New Roman"/>
          <w:sz w:val="24"/>
          <w:szCs w:val="24"/>
          <w:lang w:eastAsia="ru-RU"/>
        </w:rPr>
        <w:t>turally similar to pollen are also found in food [8, 11, 16].</w:t>
      </w:r>
    </w:p>
    <w:p w14:paraId="34335FC4" w14:textId="4D4C0900" w:rsidR="00F20187" w:rsidRPr="00F20187" w:rsidRDefault="00F20187" w:rsidP="00F20187">
      <w:pPr>
        <w:spacing w:line="276" w:lineRule="auto"/>
        <w:ind w:firstLine="567"/>
        <w:contextualSpacing/>
        <w:jc w:val="both"/>
        <w:rPr>
          <w:rFonts w:eastAsia="Times New Roman" w:cs="Times New Roman"/>
          <w:bCs/>
          <w:kern w:val="36"/>
          <w:sz w:val="24"/>
          <w:szCs w:val="24"/>
          <w:lang w:eastAsia="ru-RU"/>
        </w:rPr>
      </w:pPr>
      <w:r w:rsidRPr="00F20187">
        <w:rPr>
          <w:rFonts w:eastAsia="Times New Roman" w:cs="Times New Roman"/>
          <w:sz w:val="24"/>
          <w:szCs w:val="24"/>
          <w:lang w:eastAsia="ru-RU"/>
        </w:rPr>
        <w:t>The OAS, more common in adults and adolescents, presents symptoms mainly affect</w:t>
      </w:r>
      <w:r w:rsidR="00F130D7">
        <w:rPr>
          <w:rFonts w:eastAsia="Times New Roman" w:cs="Times New Roman"/>
          <w:sz w:val="24"/>
          <w:szCs w:val="24"/>
          <w:lang w:eastAsia="ru-RU"/>
        </w:rPr>
        <w:softHyphen/>
      </w:r>
      <w:r w:rsidRPr="00F20187">
        <w:rPr>
          <w:rFonts w:eastAsia="Times New Roman" w:cs="Times New Roman"/>
          <w:sz w:val="24"/>
          <w:szCs w:val="24"/>
          <w:lang w:eastAsia="ru-RU"/>
        </w:rPr>
        <w:t>ing the oropharynx, and depends on a polysen</w:t>
      </w:r>
      <w:r w:rsidR="00F130D7">
        <w:rPr>
          <w:rFonts w:eastAsia="Times New Roman" w:cs="Times New Roman"/>
          <w:sz w:val="24"/>
          <w:szCs w:val="24"/>
          <w:lang w:eastAsia="ru-RU"/>
        </w:rPr>
        <w:softHyphen/>
      </w:r>
      <w:r w:rsidRPr="00F20187">
        <w:rPr>
          <w:rFonts w:eastAsia="Times New Roman" w:cs="Times New Roman"/>
          <w:sz w:val="24"/>
          <w:szCs w:val="24"/>
          <w:lang w:eastAsia="ru-RU"/>
        </w:rPr>
        <w:t>sitization to inhalant and food allergens. Rawapple, peanuts, almonds, hazelnuts, and other fruits of the Rosaceae family are com</w:t>
      </w:r>
      <w:r w:rsidR="00F130D7">
        <w:rPr>
          <w:rFonts w:eastAsia="Times New Roman" w:cs="Times New Roman"/>
          <w:sz w:val="24"/>
          <w:szCs w:val="24"/>
          <w:lang w:eastAsia="ru-RU"/>
        </w:rPr>
        <w:softHyphen/>
      </w:r>
      <w:r w:rsidRPr="00F20187">
        <w:rPr>
          <w:rFonts w:eastAsia="Times New Roman" w:cs="Times New Roman"/>
          <w:sz w:val="24"/>
          <w:szCs w:val="24"/>
          <w:lang w:eastAsia="ru-RU"/>
        </w:rPr>
        <w:t>monly implicated in patients with allergy to birch, while banana, kiwi, and melon are the eliciting foods in patients allergic to ambrosia, and melon and tomato are responsible for symptoms ingrass allergy patients. In this phe</w:t>
      </w:r>
      <w:r w:rsidR="00F130D7">
        <w:rPr>
          <w:rFonts w:eastAsia="Times New Roman" w:cs="Times New Roman"/>
          <w:sz w:val="24"/>
          <w:szCs w:val="24"/>
          <w:lang w:eastAsia="ru-RU"/>
        </w:rPr>
        <w:softHyphen/>
      </w:r>
      <w:r w:rsidRPr="00F20187">
        <w:rPr>
          <w:rFonts w:eastAsia="Times New Roman" w:cs="Times New Roman"/>
          <w:sz w:val="24"/>
          <w:szCs w:val="24"/>
          <w:lang w:eastAsia="ru-RU"/>
        </w:rPr>
        <w:t>notype, the IgE against pollen cross-reacts with homologous proteins in plant foods [10].</w:t>
      </w:r>
    </w:p>
    <w:p w14:paraId="31EDB467" w14:textId="6A5615AA"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Clinical symptoms of FA cover a wide range of diseases of the skin, gastrointestinal tract and respiratory tract, among which one of the most common is OAS associated with sen</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sitization to pollen. OAS is characterized by homology of thermolabile proteins of plant pollen, fresh fruits, and vegetables. Thus, 23-76% of patients with allergic rhinitis in differ</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ent countries have a history of allergy symp</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toms to at least one food, and more than half of patients with OAS suffer from intolerance to more than two types of plant foods.</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In Euro</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pean countries, 70% of patients with sensitiza</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tion to birch pollen have OAS associated with the consumption of fruits from the Rosaceae family, such as apples, peaches and pears. In this regard, the high prevalence of cross-reac</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tivity to food of plant origin in patients with OAS dictates the need to develop innovative diagnostic methods and an algorithm for providing medical and preventive care</w:t>
      </w:r>
      <w:r w:rsidRPr="00F20187">
        <w:rPr>
          <w:rFonts w:eastAsia="Times New Roman" w:cs="Times New Roman"/>
          <w:sz w:val="24"/>
          <w:szCs w:val="24"/>
          <w:lang w:eastAsia="ru-RU"/>
        </w:rPr>
        <w:t>.</w:t>
      </w:r>
    </w:p>
    <w:p w14:paraId="072E90DD" w14:textId="5477875A"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Today allergy is a global public health problem and needs to be addressed both at the level of individual countries and the world community. It should be noted that the diag</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nostic value of immunological tests in vitro di</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agnostics is quite high and amounts to 87-90%, </w:t>
      </w:r>
      <w:r w:rsidRPr="00F20187">
        <w:rPr>
          <w:rFonts w:eastAsia="Times New Roman" w:cs="Times New Roman"/>
          <w:sz w:val="24"/>
          <w:szCs w:val="24"/>
          <w:lang w:val="en" w:eastAsia="ru-RU"/>
        </w:rPr>
        <w:t>the information content of skin tests with food allergens is only 49%</w:t>
      </w:r>
      <w:r w:rsidRPr="00F20187">
        <w:rPr>
          <w:rFonts w:eastAsia="Times New Roman" w:cs="Times New Roman"/>
          <w:sz w:val="24"/>
          <w:szCs w:val="24"/>
          <w:lang w:eastAsia="ru-RU"/>
        </w:rPr>
        <w:t xml:space="preserve"> [15].  </w:t>
      </w:r>
    </w:p>
    <w:p w14:paraId="20781FAA" w14:textId="533A7804"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According to foreign authors, all aller</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gens, including household, pollen, fungal, food allergens are divided into 130 protein families, depending on the functional properties and the similarity of the amino acid sequence. Cur</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rently, more than 130 allergenic molecules are available for in vitro diagnostics of specific im</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munoglobulin E (IgE) [14, 18].</w:t>
      </w:r>
    </w:p>
    <w:p w14:paraId="3B638B22" w14:textId="0B08C976"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The aim of the study was to study im</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portant allergens characteristic of the country, identify hidden allergens and interpret the re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sults for the diagnosis of type I allergic reac</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tions. It is known that the molecules of aller</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gens differ depending on the biological func</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tion as well as the structure of the protein fam</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ilies. Some molecules have common epitopes (antigen binding sites), and IgE antibodies can bind to allergen molecules that have identical structures. Their origin can be different, the identification of allergens, with cross-reactiv</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ity is of great importance and will give clini</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cians information about the sensitization of the patient</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s body to different allergens.</w:t>
      </w:r>
    </w:p>
    <w:p w14:paraId="74DD710A" w14:textId="661FDFBE"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Having information about which mole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cules of allergens the patient is sensitized to, it is possible to predict the tendency to develop a systemic or local reaction and the persistence of clinical symptoms. The high prevalence of allergic diseases in our republic dictates the de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velopment of innovative diagnostic methods, which have a particular social and medical sig</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nificance.</w:t>
      </w:r>
    </w:p>
    <w:p w14:paraId="6E4676BB"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sz w:val="24"/>
          <w:szCs w:val="24"/>
          <w:lang w:val="en" w:eastAsia="ru-RU"/>
        </w:rPr>
      </w:pPr>
      <w:r w:rsidRPr="00F20187">
        <w:rPr>
          <w:rFonts w:eastAsia="Times New Roman" w:cs="Times New Roman"/>
          <w:b/>
          <w:sz w:val="24"/>
          <w:szCs w:val="24"/>
          <w:lang w:val="en" w:eastAsia="ru-RU"/>
        </w:rPr>
        <w:t>Materials and methods.</w:t>
      </w:r>
    </w:p>
    <w:p w14:paraId="2045C591" w14:textId="3E17044C"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In the clinics of the republic, after a de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tailed analysis of the anamnesis, clinical symp</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toms of patients with allergic diseases (Food Allergy, Allergic r</w:t>
      </w:r>
      <w:r w:rsidRPr="00F20187">
        <w:rPr>
          <w:rFonts w:eastAsia="Times New Roman" w:cs="Times New Roman"/>
          <w:sz w:val="24"/>
          <w:szCs w:val="24"/>
          <w:lang w:eastAsia="ru-RU"/>
        </w:rPr>
        <w:t>h</w:t>
      </w:r>
      <w:r w:rsidRPr="00F20187">
        <w:rPr>
          <w:rFonts w:eastAsia="Times New Roman" w:cs="Times New Roman"/>
          <w:sz w:val="24"/>
          <w:szCs w:val="24"/>
          <w:lang w:val="en" w:eastAsia="ru-RU"/>
        </w:rPr>
        <w:t>initis, Bronchial asthma,</w:t>
      </w:r>
      <w:r w:rsidRPr="00F20187">
        <w:rPr>
          <w:rFonts w:eastAsia="Times New Roman" w:cs="Times New Roman"/>
          <w:sz w:val="24"/>
          <w:szCs w:val="24"/>
          <w:lang w:eastAsia="ru-RU"/>
        </w:rPr>
        <w:t xml:space="preserve"> Atopic dermatitis</w:t>
      </w:r>
      <w:r w:rsidRPr="00F20187">
        <w:rPr>
          <w:rFonts w:eastAsia="Times New Roman" w:cs="Times New Roman"/>
          <w:sz w:val="24"/>
          <w:szCs w:val="24"/>
          <w:lang w:val="en" w:eastAsia="ru-RU"/>
        </w:rPr>
        <w:t>) at the age of 0-75 years (n=161) in order to study important allergens characteristic of the country, determine hidden allergens, for further choice of an appropriate diet, specific IgE was determined. antibodies to food, vegetable, professional (latex), house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lastRenderedPageBreak/>
        <w:t>hold and fungal allergens typical for our re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gion.</w:t>
      </w:r>
    </w:p>
    <w:p w14:paraId="2FB9193A"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sz w:val="24"/>
          <w:szCs w:val="24"/>
          <w:lang w:val="en" w:eastAsia="ru-RU"/>
        </w:rPr>
      </w:pPr>
      <w:r w:rsidRPr="00F20187">
        <w:rPr>
          <w:rFonts w:eastAsia="Times New Roman" w:cs="Times New Roman"/>
          <w:b/>
          <w:sz w:val="24"/>
          <w:szCs w:val="24"/>
          <w:lang w:val="en" w:eastAsia="ru-RU"/>
        </w:rPr>
        <w:t>Research results.</w:t>
      </w:r>
    </w:p>
    <w:p w14:paraId="6B099FD5" w14:textId="6AC0ED65"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All patients were examined by im</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munoblotting test to determine the sensitivity to food allergens. Of the 161 patients, the con</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trol group consisted of 74 (46%) patients who received negative results, the study group con</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sisted of 87 patients. 1/3 of the patients were men, and 2/3 were women.</w:t>
      </w:r>
    </w:p>
    <w:p w14:paraId="6B459F72" w14:textId="4DA850EB"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In 16 (9.9%), monosensitization was noted, they observed sIgE antibodies to one food allergen, while in 71 (44.1%) polysensiti</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zation was observed, in which sensitivity was observed to two or more food allergens.</w:t>
      </w:r>
    </w:p>
    <w:p w14:paraId="6902B5FF" w14:textId="1E584E7D"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Of 161 adult patients (aged 0–75 years) who consulted an allergist, 10 (6.2%) had al</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lergic reactions to chicken meat, 6 (3.7%) had FA to chicken meat and egg protein, 3 (1.9%) had no adverse reactions to food.</w:t>
      </w:r>
    </w:p>
    <w:p w14:paraId="2DAD33A2" w14:textId="77777777" w:rsidR="00F130D7" w:rsidRDefault="00F130D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sectPr w:rsidR="00F130D7" w:rsidSect="00F130D7">
          <w:type w:val="continuous"/>
          <w:pgSz w:w="11907" w:h="16840" w:code="9"/>
          <w:pgMar w:top="1418" w:right="1134" w:bottom="1134" w:left="1134" w:header="907" w:footer="794" w:gutter="0"/>
          <w:cols w:num="2" w:space="708"/>
          <w:docGrid w:linePitch="381"/>
        </w:sectPr>
      </w:pPr>
    </w:p>
    <w:p w14:paraId="280CF2E5"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p>
    <w:p w14:paraId="13CF0D51" w14:textId="77777777" w:rsidR="00F20187" w:rsidRPr="00F20187" w:rsidRDefault="00F2018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val="en" w:eastAsia="ru-RU"/>
        </w:rPr>
      </w:pPr>
      <w:r w:rsidRPr="00F20187">
        <w:rPr>
          <w:rFonts w:eastAsia="Times New Roman" w:cs="Times New Roman"/>
          <w:noProof/>
          <w:sz w:val="24"/>
          <w:szCs w:val="24"/>
          <w:lang w:val="ru-RU" w:eastAsia="ru-RU"/>
        </w:rPr>
        <w:drawing>
          <wp:inline distT="0" distB="0" distL="0" distR="0" wp14:anchorId="468CAA94" wp14:editId="488AF513">
            <wp:extent cx="5695315" cy="3879272"/>
            <wp:effectExtent l="0" t="0" r="635" b="698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FFF246" w14:textId="77777777" w:rsidR="00F130D7" w:rsidRDefault="00F130D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093E92E7" w14:textId="72EE9CBD" w:rsidR="00F20187" w:rsidRPr="00F20187" w:rsidRDefault="00F2018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r w:rsidRPr="00F20187">
        <w:rPr>
          <w:rFonts w:eastAsia="Times New Roman" w:cs="Times New Roman"/>
          <w:b/>
          <w:i/>
          <w:iCs/>
          <w:sz w:val="24"/>
          <w:szCs w:val="24"/>
          <w:lang w:eastAsia="ru-RU"/>
        </w:rPr>
        <w:t>Figure 1.</w:t>
      </w:r>
      <w:r w:rsidRPr="00F20187">
        <w:rPr>
          <w:rFonts w:eastAsia="Times New Roman" w:cs="Times New Roman"/>
          <w:b/>
          <w:sz w:val="24"/>
          <w:szCs w:val="24"/>
          <w:lang w:eastAsia="ru-RU"/>
        </w:rPr>
        <w:t xml:space="preserve"> Allergic reactions to food allergens of animal origin</w:t>
      </w:r>
    </w:p>
    <w:p w14:paraId="40965D6B"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sz w:val="24"/>
          <w:szCs w:val="24"/>
          <w:lang w:eastAsia="ru-RU"/>
        </w:rPr>
      </w:pPr>
    </w:p>
    <w:p w14:paraId="6F774A12" w14:textId="77777777" w:rsidR="00F130D7" w:rsidRDefault="00F130D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sectPr w:rsidR="00F130D7" w:rsidSect="001B41EC">
          <w:type w:val="continuous"/>
          <w:pgSz w:w="11907" w:h="16840" w:code="9"/>
          <w:pgMar w:top="1418" w:right="1134" w:bottom="1134" w:left="1134" w:header="907" w:footer="794" w:gutter="0"/>
          <w:cols w:space="708"/>
          <w:docGrid w:linePitch="381"/>
        </w:sectPr>
      </w:pPr>
    </w:p>
    <w:p w14:paraId="638A9FDF" w14:textId="30DA56CC"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Among the widespread allergens are fruits from the Rosaceae family: peaches, ap</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ples, pears, apricots, strawberries and other trees with stone fruits. Allergy to apples in many patients is combined with allergy to birch pollen due to the identity of their aller</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genic proteins, symptoms of damage to the oral </w:t>
      </w:r>
      <w:r w:rsidRPr="00F20187">
        <w:rPr>
          <w:rFonts w:eastAsia="Times New Roman" w:cs="Times New Roman"/>
          <w:sz w:val="24"/>
          <w:szCs w:val="24"/>
          <w:lang w:val="en" w:eastAsia="ru-RU"/>
        </w:rPr>
        <w:t>cavity and pharynx are mainly observed, some</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times it can be accompanied by allergic rhini</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tis, bronchial asthma and gastrointestinal dis</w:t>
      </w:r>
      <w:r w:rsidR="00F130D7">
        <w:rPr>
          <w:rFonts w:eastAsia="Times New Roman" w:cs="Times New Roman"/>
          <w:sz w:val="24"/>
          <w:szCs w:val="24"/>
          <w:lang w:val="en" w:eastAsia="ru-RU"/>
        </w:rPr>
        <w:softHyphen/>
      </w:r>
      <w:r w:rsidRPr="00F20187">
        <w:rPr>
          <w:rFonts w:eastAsia="Times New Roman" w:cs="Times New Roman"/>
          <w:sz w:val="24"/>
          <w:szCs w:val="24"/>
          <w:lang w:val="en" w:eastAsia="ru-RU"/>
        </w:rPr>
        <w:t>orders.</w:t>
      </w:r>
      <w:r w:rsidRPr="00F20187">
        <w:rPr>
          <w:rFonts w:eastAsia="Times New Roman" w:cs="Times New Roman"/>
          <w:sz w:val="24"/>
          <w:szCs w:val="24"/>
          <w:lang w:eastAsia="ru-RU"/>
        </w:rPr>
        <w:t xml:space="preserve"> As the test results showed, the patients showed cross-reactions between Rosaceae group allergens: strawberries (14.3%), peaches (15.5%), apples (18.6%), apricots (19.3%).</w:t>
      </w:r>
    </w:p>
    <w:p w14:paraId="4E6196EA" w14:textId="77777777" w:rsidR="00F130D7" w:rsidRDefault="00F130D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sectPr w:rsidR="00F130D7" w:rsidSect="00F130D7">
          <w:type w:val="continuous"/>
          <w:pgSz w:w="11907" w:h="16840" w:code="9"/>
          <w:pgMar w:top="1418" w:right="1134" w:bottom="1134" w:left="1134" w:header="907" w:footer="794" w:gutter="0"/>
          <w:cols w:num="2" w:space="708"/>
          <w:docGrid w:linePitch="381"/>
        </w:sectPr>
      </w:pPr>
    </w:p>
    <w:p w14:paraId="58240B39"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p>
    <w:p w14:paraId="79CF620B" w14:textId="77777777" w:rsidR="00F20187" w:rsidRPr="00F20187" w:rsidRDefault="00F2018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sz w:val="24"/>
          <w:szCs w:val="24"/>
          <w:lang w:val="en" w:eastAsia="ru-RU"/>
        </w:rPr>
      </w:pPr>
      <w:r w:rsidRPr="00F20187">
        <w:rPr>
          <w:rFonts w:eastAsia="Times New Roman" w:cs="Times New Roman"/>
          <w:noProof/>
          <w:sz w:val="24"/>
          <w:szCs w:val="24"/>
          <w:lang w:val="ru-RU" w:eastAsia="ru-RU"/>
        </w:rPr>
        <w:lastRenderedPageBreak/>
        <w:drawing>
          <wp:inline distT="0" distB="0" distL="0" distR="0" wp14:anchorId="3C5CC22E" wp14:editId="204456ED">
            <wp:extent cx="5653405" cy="3768437"/>
            <wp:effectExtent l="0" t="0" r="4445" b="38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BB53E9" w14:textId="77777777" w:rsidR="00F130D7" w:rsidRDefault="00F130D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23F1461F" w14:textId="7A4D40C9" w:rsidR="00F20187" w:rsidRPr="00F20187" w:rsidRDefault="00F20187" w:rsidP="00F1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r w:rsidRPr="00F20187">
        <w:rPr>
          <w:rFonts w:eastAsia="Times New Roman" w:cs="Times New Roman"/>
          <w:b/>
          <w:i/>
          <w:iCs/>
          <w:sz w:val="24"/>
          <w:szCs w:val="24"/>
          <w:lang w:eastAsia="ru-RU"/>
        </w:rPr>
        <w:t>Figure 2.</w:t>
      </w:r>
      <w:r w:rsidRPr="00F20187">
        <w:rPr>
          <w:rFonts w:eastAsia="Times New Roman" w:cs="Times New Roman"/>
          <w:b/>
          <w:sz w:val="24"/>
          <w:szCs w:val="24"/>
          <w:lang w:eastAsia="ru-RU"/>
        </w:rPr>
        <w:t xml:space="preserve"> Vet V 1 homology</w:t>
      </w:r>
    </w:p>
    <w:p w14:paraId="7A1BCC21"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p>
    <w:p w14:paraId="17730906" w14:textId="1578FDF2"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eastAsia="ru-RU"/>
        </w:rPr>
        <w:t xml:space="preserve">Allergic reactions were caused by </w:t>
      </w:r>
      <w:r w:rsidRPr="00F20187">
        <w:rPr>
          <w:rFonts w:eastAsia="Times New Roman" w:cs="Times New Roman"/>
          <w:sz w:val="24"/>
          <w:szCs w:val="24"/>
          <w:lang w:val="ru-RU" w:eastAsia="ru-RU"/>
        </w:rPr>
        <w:t>а</w:t>
      </w:r>
      <w:r w:rsidRPr="00F20187">
        <w:rPr>
          <w:rFonts w:eastAsia="Times New Roman" w:cs="Times New Roman"/>
          <w:sz w:val="24"/>
          <w:szCs w:val="24"/>
          <w:lang w:eastAsia="ru-RU"/>
        </w:rPr>
        <w:t xml:space="preserve">piaceae: carrot (18,6%), </w:t>
      </w:r>
      <w:r w:rsidR="00F44A75">
        <w:rPr>
          <w:rFonts w:eastAsia="Times New Roman" w:cs="Times New Roman"/>
          <w:sz w:val="24"/>
          <w:szCs w:val="24"/>
          <w:lang w:eastAsia="ru-RU"/>
        </w:rPr>
        <w:pgNum/>
      </w:r>
      <w:r w:rsidR="00F44A75">
        <w:rPr>
          <w:rFonts w:eastAsia="Times New Roman" w:cs="Times New Roman"/>
          <w:sz w:val="24"/>
          <w:szCs w:val="24"/>
          <w:lang w:eastAsia="ru-RU"/>
        </w:rPr>
        <w:t>utria</w:t>
      </w:r>
      <w:r w:rsidR="00F44A75">
        <w:rPr>
          <w:rFonts w:eastAsia="Times New Roman" w:cs="Times New Roman"/>
          <w:sz w:val="24"/>
          <w:szCs w:val="24"/>
          <w:lang w:eastAsia="ru-RU"/>
        </w:rPr>
        <w:pgNum/>
      </w:r>
      <w:r w:rsidR="00F44A75">
        <w:rPr>
          <w:rFonts w:eastAsia="Times New Roman" w:cs="Times New Roman"/>
          <w:sz w:val="24"/>
          <w:szCs w:val="24"/>
          <w:lang w:eastAsia="ru-RU"/>
        </w:rPr>
        <w:t>nin</w:t>
      </w:r>
      <w:r w:rsidRPr="00F20187">
        <w:rPr>
          <w:rFonts w:eastAsia="Times New Roman" w:cs="Times New Roman"/>
          <w:sz w:val="24"/>
          <w:szCs w:val="24"/>
          <w:lang w:eastAsia="ru-RU"/>
        </w:rPr>
        <w:t xml:space="preserve"> (23%).</w:t>
      </w:r>
      <w:r w:rsidRPr="00F20187">
        <w:rPr>
          <w:rFonts w:eastAsia="Times New Roman" w:cs="Times New Roman"/>
          <w:sz w:val="24"/>
          <w:szCs w:val="24"/>
          <w:lang w:val="en" w:eastAsia="ru-RU"/>
        </w:rPr>
        <w:tab/>
      </w:r>
    </w:p>
    <w:p w14:paraId="332DE88C" w14:textId="02B7EA62" w:rsid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 xml:space="preserve">In addition, we detected IgE antibodies to peanuts (8.1%), walnuts (14.3%) and </w:t>
      </w:r>
      <w:r w:rsidRPr="00F20187">
        <w:rPr>
          <w:rFonts w:eastAsia="Times New Roman" w:cs="Times New Roman"/>
          <w:sz w:val="24"/>
          <w:szCs w:val="24"/>
          <w:lang w:eastAsia="ru-RU"/>
        </w:rPr>
        <w:t xml:space="preserve">sunflower </w:t>
      </w:r>
      <w:r w:rsidRPr="00F20187">
        <w:rPr>
          <w:rFonts w:eastAsia="Times New Roman" w:cs="Times New Roman"/>
          <w:sz w:val="24"/>
          <w:szCs w:val="24"/>
          <w:lang w:val="en" w:eastAsia="ru-RU"/>
        </w:rPr>
        <w:t>seeds (11.8%). These allergens characterized sto</w:t>
      </w:r>
      <w:r w:rsidRPr="00F20187">
        <w:rPr>
          <w:rFonts w:eastAsia="Times New Roman" w:cs="Times New Roman"/>
          <w:sz w:val="24"/>
          <w:szCs w:val="24"/>
          <w:lang w:eastAsia="ru-RU"/>
        </w:rPr>
        <w:t>rage</w:t>
      </w:r>
      <w:r w:rsidRPr="00F20187">
        <w:rPr>
          <w:rFonts w:eastAsia="Times New Roman" w:cs="Times New Roman"/>
          <w:sz w:val="24"/>
          <w:szCs w:val="24"/>
          <w:lang w:val="en" w:eastAsia="ru-RU"/>
        </w:rPr>
        <w:t xml:space="preserve"> proteins.</w:t>
      </w:r>
    </w:p>
    <w:p w14:paraId="64A768AC" w14:textId="77777777" w:rsidR="00D936B4" w:rsidRPr="00F20187" w:rsidRDefault="00D936B4"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p>
    <w:p w14:paraId="033F13A3" w14:textId="4C873E75"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sz w:val="24"/>
          <w:szCs w:val="24"/>
          <w:lang w:val="en" w:eastAsia="ru-RU"/>
        </w:rPr>
      </w:pPr>
      <w:r w:rsidRPr="00F20187">
        <w:rPr>
          <w:rFonts w:eastAsia="Times New Roman" w:cs="Times New Roman"/>
          <w:noProof/>
          <w:sz w:val="24"/>
          <w:szCs w:val="24"/>
          <w:lang w:val="ru-RU" w:eastAsia="ru-RU"/>
        </w:rPr>
        <w:drawing>
          <wp:inline distT="0" distB="0" distL="0" distR="0" wp14:anchorId="7F2598A8" wp14:editId="20579124">
            <wp:extent cx="5629910" cy="3200400"/>
            <wp:effectExtent l="0" t="0" r="889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ACD6C3" w14:textId="77777777" w:rsidR="00D936B4" w:rsidRDefault="00D936B4"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25E10059" w14:textId="3DEE2FCE"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sz w:val="24"/>
          <w:szCs w:val="24"/>
          <w:lang w:val="en" w:eastAsia="ru-RU"/>
        </w:rPr>
      </w:pPr>
      <w:r w:rsidRPr="00F20187">
        <w:rPr>
          <w:rFonts w:eastAsia="Times New Roman" w:cs="Times New Roman"/>
          <w:b/>
          <w:i/>
          <w:iCs/>
          <w:sz w:val="24"/>
          <w:szCs w:val="24"/>
          <w:lang w:eastAsia="ru-RU"/>
        </w:rPr>
        <w:t>Figure 3.</w:t>
      </w:r>
      <w:r w:rsidRPr="00F20187">
        <w:rPr>
          <w:rFonts w:eastAsia="Times New Roman" w:cs="Times New Roman"/>
          <w:b/>
          <w:sz w:val="24"/>
          <w:szCs w:val="24"/>
          <w:lang w:eastAsia="ru-RU"/>
        </w:rPr>
        <w:t xml:space="preserve"> </w:t>
      </w:r>
      <w:r w:rsidRPr="00F20187">
        <w:rPr>
          <w:rFonts w:eastAsia="Times New Roman" w:cs="Times New Roman"/>
          <w:b/>
          <w:bCs/>
          <w:sz w:val="24"/>
          <w:szCs w:val="24"/>
          <w:lang w:eastAsia="ru-RU"/>
        </w:rPr>
        <w:t>Storage proteins</w:t>
      </w:r>
    </w:p>
    <w:p w14:paraId="43D72FA6" w14:textId="77777777"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b/>
      </w:r>
    </w:p>
    <w:p w14:paraId="5A67E087" w14:textId="77777777" w:rsidR="00D936B4" w:rsidRDefault="00D936B4"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sectPr w:rsidR="00D936B4" w:rsidSect="001B41EC">
          <w:type w:val="continuous"/>
          <w:pgSz w:w="11907" w:h="16840" w:code="9"/>
          <w:pgMar w:top="1418" w:right="1134" w:bottom="1134" w:left="1134" w:header="907" w:footer="794" w:gutter="0"/>
          <w:cols w:space="708"/>
          <w:docGrid w:linePitch="381"/>
        </w:sectPr>
      </w:pPr>
    </w:p>
    <w:p w14:paraId="314BD191" w14:textId="5D75605F"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lastRenderedPageBreak/>
        <w:t>Mushroom allergens include about 350 species of fungi that have been found to have allergic properties. Fungi are eukaryotic, sin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gle- or multicellular organisms that exist as saprophytes or parasites of plants and animals. </w:t>
      </w:r>
      <w:r w:rsidRPr="00F20187">
        <w:rPr>
          <w:rFonts w:eastAsia="Times New Roman" w:cs="Times New Roman"/>
          <w:sz w:val="24"/>
          <w:szCs w:val="24"/>
          <w:lang w:val="en" w:eastAsia="ru-RU"/>
        </w:rPr>
        <w:t>The structure of fungal spores differs from pol</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len spores, since the inhalation particles of fungi consist of living cells capable of growing and secreting allergens in vivo [4].</w:t>
      </w:r>
    </w:p>
    <w:p w14:paraId="5E1D7BB3" w14:textId="77777777" w:rsidR="00D936B4" w:rsidRDefault="00D936B4"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sectPr w:rsidR="00D936B4" w:rsidSect="00D936B4">
          <w:type w:val="continuous"/>
          <w:pgSz w:w="11907" w:h="16840" w:code="9"/>
          <w:pgMar w:top="1418" w:right="1134" w:bottom="1134" w:left="1134" w:header="907" w:footer="794" w:gutter="0"/>
          <w:cols w:num="2" w:space="708"/>
          <w:docGrid w:linePitch="381"/>
        </w:sectPr>
      </w:pPr>
    </w:p>
    <w:p w14:paraId="44B36E7C" w14:textId="77777777"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b/>
      </w:r>
    </w:p>
    <w:p w14:paraId="32A2577A" w14:textId="77777777"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sz w:val="24"/>
          <w:szCs w:val="24"/>
          <w:lang w:eastAsia="ru-RU"/>
        </w:rPr>
      </w:pPr>
      <w:r w:rsidRPr="00F20187">
        <w:rPr>
          <w:rFonts w:eastAsia="Times New Roman" w:cs="Times New Roman"/>
          <w:noProof/>
          <w:sz w:val="24"/>
          <w:szCs w:val="24"/>
          <w:lang w:val="ru-RU" w:eastAsia="ru-RU"/>
        </w:rPr>
        <w:drawing>
          <wp:inline distT="0" distB="0" distL="0" distR="0" wp14:anchorId="1F75AB19" wp14:editId="00319396">
            <wp:extent cx="6065520" cy="3215341"/>
            <wp:effectExtent l="0" t="0" r="11430" b="444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9097DE" w14:textId="77777777" w:rsidR="00D936B4" w:rsidRDefault="00D936B4"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1902A14A" w14:textId="3B66B73E"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r w:rsidRPr="00F20187">
        <w:rPr>
          <w:rFonts w:eastAsia="Times New Roman" w:cs="Times New Roman"/>
          <w:b/>
          <w:sz w:val="24"/>
          <w:szCs w:val="24"/>
          <w:lang w:eastAsia="ru-RU"/>
        </w:rPr>
        <w:t>Figure 3. Allergik reactions to fungi</w:t>
      </w:r>
    </w:p>
    <w:p w14:paraId="14F24FAE" w14:textId="77777777"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b/>
      </w:r>
    </w:p>
    <w:p w14:paraId="4C623E11" w14:textId="77777777" w:rsidR="00D936B4" w:rsidRDefault="00D936B4"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sectPr w:rsidR="00D936B4" w:rsidSect="001B41EC">
          <w:type w:val="continuous"/>
          <w:pgSz w:w="11907" w:h="16840" w:code="9"/>
          <w:pgMar w:top="1418" w:right="1134" w:bottom="1134" w:left="1134" w:header="907" w:footer="794" w:gutter="0"/>
          <w:cols w:space="708"/>
          <w:docGrid w:linePitch="381"/>
        </w:sectPr>
      </w:pPr>
    </w:p>
    <w:p w14:paraId="2EE777BD" w14:textId="63CC5499"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Families of fungi that are widespread in our climate are now known, which give cross-reactions and cause sensitization in patients with AD. Of all the data obtained in the repub</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lic for positive results on RAST within the range of 1-6, the largest percentage of fungi was found for Mould fungi: Mucor mucedo, Rhizopus nigricans (14.1%). And also sIgE in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dices were detected for fungi: Penicillinum no</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tatum (</w:t>
      </w:r>
      <w:r w:rsidRPr="00F20187">
        <w:rPr>
          <w:rFonts w:eastAsia="Times New Roman" w:cs="Times New Roman"/>
          <w:sz w:val="24"/>
          <w:szCs w:val="24"/>
          <w:lang w:eastAsia="ru-RU"/>
        </w:rPr>
        <w:t>8.4</w:t>
      </w:r>
      <w:r w:rsidRPr="00F20187">
        <w:rPr>
          <w:rFonts w:eastAsia="Times New Roman" w:cs="Times New Roman"/>
          <w:sz w:val="24"/>
          <w:szCs w:val="24"/>
          <w:lang w:val="en" w:eastAsia="ru-RU"/>
        </w:rPr>
        <w:t>%), Alternaria alternata (</w:t>
      </w:r>
      <w:r w:rsidRPr="00F20187">
        <w:rPr>
          <w:rFonts w:eastAsia="Times New Roman" w:cs="Times New Roman"/>
          <w:sz w:val="24"/>
          <w:szCs w:val="24"/>
          <w:lang w:eastAsia="ru-RU"/>
        </w:rPr>
        <w:t>6.1</w:t>
      </w:r>
      <w:r w:rsidRPr="00F20187">
        <w:rPr>
          <w:rFonts w:eastAsia="Times New Roman" w:cs="Times New Roman"/>
          <w:sz w:val="24"/>
          <w:szCs w:val="24"/>
          <w:lang w:val="en" w:eastAsia="ru-RU"/>
        </w:rPr>
        <w:t>%), Cladosporum herbarum, Aspergilus nigrus (</w:t>
      </w:r>
      <w:r w:rsidRPr="00F20187">
        <w:rPr>
          <w:rFonts w:eastAsia="Times New Roman" w:cs="Times New Roman"/>
          <w:sz w:val="24"/>
          <w:szCs w:val="24"/>
          <w:lang w:eastAsia="ru-RU"/>
        </w:rPr>
        <w:t>5</w:t>
      </w:r>
      <w:r w:rsidRPr="00F20187">
        <w:rPr>
          <w:rFonts w:eastAsia="Times New Roman" w:cs="Times New Roman"/>
          <w:sz w:val="24"/>
          <w:szCs w:val="24"/>
          <w:lang w:val="en" w:eastAsia="ru-RU"/>
        </w:rPr>
        <w:t>%), Candida albicans (</w:t>
      </w:r>
      <w:r w:rsidRPr="00F20187">
        <w:rPr>
          <w:rFonts w:eastAsia="Times New Roman" w:cs="Times New Roman"/>
          <w:sz w:val="24"/>
          <w:szCs w:val="24"/>
          <w:lang w:eastAsia="ru-RU"/>
        </w:rPr>
        <w:t>4.1</w:t>
      </w:r>
      <w:r w:rsidRPr="00F20187">
        <w:rPr>
          <w:rFonts w:eastAsia="Times New Roman" w:cs="Times New Roman"/>
          <w:sz w:val="24"/>
          <w:szCs w:val="24"/>
          <w:lang w:val="en" w:eastAsia="ru-RU"/>
        </w:rPr>
        <w:t>%).</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Sensitization to molds (Mucor mucedo, Rhizopus nigricans) was revealed in 14.</w:t>
      </w:r>
      <w:r w:rsidRPr="00F20187">
        <w:rPr>
          <w:rFonts w:eastAsia="Times New Roman" w:cs="Times New Roman"/>
          <w:sz w:val="24"/>
          <w:szCs w:val="24"/>
          <w:lang w:eastAsia="ru-RU"/>
        </w:rPr>
        <w:t>9</w:t>
      </w:r>
      <w:r w:rsidRPr="00F20187">
        <w:rPr>
          <w:rFonts w:eastAsia="Times New Roman" w:cs="Times New Roman"/>
          <w:sz w:val="24"/>
          <w:szCs w:val="24"/>
          <w:lang w:val="en" w:eastAsia="ru-RU"/>
        </w:rPr>
        <w:t>% of patients</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 xml:space="preserve">which is characterized as a </w:t>
      </w:r>
      <w:r w:rsidRPr="00F20187">
        <w:rPr>
          <w:rFonts w:eastAsia="Times New Roman" w:cs="Times New Roman"/>
          <w:sz w:val="24"/>
          <w:szCs w:val="24"/>
          <w:lang w:eastAsia="ru-RU"/>
        </w:rPr>
        <w:t>«</w:t>
      </w:r>
      <w:r w:rsidRPr="00F20187">
        <w:rPr>
          <w:rFonts w:eastAsia="Times New Roman" w:cs="Times New Roman"/>
          <w:sz w:val="24"/>
          <w:szCs w:val="24"/>
          <w:lang w:val="en" w:eastAsia="ru-RU"/>
        </w:rPr>
        <w:t>latex-mushroom</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syn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drome. The patients had clinical signs in the form of allergic rhinitis, conjunctivitis, contact dermatitis, urticaria, bronchial asthma</w:t>
      </w:r>
      <w:r w:rsidRPr="00F20187">
        <w:rPr>
          <w:rFonts w:eastAsia="Times New Roman" w:cs="Times New Roman"/>
          <w:sz w:val="24"/>
          <w:szCs w:val="24"/>
          <w:lang w:eastAsia="ru-RU"/>
        </w:rPr>
        <w:t>.</w:t>
      </w:r>
    </w:p>
    <w:p w14:paraId="00E969FA" w14:textId="7777777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p>
    <w:p w14:paraId="159346E8" w14:textId="675E6BE1" w:rsidR="00F20187" w:rsidRDefault="00F20187" w:rsidP="00D93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r w:rsidRPr="00F20187">
        <w:rPr>
          <w:rFonts w:eastAsia="Times New Roman" w:cs="Times New Roman"/>
          <w:b/>
          <w:sz w:val="24"/>
          <w:szCs w:val="24"/>
          <w:lang w:eastAsia="ru-RU"/>
        </w:rPr>
        <w:t>DISSCUSSION</w:t>
      </w:r>
    </w:p>
    <w:p w14:paraId="2C5D8782" w14:textId="77777777" w:rsidR="00D936B4" w:rsidRPr="00F20187" w:rsidRDefault="00D936B4" w:rsidP="00D93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4E13F6C4" w14:textId="5C92F2EC"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According to foreign authors, individu</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als with allergies to Rosaceae, especially in the case of sensitization to PR-10 proteins (apple </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 Mal d 1, peach </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 Pru p 1) or profilins (peach </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 Pru p 4), more often have a local reaction, be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cause these proteins are destroyed by high tem</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peratures and digestive enzymes. Sensitization to </w:t>
      </w:r>
      <w:r w:rsidRPr="00F20187">
        <w:rPr>
          <w:rFonts w:eastAsia="Times New Roman" w:cs="Times New Roman"/>
          <w:sz w:val="24"/>
          <w:szCs w:val="24"/>
          <w:lang w:eastAsia="ru-RU"/>
        </w:rPr>
        <w:t>lipid transfer (</w:t>
      </w:r>
      <w:r w:rsidRPr="00F20187">
        <w:rPr>
          <w:rFonts w:eastAsia="Times New Roman" w:cs="Times New Roman"/>
          <w:sz w:val="24"/>
          <w:szCs w:val="24"/>
          <w:lang w:val="en" w:eastAsia="ru-RU"/>
        </w:rPr>
        <w:t>LTP</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proteins (peach </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 Pru p 3), characterized by clinical manifestations of a different nature (asymptomatic course, ana</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phylaxis), as a rule, is a marker of anaphylaxis, which is provoked by other factors (physical activity, medication, wheat, etc.) [13].</w:t>
      </w:r>
    </w:p>
    <w:p w14:paraId="6EEEA34A" w14:textId="0F6A8EBF"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In patients with pollen allergies, cross-reactivity between airborne allergens and food can cause FA. Symptoms can range from oral allergy syndrome to severe anaphylaxis.</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Clini</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cal manifestations associated with IgE sensiti</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lastRenderedPageBreak/>
        <w:t>zation to cross-reactive components of aeroal</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lergens and food allergens have been charac</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terized for many plant sources </w:t>
      </w:r>
      <w:r w:rsidRPr="00F20187">
        <w:rPr>
          <w:rFonts w:eastAsia="Times New Roman" w:cs="Times New Roman"/>
          <w:sz w:val="24"/>
          <w:szCs w:val="24"/>
          <w:shd w:val="clear" w:color="auto" w:fill="FFFFFF"/>
          <w:lang w:eastAsia="ru-RU"/>
        </w:rPr>
        <w:t>(pollen-food syndromes and associations, such as birch-ap</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ple, cypress-peach and celery-mugwort-spice syndromes, and mugwort-peach, mugwort-chamomile, mugwort-mustard, ragweed-melon-banana, goosefoot-melon associations), fungal origin (</w:t>
      </w:r>
      <w:r w:rsidRPr="00F20187">
        <w:rPr>
          <w:rFonts w:eastAsia="Times New Roman" w:cs="Times New Roman"/>
          <w:iCs/>
          <w:sz w:val="24"/>
          <w:szCs w:val="24"/>
          <w:lang w:eastAsia="ru-RU"/>
        </w:rPr>
        <w:t>Alternaria</w:t>
      </w:r>
      <w:r w:rsidRPr="00F20187">
        <w:rPr>
          <w:rFonts w:eastAsia="Times New Roman" w:cs="Times New Roman"/>
          <w:sz w:val="24"/>
          <w:szCs w:val="24"/>
          <w:shd w:val="clear" w:color="auto" w:fill="FFFFFF"/>
          <w:lang w:eastAsia="ru-RU"/>
        </w:rPr>
        <w:t>-spinach syndrome), and invertebrate, mammalian or avian origin (mite-shrimp, cat-pork, and bird-egg syn</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dromes)</w:t>
      </w:r>
      <w:r w:rsidRPr="00F20187">
        <w:rPr>
          <w:rFonts w:eastAsia="Times New Roman" w:cs="Times New Roman"/>
          <w:sz w:val="24"/>
          <w:szCs w:val="24"/>
          <w:lang w:eastAsia="ru-RU"/>
        </w:rPr>
        <w:t xml:space="preserve"> [7].</w:t>
      </w:r>
    </w:p>
    <w:p w14:paraId="53FB4D8F" w14:textId="661B8937"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Global climate changes have affected the amount of pollen, its allergenicity, and the du</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ration of the dusting season. The use of new technologies in the food industry has radically changed the concept of the composition of a particular product.</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Animal products may con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tain plant allergens (for example, sausages may contain soy proteins, spices, etc.) [12].</w:t>
      </w:r>
    </w:p>
    <w:p w14:paraId="6ADB5491" w14:textId="346174A4"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Prior to OAS, sensitization to pollen con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taining proteins homologous to certain fruits and vegetables often develops. In such a case, a pollen sensitive patient may react to a food allergen without first contacting it. For exam</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ple, sensitization to birch pollen can be com</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bined with O</w:t>
      </w:r>
      <w:r w:rsidRPr="00F20187">
        <w:rPr>
          <w:rFonts w:eastAsia="Times New Roman" w:cs="Times New Roman"/>
          <w:sz w:val="24"/>
          <w:szCs w:val="24"/>
          <w:lang w:val="ru-RU" w:eastAsia="ru-RU"/>
        </w:rPr>
        <w:t>А</w:t>
      </w:r>
      <w:r w:rsidRPr="00F20187">
        <w:rPr>
          <w:rFonts w:eastAsia="Times New Roman" w:cs="Times New Roman"/>
          <w:sz w:val="24"/>
          <w:szCs w:val="24"/>
          <w:lang w:val="en" w:eastAsia="ru-RU"/>
        </w:rPr>
        <w:t>S after eating Rosaceae, espe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cially apples, peaches and cherries. In practice, cases are described about cross-reactions be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tween latex and banana, avocado, peach, kiwi, apricot, grapefruit, pineapple.</w:t>
      </w:r>
    </w:p>
    <w:p w14:paraId="7B4834E9" w14:textId="7264CB0C" w:rsidR="00F20187" w:rsidRPr="00F20187" w:rsidRDefault="00F20187" w:rsidP="00F20187">
      <w:pPr>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There is cross-reactivity among the car</w:t>
      </w:r>
      <w:r w:rsidR="00D936B4">
        <w:rPr>
          <w:rFonts w:eastAsia="Times New Roman" w:cs="Times New Roman"/>
          <w:sz w:val="24"/>
          <w:szCs w:val="24"/>
          <w:lang w:eastAsia="ru-RU"/>
        </w:rPr>
        <w:softHyphen/>
      </w:r>
      <w:r w:rsidRPr="00F20187">
        <w:rPr>
          <w:rFonts w:eastAsia="Times New Roman" w:cs="Times New Roman"/>
          <w:sz w:val="24"/>
          <w:szCs w:val="24"/>
          <w:lang w:eastAsia="ru-RU"/>
        </w:rPr>
        <w:t>rots, walnuts, peanuts, celery, apples, cherries, pears, buckwheat and pollen of birch; water</w:t>
      </w:r>
      <w:r w:rsidR="00D936B4">
        <w:rPr>
          <w:rFonts w:eastAsia="Times New Roman" w:cs="Times New Roman"/>
          <w:sz w:val="24"/>
          <w:szCs w:val="24"/>
          <w:lang w:eastAsia="ru-RU"/>
        </w:rPr>
        <w:softHyphen/>
      </w:r>
      <w:r w:rsidRPr="00F20187">
        <w:rPr>
          <w:rFonts w:eastAsia="Times New Roman" w:cs="Times New Roman"/>
          <w:sz w:val="24"/>
          <w:szCs w:val="24"/>
          <w:lang w:eastAsia="ru-RU"/>
        </w:rPr>
        <w:t>melon, banana, sunflower seeds, honey and chamomile with ragweed pollen. Watermelon, oranges, cherries, potatoes provide cross reac</w:t>
      </w:r>
      <w:r w:rsidR="00D936B4">
        <w:rPr>
          <w:rFonts w:eastAsia="Times New Roman" w:cs="Times New Roman"/>
          <w:sz w:val="24"/>
          <w:szCs w:val="24"/>
          <w:lang w:eastAsia="ru-RU"/>
        </w:rPr>
        <w:softHyphen/>
      </w:r>
      <w:r w:rsidRPr="00F20187">
        <w:rPr>
          <w:rFonts w:eastAsia="Times New Roman" w:cs="Times New Roman"/>
          <w:sz w:val="24"/>
          <w:szCs w:val="24"/>
          <w:lang w:eastAsia="ru-RU"/>
        </w:rPr>
        <w:t>tion with pollen of grasses. This is called «pol</w:t>
      </w:r>
      <w:r w:rsidR="00D936B4">
        <w:rPr>
          <w:rFonts w:eastAsia="Times New Roman" w:cs="Times New Roman"/>
          <w:sz w:val="24"/>
          <w:szCs w:val="24"/>
          <w:lang w:eastAsia="ru-RU"/>
        </w:rPr>
        <w:softHyphen/>
      </w:r>
      <w:r w:rsidRPr="00F20187">
        <w:rPr>
          <w:rFonts w:eastAsia="Times New Roman" w:cs="Times New Roman"/>
          <w:sz w:val="24"/>
          <w:szCs w:val="24"/>
          <w:lang w:eastAsia="ru-RU"/>
        </w:rPr>
        <w:t xml:space="preserve">len-fruit» syndrome. Celery can cause both oropharyngeal symptoms and system reactions like urticaria, asthma and anaphylactic shock.  </w:t>
      </w:r>
    </w:p>
    <w:p w14:paraId="1C22C0C3" w14:textId="62519E82" w:rsidR="00F20187" w:rsidRPr="00F20187" w:rsidRDefault="00F20187" w:rsidP="00F20187">
      <w:pPr>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Proteins of natural rubber latex and cer</w:t>
      </w:r>
      <w:r w:rsidR="00D936B4">
        <w:rPr>
          <w:rFonts w:eastAsia="Times New Roman" w:cs="Times New Roman"/>
          <w:sz w:val="24"/>
          <w:szCs w:val="24"/>
          <w:lang w:eastAsia="ru-RU"/>
        </w:rPr>
        <w:softHyphen/>
      </w:r>
      <w:r w:rsidRPr="00F20187">
        <w:rPr>
          <w:rFonts w:eastAsia="Times New Roman" w:cs="Times New Roman"/>
          <w:sz w:val="24"/>
          <w:szCs w:val="24"/>
          <w:lang w:eastAsia="ru-RU"/>
        </w:rPr>
        <w:t>tain fruits, vegetables (banana, kiwi, tomatoes, potatoes, carrot and watermelon) contain ho</w:t>
      </w:r>
      <w:r w:rsidR="00D936B4">
        <w:rPr>
          <w:rFonts w:eastAsia="Times New Roman" w:cs="Times New Roman"/>
          <w:sz w:val="24"/>
          <w:szCs w:val="24"/>
          <w:lang w:eastAsia="ru-RU"/>
        </w:rPr>
        <w:softHyphen/>
      </w:r>
      <w:r w:rsidRPr="00F20187">
        <w:rPr>
          <w:rFonts w:eastAsia="Times New Roman" w:cs="Times New Roman"/>
          <w:sz w:val="24"/>
          <w:szCs w:val="24"/>
          <w:lang w:eastAsia="ru-RU"/>
        </w:rPr>
        <w:t xml:space="preserve">mologous proteins, which can cause «latex-fruit» syndrome in sensitized patients.  </w:t>
      </w:r>
    </w:p>
    <w:p w14:paraId="7C49C4E4" w14:textId="55D00D55"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The tactics of prescribing an elimination diet, which takes into account the exclusion of causally significant allergens from the patient</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s diet, primarily depends on the timely diagnosis of causal allergens, the severity of clinical symptoms, and the patient</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s age. Establishing the </w:t>
      </w:r>
      <w:r w:rsidRPr="00F20187">
        <w:rPr>
          <w:rFonts w:eastAsia="Times New Roman" w:cs="Times New Roman"/>
          <w:sz w:val="24"/>
          <w:szCs w:val="24"/>
          <w:lang w:eastAsia="ru-RU"/>
        </w:rPr>
        <w:t>«</w:t>
      </w:r>
      <w:r w:rsidRPr="00F20187">
        <w:rPr>
          <w:rFonts w:eastAsia="Times New Roman" w:cs="Times New Roman"/>
          <w:sz w:val="24"/>
          <w:szCs w:val="24"/>
          <w:lang w:val="en" w:eastAsia="ru-RU"/>
        </w:rPr>
        <w:t>culprit</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 allergen and knowing its ability to cross-reactivity, resistance to heat treatment, as well as the correct determination of the ap</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propriateness and duration of elimination of the allergen is an important task of the nutri</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tionist-allergist.</w:t>
      </w:r>
    </w:p>
    <w:p w14:paraId="351346AE" w14:textId="7D106674"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In our country, the diagnosis of allergic diseases is difficult due to the lack of unified methodological approaches and standardized diagnostic methods to determine the mecha</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nisms of allergy development. It should be noted that pseudo-allergic reactions are often clinically identical with allergic ones, but there are differences in their mechanisms. So, during pseudo-allergic reactions, specific antibodies are not formed, the reaction depends on the dose of the food product consumed and, unlike allergic reactions, is triggered at the first con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tact.</w:t>
      </w:r>
    </w:p>
    <w:p w14:paraId="3F8B51C2" w14:textId="6E68A378"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shd w:val="clear" w:color="auto" w:fill="FFFFFF"/>
          <w:lang w:eastAsia="ru-RU"/>
        </w:rPr>
      </w:pPr>
      <w:r w:rsidRPr="00F20187">
        <w:rPr>
          <w:rFonts w:eastAsia="Times New Roman" w:cs="Times New Roman"/>
          <w:sz w:val="24"/>
          <w:szCs w:val="24"/>
          <w:shd w:val="clear" w:color="auto" w:fill="FFFFFF"/>
          <w:lang w:eastAsia="ru-RU"/>
        </w:rPr>
        <w:t>The same problem can arise with two well-known types of FA; wheat-dependant ex</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ercise induced anaphylaxis and allergy to non-specific Lipid Transfer Protein allergens, both of which might only manifest when linked to a cofactor such as exercise. Many of these risk factors for food anaphylaxis have a common link; the public</w:t>
      </w:r>
      <w:r w:rsidR="00F44A75">
        <w:rPr>
          <w:rFonts w:eastAsia="Times New Roman" w:cs="Times New Roman"/>
          <w:sz w:val="24"/>
          <w:szCs w:val="24"/>
          <w:shd w:val="clear" w:color="auto" w:fill="FFFFFF"/>
          <w:lang w:eastAsia="ru-RU"/>
        </w:rPr>
        <w:t>’</w:t>
      </w:r>
      <w:r w:rsidRPr="00F20187">
        <w:rPr>
          <w:rFonts w:eastAsia="Times New Roman" w:cs="Times New Roman"/>
          <w:sz w:val="24"/>
          <w:szCs w:val="24"/>
          <w:shd w:val="clear" w:color="auto" w:fill="FFFFFF"/>
          <w:lang w:eastAsia="ru-RU"/>
        </w:rPr>
        <w:t>s engagement with popular concepts of health and fitness. This includes the development of a food and exercise culture involving the promotion and marketing of foods for their health-giving properties i.e., meat substitutes, wheat substitutes, supple</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ments and alternative, or “natural” remedies for common ailments. Some of these foods have been reported as the cause of severe aller</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gic reactions, but because they are often viewed as benign unlikely causes of severe al</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lastRenderedPageBreak/>
        <w:t>lergic reactions, could be considered to be hid</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den allergens [17]. </w:t>
      </w:r>
    </w:p>
    <w:p w14:paraId="5ECC636E" w14:textId="74E8E10E" w:rsidR="00F20187" w:rsidRPr="00F20187" w:rsidRDefault="00F20187" w:rsidP="00F20187">
      <w:pPr>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Allergenic proteins can contain linear or conformational epitopes or be heat stable or heat labile. Food allergens can be modified by food processing or are affected by specific methods of cooking, which can denature the protein or, conversely, render a protein more allergic through various known chemical path</w:t>
      </w:r>
      <w:r w:rsidR="00D936B4">
        <w:rPr>
          <w:rFonts w:eastAsia="Times New Roman" w:cs="Times New Roman"/>
          <w:sz w:val="24"/>
          <w:szCs w:val="24"/>
          <w:lang w:eastAsia="ru-RU"/>
        </w:rPr>
        <w:softHyphen/>
      </w:r>
      <w:r w:rsidRPr="00F20187">
        <w:rPr>
          <w:rFonts w:eastAsia="Times New Roman" w:cs="Times New Roman"/>
          <w:sz w:val="24"/>
          <w:szCs w:val="24"/>
          <w:lang w:eastAsia="ru-RU"/>
        </w:rPr>
        <w:t>ways [5].</w:t>
      </w:r>
    </w:p>
    <w:p w14:paraId="620F58A3" w14:textId="4063AC05"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rPr>
          <w:rFonts w:eastAsia="Times New Roman" w:cs="Times New Roman"/>
          <w:sz w:val="24"/>
          <w:szCs w:val="24"/>
          <w:lang w:eastAsia="ru-RU"/>
        </w:rPr>
      </w:pPr>
      <w:r w:rsidRPr="00F20187">
        <w:rPr>
          <w:rFonts w:eastAsia="Times New Roman" w:cs="Times New Roman"/>
          <w:sz w:val="24"/>
          <w:szCs w:val="24"/>
          <w:lang w:val="en" w:eastAsia="ru-RU"/>
        </w:rPr>
        <w:t>Among the allergenic proteins of animal origin, the most clinically significant are ca</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seins and lipocalins: the main milk allergens, a family of protease inhibitors, and calcium-binding proteins: parvalbumin, the dominant fish allergen [2].</w:t>
      </w:r>
    </w:p>
    <w:p w14:paraId="01C851B7" w14:textId="176C1ADB"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val="en" w:eastAsia="ru-RU"/>
        </w:rPr>
      </w:pPr>
      <w:r w:rsidRPr="00F20187">
        <w:rPr>
          <w:rFonts w:eastAsia="Times New Roman" w:cs="Times New Roman"/>
          <w:sz w:val="24"/>
          <w:szCs w:val="24"/>
          <w:lang w:val="en" w:eastAsia="ru-RU"/>
        </w:rPr>
        <w:t>As you know, milk and its processed products are widely used in the confectionery industry. Thermally stable milk protein casein enhances moisture retention in sweets and can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dies, in melted dairy products it improves crust color and strength, milk proteins serve as a whipped marshmallow base. Casein and ca</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seinates are often used as salad dressings, fill</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ers and spices in sausages, soups and stews, sauces, and ice cream</w:t>
      </w:r>
      <w:r w:rsidRPr="00F20187">
        <w:rPr>
          <w:rFonts w:eastAsia="Times New Roman" w:cs="Times New Roman"/>
          <w:sz w:val="24"/>
          <w:szCs w:val="24"/>
          <w:lang w:eastAsia="ru-RU"/>
        </w:rPr>
        <w:t xml:space="preserve"> [4]. Some food products (cow’s milk, peanut, egg) contain several epitopes, ensuring their allergenicity. </w:t>
      </w:r>
      <w:r w:rsidRPr="00F20187">
        <w:rPr>
          <w:rFonts w:eastAsia="Times New Roman" w:cs="Times New Roman"/>
          <w:sz w:val="24"/>
          <w:szCs w:val="24"/>
          <w:lang w:val="en" w:eastAsia="ru-RU"/>
        </w:rPr>
        <w:t>In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creased sensitization to chicken eggs, espe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cially chicken protein, is a widespread problem that affects 1-2% of children worldwide. Mainly 4 egg allergens: ovomucoid, ovalbu</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min, ovotransferrin and lysozyme cause hyper</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sensitivity in patients [6]. </w:t>
      </w:r>
    </w:p>
    <w:p w14:paraId="7CF38D8D" w14:textId="0B8E71E4"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Meat is a histamine liberator, rarely causes allergies, consumption in large quanti</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ties can lead to the development of pseudo-al</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lergic reactions, possibly due to the effect on mast cells by a non-specific mechanism. The antigenic composition of the meat of different animals differs, therefore, in patients with beef allergy, chicken, pork and lamb meat may not cause an allergy. Lamb is considered a mild food allergen, but shares common allergens with beef and sheep wool. The allergenic po</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tential of meat is reduced by heating and by ex</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 xml:space="preserve">posure to pepsin. This variant of sensitization in the determination of simultaneously specific IgE (sIgE) antibodies to egg and chicken meat in medicine is called the </w:t>
      </w:r>
      <w:r w:rsidRPr="00F20187">
        <w:rPr>
          <w:rFonts w:eastAsia="Times New Roman" w:cs="Times New Roman"/>
          <w:sz w:val="24"/>
          <w:szCs w:val="24"/>
          <w:lang w:eastAsia="ru-RU"/>
        </w:rPr>
        <w:t>«</w:t>
      </w:r>
      <w:r w:rsidRPr="00F20187">
        <w:rPr>
          <w:rFonts w:eastAsia="Times New Roman" w:cs="Times New Roman"/>
          <w:sz w:val="24"/>
          <w:szCs w:val="24"/>
          <w:lang w:val="en" w:eastAsia="ru-RU"/>
        </w:rPr>
        <w:t>bird-egg</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syndrome.</w:t>
      </w:r>
    </w:p>
    <w:p w14:paraId="268A63A5" w14:textId="1FCFBF0E"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Patients who are allergic to chicken meat may react to meat from other birds such as tur</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key. Albumin of different animals has a high degree of structural similarity and in the pres</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ence of hypersensitivity to albumin of one spe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cies of animal, patients may react to the epithe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lium and meat of other animals</w:t>
      </w:r>
      <w:r w:rsidRPr="00F20187">
        <w:rPr>
          <w:rFonts w:eastAsia="Times New Roman" w:cs="Times New Roman"/>
          <w:sz w:val="24"/>
          <w:szCs w:val="24"/>
          <w:lang w:eastAsia="ru-RU"/>
        </w:rPr>
        <w:t xml:space="preserve"> [4]. </w:t>
      </w:r>
      <w:r w:rsidRPr="00F20187">
        <w:rPr>
          <w:rFonts w:eastAsia="Times New Roman" w:cs="Times New Roman"/>
          <w:sz w:val="24"/>
          <w:szCs w:val="24"/>
          <w:lang w:val="en" w:eastAsia="ru-RU"/>
        </w:rPr>
        <w:t>Haptens, which can combine with other dietary proteins, can also become complete allergens. When the immune barrier of the gastrointestinal tract is disturbed, a huge amount of antigens can enter the body. With the normal functioning of the gastrointestinal tract and the hepatobiliary sys</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tem, sensitization to food supplied by the en</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teral route does not develop</w:t>
      </w:r>
      <w:r w:rsidRPr="00F20187">
        <w:rPr>
          <w:rFonts w:eastAsia="Times New Roman" w:cs="Times New Roman"/>
          <w:sz w:val="24"/>
          <w:szCs w:val="24"/>
          <w:lang w:eastAsia="ru-RU"/>
        </w:rPr>
        <w:t xml:space="preserve"> [6]. </w:t>
      </w:r>
    </w:p>
    <w:p w14:paraId="261D8071" w14:textId="185F19A0" w:rsidR="00F20187" w:rsidRPr="00F20187" w:rsidRDefault="00F20187" w:rsidP="00F201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ab/>
        <w:t>When determining specific antibodies of the IgE class, the nature of aller</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gic food intolerance is confirmed, which makes it possible to compile a list of products that are contraindicated for patients. Eating an appropriate diet is considered the primary way to truly prevent food allergies. In our republic, the main food allergens include cow's milk, eggs, cereals, gluten, peanuts, nuts, sesame seeds, buckwheat, celery. However, individual selection of the most likely food allergens for testing should be based on the patients</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 xml:space="preserve"> specific diet.</w:t>
      </w:r>
    </w:p>
    <w:p w14:paraId="54D53E2D" w14:textId="6A9764D8" w:rsidR="00F20187" w:rsidRPr="00F20187" w:rsidRDefault="00F20187" w:rsidP="00F20187">
      <w:pPr>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Based on the above, the development of dietary rations, considering the climatic fea</w:t>
      </w:r>
      <w:r w:rsidR="00D936B4">
        <w:rPr>
          <w:rFonts w:eastAsia="Times New Roman" w:cs="Times New Roman"/>
          <w:sz w:val="24"/>
          <w:szCs w:val="24"/>
          <w:lang w:eastAsia="ru-RU"/>
        </w:rPr>
        <w:softHyphen/>
      </w:r>
      <w:r w:rsidRPr="00F20187">
        <w:rPr>
          <w:rFonts w:eastAsia="Times New Roman" w:cs="Times New Roman"/>
          <w:sz w:val="24"/>
          <w:szCs w:val="24"/>
          <w:lang w:eastAsia="ru-RU"/>
        </w:rPr>
        <w:t>tures of patients with food allergies, the com</w:t>
      </w:r>
      <w:r w:rsidR="00D936B4">
        <w:rPr>
          <w:rFonts w:eastAsia="Times New Roman" w:cs="Times New Roman"/>
          <w:sz w:val="24"/>
          <w:szCs w:val="24"/>
          <w:lang w:eastAsia="ru-RU"/>
        </w:rPr>
        <w:softHyphen/>
      </w:r>
      <w:r w:rsidRPr="00F20187">
        <w:rPr>
          <w:rFonts w:eastAsia="Times New Roman" w:cs="Times New Roman"/>
          <w:sz w:val="24"/>
          <w:szCs w:val="24"/>
          <w:lang w:eastAsia="ru-RU"/>
        </w:rPr>
        <w:t>ponent composition and allergenic properties of foods, with the help of modern methods of diagnosis becomes actual and perspective. Af</w:t>
      </w:r>
      <w:r w:rsidR="00D936B4">
        <w:rPr>
          <w:rFonts w:eastAsia="Times New Roman" w:cs="Times New Roman"/>
          <w:sz w:val="24"/>
          <w:szCs w:val="24"/>
          <w:lang w:eastAsia="ru-RU"/>
        </w:rPr>
        <w:softHyphen/>
      </w:r>
      <w:r w:rsidRPr="00F20187">
        <w:rPr>
          <w:rFonts w:eastAsia="Times New Roman" w:cs="Times New Roman"/>
          <w:sz w:val="24"/>
          <w:szCs w:val="24"/>
          <w:lang w:eastAsia="ru-RU"/>
        </w:rPr>
        <w:t>ter determining the cause-significant allergens, it is recommended that they be completely eliminated from the patient</w:t>
      </w:r>
      <w:r w:rsidR="00F44A75">
        <w:rPr>
          <w:rFonts w:eastAsia="Times New Roman" w:cs="Times New Roman"/>
          <w:sz w:val="24"/>
          <w:szCs w:val="24"/>
          <w:lang w:eastAsia="ru-RU"/>
        </w:rPr>
        <w:t>’</w:t>
      </w:r>
      <w:r w:rsidRPr="00F20187">
        <w:rPr>
          <w:rFonts w:eastAsia="Times New Roman" w:cs="Times New Roman"/>
          <w:sz w:val="24"/>
          <w:szCs w:val="24"/>
          <w:lang w:eastAsia="ru-RU"/>
        </w:rPr>
        <w:t>s diet. It is neces</w:t>
      </w:r>
      <w:r w:rsidR="00D936B4">
        <w:rPr>
          <w:rFonts w:eastAsia="Times New Roman" w:cs="Times New Roman"/>
          <w:sz w:val="24"/>
          <w:szCs w:val="24"/>
          <w:lang w:eastAsia="ru-RU"/>
        </w:rPr>
        <w:softHyphen/>
      </w:r>
      <w:r w:rsidRPr="00F20187">
        <w:rPr>
          <w:rFonts w:eastAsia="Times New Roman" w:cs="Times New Roman"/>
          <w:sz w:val="24"/>
          <w:szCs w:val="24"/>
          <w:lang w:eastAsia="ru-RU"/>
        </w:rPr>
        <w:t>sary to avoid skin, inhalation ways of getting these allergens into the body of sensitized pa</w:t>
      </w:r>
      <w:r w:rsidR="00D936B4">
        <w:rPr>
          <w:rFonts w:eastAsia="Times New Roman" w:cs="Times New Roman"/>
          <w:sz w:val="24"/>
          <w:szCs w:val="24"/>
          <w:lang w:eastAsia="ru-RU"/>
        </w:rPr>
        <w:softHyphen/>
      </w:r>
      <w:r w:rsidRPr="00F20187">
        <w:rPr>
          <w:rFonts w:eastAsia="Times New Roman" w:cs="Times New Roman"/>
          <w:sz w:val="24"/>
          <w:szCs w:val="24"/>
          <w:lang w:eastAsia="ru-RU"/>
        </w:rPr>
        <w:t xml:space="preserve">tients. The diet should be strictly individual </w:t>
      </w:r>
      <w:r w:rsidRPr="00F20187">
        <w:rPr>
          <w:rFonts w:eastAsia="Times New Roman" w:cs="Times New Roman"/>
          <w:sz w:val="24"/>
          <w:szCs w:val="24"/>
          <w:lang w:eastAsia="ru-RU"/>
        </w:rPr>
        <w:lastRenderedPageBreak/>
        <w:t xml:space="preserve">and it is necessary to make a diet, being guided by the anamnesis, clinical symptoms, age of the patient taking into account cross reactions between allergens. </w:t>
      </w:r>
    </w:p>
    <w:p w14:paraId="13BF16FF" w14:textId="5F0D3C98"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Thus, we can conclude that the creation of dietary rations taking into account the cli</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matic properties of the region, the individual characteristics of patients with food allergies, the component composition and allergenic properties of food products using modern diag</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nostic methods is becoming relevant and promising.</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Attention should be paid to the fact that the diet should be strictly individual and when compiling it, it is necessary to be guided by the history, clinical symptoms, age of the patient, taking into account cross-allergic reac</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tions between different groups of allergens.</w:t>
      </w:r>
      <w:r w:rsidRPr="00F20187">
        <w:rPr>
          <w:rFonts w:eastAsia="Times New Roman" w:cs="Times New Roman"/>
          <w:sz w:val="24"/>
          <w:szCs w:val="24"/>
          <w:lang w:eastAsia="ru-RU"/>
        </w:rPr>
        <w:t xml:space="preserve"> </w:t>
      </w:r>
      <w:r w:rsidRPr="00F20187">
        <w:rPr>
          <w:rFonts w:eastAsia="Times New Roman" w:cs="Times New Roman"/>
          <w:sz w:val="24"/>
          <w:szCs w:val="24"/>
          <w:lang w:val="en" w:eastAsia="ru-RU"/>
        </w:rPr>
        <w:t xml:space="preserve">For all patients, there cannot be a single </w:t>
      </w:r>
      <w:r w:rsidRPr="00F20187">
        <w:rPr>
          <w:rFonts w:eastAsia="Times New Roman" w:cs="Times New Roman"/>
          <w:sz w:val="24"/>
          <w:szCs w:val="24"/>
          <w:lang w:eastAsia="ru-RU"/>
        </w:rPr>
        <w:t>«</w:t>
      </w:r>
      <w:r w:rsidRPr="00F20187">
        <w:rPr>
          <w:rFonts w:eastAsia="Times New Roman" w:cs="Times New Roman"/>
          <w:sz w:val="24"/>
          <w:szCs w:val="24"/>
          <w:lang w:val="en" w:eastAsia="ru-RU"/>
        </w:rPr>
        <w:t>standard</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elimination diet.</w:t>
      </w:r>
    </w:p>
    <w:p w14:paraId="7519DC80" w14:textId="77777777" w:rsidR="00D936B4" w:rsidRDefault="00D936B4"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p>
    <w:p w14:paraId="0B94FB10" w14:textId="5110304D" w:rsidR="00F20187" w:rsidRPr="00F20187" w:rsidRDefault="00F20187" w:rsidP="00D936B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cs="Times New Roman"/>
          <w:b/>
          <w:sz w:val="24"/>
          <w:szCs w:val="24"/>
          <w:lang w:eastAsia="ru-RU"/>
        </w:rPr>
      </w:pPr>
      <w:r w:rsidRPr="00F20187">
        <w:rPr>
          <w:rFonts w:eastAsia="Times New Roman" w:cs="Times New Roman"/>
          <w:b/>
          <w:sz w:val="24"/>
          <w:szCs w:val="24"/>
          <w:lang w:eastAsia="ru-RU"/>
        </w:rPr>
        <w:t>CONCLUSION</w:t>
      </w:r>
    </w:p>
    <w:p w14:paraId="6D703F12" w14:textId="65CE607A" w:rsidR="00F20187" w:rsidRPr="00F20187" w:rsidRDefault="00F20187" w:rsidP="00F20187">
      <w:pPr>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eastAsia="ru-RU"/>
        </w:rPr>
        <w:t>Based on the above, the development of diet, considering the climatic features of pa</w:t>
      </w:r>
      <w:r w:rsidR="00D936B4">
        <w:rPr>
          <w:rFonts w:eastAsia="Times New Roman" w:cs="Times New Roman"/>
          <w:sz w:val="24"/>
          <w:szCs w:val="24"/>
          <w:lang w:eastAsia="ru-RU"/>
        </w:rPr>
        <w:softHyphen/>
      </w:r>
      <w:r w:rsidRPr="00F20187">
        <w:rPr>
          <w:rFonts w:eastAsia="Times New Roman" w:cs="Times New Roman"/>
          <w:sz w:val="24"/>
          <w:szCs w:val="24"/>
          <w:lang w:eastAsia="ru-RU"/>
        </w:rPr>
        <w:t>tients with food allergies, the component com</w:t>
      </w:r>
      <w:r w:rsidR="00D936B4">
        <w:rPr>
          <w:rFonts w:eastAsia="Times New Roman" w:cs="Times New Roman"/>
          <w:sz w:val="24"/>
          <w:szCs w:val="24"/>
          <w:lang w:eastAsia="ru-RU"/>
        </w:rPr>
        <w:softHyphen/>
      </w:r>
      <w:r w:rsidRPr="00F20187">
        <w:rPr>
          <w:rFonts w:eastAsia="Times New Roman" w:cs="Times New Roman"/>
          <w:sz w:val="24"/>
          <w:szCs w:val="24"/>
          <w:lang w:eastAsia="ru-RU"/>
        </w:rPr>
        <w:t>position and allergenic properties of food, with the help of modern methods of diagnosis be</w:t>
      </w:r>
      <w:r w:rsidR="00D936B4">
        <w:rPr>
          <w:rFonts w:eastAsia="Times New Roman" w:cs="Times New Roman"/>
          <w:sz w:val="24"/>
          <w:szCs w:val="24"/>
          <w:lang w:eastAsia="ru-RU"/>
        </w:rPr>
        <w:softHyphen/>
      </w:r>
      <w:r w:rsidRPr="00F20187">
        <w:rPr>
          <w:rFonts w:eastAsia="Times New Roman" w:cs="Times New Roman"/>
          <w:sz w:val="24"/>
          <w:szCs w:val="24"/>
          <w:lang w:eastAsia="ru-RU"/>
        </w:rPr>
        <w:t xml:space="preserve">come actual and perspective. </w:t>
      </w:r>
    </w:p>
    <w:p w14:paraId="06308077" w14:textId="46DA3295" w:rsidR="00F20187" w:rsidRPr="00F20187" w:rsidRDefault="00F20187" w:rsidP="00F20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 w:val="24"/>
          <w:szCs w:val="24"/>
          <w:lang w:eastAsia="ru-RU"/>
        </w:rPr>
      </w:pPr>
      <w:r w:rsidRPr="00F20187">
        <w:rPr>
          <w:rFonts w:eastAsia="Times New Roman" w:cs="Times New Roman"/>
          <w:sz w:val="24"/>
          <w:szCs w:val="24"/>
          <w:lang w:val="en" w:eastAsia="ru-RU"/>
        </w:rPr>
        <w:t xml:space="preserve">As a result of many years of research, we have recommended a list of </w:t>
      </w:r>
      <w:r w:rsidRPr="00F20187">
        <w:rPr>
          <w:rFonts w:eastAsia="Times New Roman" w:cs="Times New Roman"/>
          <w:sz w:val="24"/>
          <w:szCs w:val="24"/>
          <w:lang w:eastAsia="ru-RU"/>
        </w:rPr>
        <w:t>«</w:t>
      </w:r>
      <w:r w:rsidRPr="00F20187">
        <w:rPr>
          <w:rFonts w:eastAsia="Times New Roman" w:cs="Times New Roman"/>
          <w:sz w:val="24"/>
          <w:szCs w:val="24"/>
          <w:lang w:val="en" w:eastAsia="ru-RU"/>
        </w:rPr>
        <w:t>guilty</w:t>
      </w:r>
      <w:r w:rsidRPr="00F20187">
        <w:rPr>
          <w:rFonts w:eastAsia="Times New Roman" w:cs="Times New Roman"/>
          <w:sz w:val="24"/>
          <w:szCs w:val="24"/>
          <w:lang w:eastAsia="ru-RU"/>
        </w:rPr>
        <w:t>»</w:t>
      </w:r>
      <w:r w:rsidRPr="00F20187">
        <w:rPr>
          <w:rFonts w:eastAsia="Times New Roman" w:cs="Times New Roman"/>
          <w:sz w:val="24"/>
          <w:szCs w:val="24"/>
          <w:lang w:val="en" w:eastAsia="ru-RU"/>
        </w:rPr>
        <w:t xml:space="preserve"> food products with high allergenic activity in our re</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public, such as cow</w:t>
      </w:r>
      <w:r w:rsidR="00F44A75">
        <w:rPr>
          <w:rFonts w:eastAsia="Times New Roman" w:cs="Times New Roman"/>
          <w:sz w:val="24"/>
          <w:szCs w:val="24"/>
          <w:lang w:val="en" w:eastAsia="ru-RU"/>
        </w:rPr>
        <w:t>’</w:t>
      </w:r>
      <w:r w:rsidRPr="00F20187">
        <w:rPr>
          <w:rFonts w:eastAsia="Times New Roman" w:cs="Times New Roman"/>
          <w:sz w:val="24"/>
          <w:szCs w:val="24"/>
          <w:lang w:val="en" w:eastAsia="ru-RU"/>
        </w:rPr>
        <w:t>s milk, eggs, cereals, glu</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ten, peanuts, nuts, sesame seeds, buckwheat and celery. Due to the fact that these food prod</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ucts have major allergenic components, the problem of managing latent allergens and their labeling is an urgent task of medicine.</w:t>
      </w:r>
    </w:p>
    <w:p w14:paraId="0DBD1081" w14:textId="77777777" w:rsidR="00F20187" w:rsidRPr="00F20187" w:rsidRDefault="00F20187" w:rsidP="00F20187">
      <w:pPr>
        <w:spacing w:line="276" w:lineRule="auto"/>
        <w:ind w:firstLine="567"/>
        <w:jc w:val="both"/>
        <w:rPr>
          <w:rFonts w:eastAsia="Times New Roman" w:cs="Times New Roman"/>
          <w:sz w:val="24"/>
          <w:szCs w:val="24"/>
          <w:lang w:eastAsia="ru-RU"/>
        </w:rPr>
      </w:pPr>
    </w:p>
    <w:p w14:paraId="292ECBFA" w14:textId="0A14C805" w:rsidR="00F20187" w:rsidRDefault="00F20187" w:rsidP="00D936B4">
      <w:pPr>
        <w:spacing w:line="276" w:lineRule="auto"/>
        <w:jc w:val="center"/>
        <w:rPr>
          <w:rFonts w:eastAsia="Times New Roman" w:cs="Times New Roman"/>
          <w:b/>
          <w:sz w:val="24"/>
          <w:szCs w:val="24"/>
          <w:lang w:eastAsia="ru-RU"/>
        </w:rPr>
      </w:pPr>
      <w:r w:rsidRPr="00F20187">
        <w:rPr>
          <w:rFonts w:eastAsia="Times New Roman" w:cs="Times New Roman"/>
          <w:b/>
          <w:sz w:val="24"/>
          <w:szCs w:val="24"/>
          <w:lang w:eastAsia="ru-RU"/>
        </w:rPr>
        <w:t>REFERENCES</w:t>
      </w:r>
    </w:p>
    <w:p w14:paraId="5A4A1FC9" w14:textId="77777777" w:rsidR="00D936B4" w:rsidRPr="00F20187" w:rsidRDefault="00D936B4" w:rsidP="00D936B4">
      <w:pPr>
        <w:spacing w:line="276" w:lineRule="auto"/>
        <w:jc w:val="both"/>
        <w:rPr>
          <w:rFonts w:eastAsia="Times New Roman" w:cs="Times New Roman"/>
          <w:b/>
          <w:sz w:val="24"/>
          <w:szCs w:val="24"/>
          <w:lang w:eastAsia="ru-RU"/>
        </w:rPr>
      </w:pPr>
    </w:p>
    <w:p w14:paraId="0354089F" w14:textId="77777777" w:rsidR="00F20187" w:rsidRPr="00F20187" w:rsidRDefault="00F20187" w:rsidP="00D936B4">
      <w:pPr>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rPr>
          <w:rFonts w:eastAsia="Times New Roman" w:cs="Times New Roman"/>
          <w:sz w:val="24"/>
          <w:szCs w:val="24"/>
          <w:lang w:eastAsia="ru-RU"/>
        </w:rPr>
      </w:pPr>
      <w:r w:rsidRPr="00F20187">
        <w:rPr>
          <w:rFonts w:eastAsia="Times New Roman" w:cs="Times New Roman"/>
          <w:sz w:val="24"/>
          <w:szCs w:val="24"/>
          <w:lang w:eastAsia="ru-RU"/>
        </w:rPr>
        <w:t>S. Allan Bock, Hugh A. Sampson, Evaluation of food</w:t>
      </w:r>
      <w:r w:rsidRPr="00F20187">
        <w:rPr>
          <w:rFonts w:eastAsia="Times New Roman" w:cs="Times New Roman"/>
          <w:sz w:val="24"/>
          <w:szCs w:val="24"/>
          <w:lang w:val="en" w:eastAsia="ru-RU"/>
        </w:rPr>
        <w:t xml:space="preserve"> allergy. </w:t>
      </w:r>
      <w:hyperlink r:id="rId34" w:history="1">
        <w:r w:rsidRPr="00F20187">
          <w:rPr>
            <w:rFonts w:eastAsia="Times New Roman" w:cs="Times New Roman"/>
            <w:sz w:val="24"/>
            <w:szCs w:val="24"/>
            <w:lang w:eastAsia="ru-RU"/>
          </w:rPr>
          <w:t>Pediatric Allergy: Principles and Practice (Third Edition)</w:t>
        </w:r>
      </w:hyperlink>
      <w:r w:rsidRPr="00F20187">
        <w:rPr>
          <w:rFonts w:eastAsia="Times New Roman" w:cs="Times New Roman"/>
          <w:sz w:val="24"/>
          <w:szCs w:val="24"/>
          <w:lang w:eastAsia="ru-RU"/>
        </w:rPr>
        <w:t>, 2016</w:t>
      </w:r>
    </w:p>
    <w:p w14:paraId="49DB6439" w14:textId="351CAE93"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t>Abdullaeva D.G. Prospects for mo</w:t>
      </w:r>
      <w:r w:rsidR="00D936B4">
        <w:rPr>
          <w:rFonts w:eastAsia="Times New Roman" w:cs="Times New Roman"/>
          <w:sz w:val="24"/>
          <w:szCs w:val="24"/>
          <w:lang w:eastAsia="ru-RU"/>
        </w:rPr>
        <w:softHyphen/>
      </w:r>
      <w:r w:rsidRPr="00F20187">
        <w:rPr>
          <w:rFonts w:eastAsia="Times New Roman" w:cs="Times New Roman"/>
          <w:sz w:val="24"/>
          <w:szCs w:val="24"/>
          <w:lang w:eastAsia="ru-RU"/>
        </w:rPr>
        <w:t xml:space="preserve">lecular diagnostics of hidden allergens in food </w:t>
      </w:r>
      <w:r w:rsidRPr="00F20187">
        <w:rPr>
          <w:rFonts w:eastAsia="Times New Roman" w:cs="Times New Roman"/>
          <w:sz w:val="24"/>
          <w:szCs w:val="24"/>
          <w:lang w:eastAsia="ru-RU"/>
        </w:rPr>
        <w:t>in Uzbekistan Journal of biomedicine and practice. 2020 (4). -P.356-362</w:t>
      </w:r>
    </w:p>
    <w:p w14:paraId="00A0BBD9" w14:textId="66C28941"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shd w:val="clear" w:color="auto" w:fill="FFFFFF"/>
          <w:lang w:eastAsia="ru-RU"/>
        </w:rPr>
      </w:pPr>
      <w:r w:rsidRPr="00F20187">
        <w:rPr>
          <w:rFonts w:eastAsia="Times New Roman" w:cs="Times New Roman"/>
          <w:sz w:val="24"/>
          <w:szCs w:val="24"/>
          <w:shd w:val="clear" w:color="auto" w:fill="FFFFFF"/>
          <w:lang w:val="de-DE" w:eastAsia="ru-RU"/>
        </w:rPr>
        <w:t xml:space="preserve">Abrams, E. M., &amp; Sicherer, S. H. (2016). </w:t>
      </w:r>
      <w:r w:rsidRPr="00F20187">
        <w:rPr>
          <w:rFonts w:eastAsia="Times New Roman" w:cs="Times New Roman"/>
          <w:sz w:val="24"/>
          <w:szCs w:val="24"/>
          <w:shd w:val="clear" w:color="auto" w:fill="FFFFFF"/>
          <w:lang w:eastAsia="ru-RU"/>
        </w:rPr>
        <w:t>Diagnosis and management of food al</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lergy. </w:t>
      </w:r>
      <w:r w:rsidRPr="00F20187">
        <w:rPr>
          <w:rFonts w:eastAsia="Times New Roman" w:cs="Times New Roman"/>
          <w:iCs/>
          <w:sz w:val="24"/>
          <w:szCs w:val="24"/>
          <w:shd w:val="clear" w:color="auto" w:fill="FFFFFF"/>
          <w:lang w:val="fr-FR" w:eastAsia="ru-RU"/>
        </w:rPr>
        <w:t>CMAJ</w:t>
      </w:r>
      <w:r w:rsidR="00F44A75">
        <w:rPr>
          <w:rFonts w:eastAsia="Times New Roman" w:cs="Times New Roman"/>
          <w:iCs/>
          <w:sz w:val="24"/>
          <w:szCs w:val="24"/>
          <w:shd w:val="clear" w:color="auto" w:fill="FFFFFF"/>
          <w:lang w:val="fr-FR" w:eastAsia="ru-RU"/>
        </w:rPr>
        <w:t> </w:t>
      </w:r>
      <w:r w:rsidRPr="00F20187">
        <w:rPr>
          <w:rFonts w:eastAsia="Times New Roman" w:cs="Times New Roman"/>
          <w:iCs/>
          <w:sz w:val="24"/>
          <w:szCs w:val="24"/>
          <w:shd w:val="clear" w:color="auto" w:fill="FFFFFF"/>
          <w:lang w:val="fr-FR" w:eastAsia="ru-RU"/>
        </w:rPr>
        <w:t>: Canadian Medical Association journal = journal de l</w:t>
      </w:r>
      <w:r w:rsidR="00F44A75">
        <w:rPr>
          <w:rFonts w:eastAsia="Times New Roman" w:cs="Times New Roman"/>
          <w:iCs/>
          <w:sz w:val="24"/>
          <w:szCs w:val="24"/>
          <w:shd w:val="clear" w:color="auto" w:fill="FFFFFF"/>
          <w:lang w:val="fr-FR" w:eastAsia="ru-RU"/>
        </w:rPr>
        <w:t>’</w:t>
      </w:r>
      <w:r w:rsidRPr="00F20187">
        <w:rPr>
          <w:rFonts w:eastAsia="Times New Roman" w:cs="Times New Roman"/>
          <w:iCs/>
          <w:sz w:val="24"/>
          <w:szCs w:val="24"/>
          <w:shd w:val="clear" w:color="auto" w:fill="FFFFFF"/>
          <w:lang w:val="fr-FR" w:eastAsia="ru-RU"/>
        </w:rPr>
        <w:t>Association medicale canadienne</w:t>
      </w:r>
      <w:r w:rsidRPr="00F20187">
        <w:rPr>
          <w:rFonts w:eastAsia="Times New Roman" w:cs="Times New Roman"/>
          <w:sz w:val="24"/>
          <w:szCs w:val="24"/>
          <w:shd w:val="clear" w:color="auto" w:fill="FFFFFF"/>
          <w:lang w:val="fr-FR" w:eastAsia="ru-RU"/>
        </w:rPr>
        <w:t>, </w:t>
      </w:r>
      <w:r w:rsidRPr="00F20187">
        <w:rPr>
          <w:rFonts w:eastAsia="Times New Roman" w:cs="Times New Roman"/>
          <w:iCs/>
          <w:sz w:val="24"/>
          <w:szCs w:val="24"/>
          <w:shd w:val="clear" w:color="auto" w:fill="FFFFFF"/>
          <w:lang w:val="fr-FR" w:eastAsia="ru-RU"/>
        </w:rPr>
        <w:t>188</w:t>
      </w:r>
      <w:r w:rsidRPr="00F20187">
        <w:rPr>
          <w:rFonts w:eastAsia="Times New Roman" w:cs="Times New Roman"/>
          <w:sz w:val="24"/>
          <w:szCs w:val="24"/>
          <w:shd w:val="clear" w:color="auto" w:fill="FFFFFF"/>
          <w:lang w:val="fr-FR" w:eastAsia="ru-RU"/>
        </w:rPr>
        <w:t xml:space="preserve">(15), 1087–1093. </w:t>
      </w:r>
      <w:hyperlink r:id="rId35" w:history="1">
        <w:r w:rsidRPr="00F20187">
          <w:rPr>
            <w:rFonts w:eastAsia="Times New Roman" w:cs="Times New Roman"/>
            <w:sz w:val="24"/>
            <w:szCs w:val="24"/>
            <w:shd w:val="clear" w:color="auto" w:fill="FFFFFF"/>
            <w:lang w:eastAsia="ru-RU"/>
          </w:rPr>
          <w:t>https://doi.org/10.1503/cmaj.160124</w:t>
        </w:r>
      </w:hyperlink>
    </w:p>
    <w:p w14:paraId="315335D8" w14:textId="77777777"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t>Colkhir P.V. Proof Allergology and Immunology, M. Practical Medicine. 2010- 528 pp.</w:t>
      </w:r>
    </w:p>
    <w:p w14:paraId="60457A48" w14:textId="24C50C85" w:rsidR="00F20187" w:rsidRPr="00F20187" w:rsidRDefault="00F20187" w:rsidP="00D936B4">
      <w:pPr>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rPr>
          <w:rFonts w:eastAsia="Times New Roman" w:cs="Times New Roman"/>
          <w:sz w:val="24"/>
          <w:szCs w:val="24"/>
          <w:lang w:eastAsia="ru-RU"/>
        </w:rPr>
      </w:pPr>
      <w:r w:rsidRPr="00F20187">
        <w:rPr>
          <w:rFonts w:eastAsia="Times New Roman" w:cs="Times New Roman"/>
          <w:spacing w:val="4"/>
          <w:sz w:val="24"/>
          <w:szCs w:val="24"/>
          <w:shd w:val="clear" w:color="auto" w:fill="FCFCFC"/>
          <w:lang w:eastAsia="ru-RU"/>
        </w:rPr>
        <w:t xml:space="preserve">Chang C., Leung P.S.C., Todi S., Zadoorian L. (2019) Definition of Allergens: Inhalants, Food, and Insects Allergens. In: Mahmoudi M., Craig T., Ledford D. (eds) Allergy and Asthma. Springer, Cham. </w:t>
      </w:r>
      <w:r w:rsidR="00F44A75" w:rsidRPr="00246C36">
        <w:rPr>
          <w:rFonts w:eastAsia="Times New Roman" w:cs="Times New Roman"/>
          <w:spacing w:val="4"/>
          <w:sz w:val="24"/>
          <w:szCs w:val="24"/>
          <w:shd w:val="clear" w:color="auto" w:fill="FCFCFC"/>
          <w:lang w:eastAsia="ru-RU"/>
        </w:rPr>
        <w:t>https://doi</w:t>
      </w:r>
      <w:r w:rsidRPr="00F20187">
        <w:rPr>
          <w:rFonts w:eastAsia="Times New Roman" w:cs="Times New Roman"/>
          <w:spacing w:val="4"/>
          <w:sz w:val="24"/>
          <w:szCs w:val="24"/>
          <w:shd w:val="clear" w:color="auto" w:fill="FCFCFC"/>
          <w:lang w:eastAsia="ru-RU"/>
        </w:rPr>
        <w:t>.org/10.1007/978-3-319-58726-4_3-1</w:t>
      </w:r>
      <w:r w:rsidRPr="00F20187">
        <w:rPr>
          <w:rFonts w:eastAsia="Times New Roman" w:cs="Times New Roman"/>
          <w:spacing w:val="2"/>
          <w:sz w:val="24"/>
          <w:szCs w:val="24"/>
          <w:shd w:val="clear" w:color="auto" w:fill="FCFCFC"/>
          <w:lang w:eastAsia="ru-RU"/>
        </w:rPr>
        <w:t> </w:t>
      </w:r>
    </w:p>
    <w:p w14:paraId="64710730" w14:textId="77777777"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t>Dhanapala P, De Silva C, Doran T, Suphioglu C. Cracking the egg: An insight into egg hypersensitivity. Mol Immunol. 2015 Aug;66 (2):375-383</w:t>
      </w:r>
    </w:p>
    <w:p w14:paraId="5F2DBBAA" w14:textId="6DD9FBF0"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t>Florin-Dan Popescu. Cross-reactiv</w:t>
      </w:r>
      <w:r w:rsidR="00D936B4">
        <w:rPr>
          <w:rFonts w:eastAsia="Times New Roman" w:cs="Times New Roman"/>
          <w:sz w:val="24"/>
          <w:szCs w:val="24"/>
          <w:lang w:eastAsia="ru-RU"/>
        </w:rPr>
        <w:softHyphen/>
      </w:r>
      <w:r w:rsidRPr="00F20187">
        <w:rPr>
          <w:rFonts w:eastAsia="Times New Roman" w:cs="Times New Roman"/>
          <w:sz w:val="24"/>
          <w:szCs w:val="24"/>
          <w:lang w:eastAsia="ru-RU"/>
        </w:rPr>
        <w:t>ity between aeroallergens and food allergens. World J Methodol. 2015 Jun 26;5(2):31-50</w:t>
      </w:r>
    </w:p>
    <w:p w14:paraId="788552EE" w14:textId="43B3900A"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t>N. Kelava, L. Lugović-Mihić, T. Duvancić, R. Romić, and M. Situm, “Oral al</w:t>
      </w:r>
      <w:r w:rsidR="00D936B4">
        <w:rPr>
          <w:rFonts w:eastAsia="Times New Roman" w:cs="Times New Roman"/>
          <w:sz w:val="24"/>
          <w:szCs w:val="24"/>
          <w:lang w:eastAsia="ru-RU"/>
        </w:rPr>
        <w:softHyphen/>
      </w:r>
      <w:r w:rsidRPr="00F20187">
        <w:rPr>
          <w:rFonts w:eastAsia="Times New Roman" w:cs="Times New Roman"/>
          <w:sz w:val="24"/>
          <w:szCs w:val="24"/>
          <w:lang w:eastAsia="ru-RU"/>
        </w:rPr>
        <w:t>lergy syndrome—the need of a multidiscipli</w:t>
      </w:r>
      <w:r w:rsidR="00D936B4">
        <w:rPr>
          <w:rFonts w:eastAsia="Times New Roman" w:cs="Times New Roman"/>
          <w:sz w:val="24"/>
          <w:szCs w:val="24"/>
          <w:lang w:eastAsia="ru-RU"/>
        </w:rPr>
        <w:softHyphen/>
      </w:r>
      <w:r w:rsidRPr="00F20187">
        <w:rPr>
          <w:rFonts w:eastAsia="Times New Roman" w:cs="Times New Roman"/>
          <w:sz w:val="24"/>
          <w:szCs w:val="24"/>
          <w:lang w:eastAsia="ru-RU"/>
        </w:rPr>
        <w:t>nary approach,” </w:t>
      </w:r>
      <w:r w:rsidRPr="00F20187">
        <w:rPr>
          <w:rFonts w:eastAsia="Times New Roman" w:cs="Times New Roman"/>
          <w:iCs/>
          <w:sz w:val="24"/>
          <w:szCs w:val="24"/>
          <w:lang w:eastAsia="ru-RU"/>
        </w:rPr>
        <w:t>Acta Clinica Croatica</w:t>
      </w:r>
      <w:r w:rsidRPr="00F20187">
        <w:rPr>
          <w:rFonts w:eastAsia="Times New Roman" w:cs="Times New Roman"/>
          <w:sz w:val="24"/>
          <w:szCs w:val="24"/>
          <w:lang w:eastAsia="ru-RU"/>
        </w:rPr>
        <w:t>, vol. 53, no. 2, pp. 210–219, 2014.</w:t>
      </w:r>
    </w:p>
    <w:p w14:paraId="2DCB5D10" w14:textId="1B475D5E"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shd w:val="clear" w:color="auto" w:fill="FFFFFF"/>
          <w:lang w:eastAsia="ru-RU"/>
        </w:rPr>
        <w:t>Kim, J. H., Kim, S. H., Park, H. W., Cho, S. H., &amp; Chang, Y. S. (2018). Oral Al</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lergy Syndrome in Birch Pollen-Sensitized Pa</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tients from a Korean University Hospi</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tal. </w:t>
      </w:r>
      <w:r w:rsidRPr="00F20187">
        <w:rPr>
          <w:rFonts w:eastAsia="Times New Roman" w:cs="Times New Roman"/>
          <w:iCs/>
          <w:sz w:val="24"/>
          <w:szCs w:val="24"/>
          <w:shd w:val="clear" w:color="auto" w:fill="FFFFFF"/>
          <w:lang w:eastAsia="ru-RU"/>
        </w:rPr>
        <w:t>Journal of Korean medical science</w:t>
      </w:r>
      <w:r w:rsidRPr="00F20187">
        <w:rPr>
          <w:rFonts w:eastAsia="Times New Roman" w:cs="Times New Roman"/>
          <w:sz w:val="24"/>
          <w:szCs w:val="24"/>
          <w:shd w:val="clear" w:color="auto" w:fill="FFFFFF"/>
          <w:lang w:eastAsia="ru-RU"/>
        </w:rPr>
        <w:t>, </w:t>
      </w:r>
      <w:r w:rsidRPr="00F20187">
        <w:rPr>
          <w:rFonts w:eastAsia="Times New Roman" w:cs="Times New Roman"/>
          <w:i/>
          <w:iCs/>
          <w:sz w:val="24"/>
          <w:szCs w:val="24"/>
          <w:shd w:val="clear" w:color="auto" w:fill="FFFFFF"/>
          <w:lang w:eastAsia="ru-RU"/>
        </w:rPr>
        <w:t>33</w:t>
      </w:r>
      <w:r w:rsidRPr="00F20187">
        <w:rPr>
          <w:rFonts w:eastAsia="Times New Roman" w:cs="Times New Roman"/>
          <w:sz w:val="24"/>
          <w:szCs w:val="24"/>
          <w:shd w:val="clear" w:color="auto" w:fill="FFFFFF"/>
          <w:lang w:eastAsia="ru-RU"/>
        </w:rPr>
        <w:t xml:space="preserve">(33), e218. </w:t>
      </w:r>
      <w:r w:rsidR="00632527" w:rsidRPr="00246C36">
        <w:rPr>
          <w:rFonts w:eastAsia="Times New Roman" w:cs="Times New Roman"/>
          <w:sz w:val="24"/>
          <w:szCs w:val="24"/>
          <w:shd w:val="clear" w:color="auto" w:fill="FFFFFF"/>
          <w:lang w:eastAsia="ru-RU"/>
        </w:rPr>
        <w:t>https://doi.org/10.3346/ jkms. 2018. 33. e218</w:t>
      </w:r>
    </w:p>
    <w:p w14:paraId="6DBDF82A" w14:textId="0C8F696E"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shd w:val="clear" w:color="auto" w:fill="FFFFFF"/>
          <w:lang w:eastAsia="ru-RU"/>
        </w:rPr>
      </w:pPr>
      <w:r w:rsidRPr="00F20187">
        <w:rPr>
          <w:rFonts w:eastAsia="Times New Roman" w:cs="Times New Roman"/>
          <w:sz w:val="24"/>
          <w:szCs w:val="24"/>
          <w:lang w:eastAsia="ru-RU"/>
        </w:rPr>
        <w:t>Lukschal, A.; Wallmann, J.; Bublin, M.; Hofstetter, G.; Mothes-Luksch, N.; Breit</w:t>
      </w:r>
      <w:r w:rsidR="00D936B4">
        <w:rPr>
          <w:rFonts w:eastAsia="Times New Roman" w:cs="Times New Roman"/>
          <w:sz w:val="24"/>
          <w:szCs w:val="24"/>
          <w:lang w:eastAsia="ru-RU"/>
        </w:rPr>
        <w:softHyphen/>
      </w:r>
      <w:r w:rsidRPr="00F20187">
        <w:rPr>
          <w:rFonts w:eastAsia="Times New Roman" w:cs="Times New Roman"/>
          <w:sz w:val="24"/>
          <w:szCs w:val="24"/>
          <w:lang w:eastAsia="ru-RU"/>
        </w:rPr>
        <w:t>eneder, H.; Pali-Schöll, I.; Jensen-Jarolim, E. Mimotopes for api g 5, a relevant cross-reac</w:t>
      </w:r>
      <w:r w:rsidR="00D936B4">
        <w:rPr>
          <w:rFonts w:eastAsia="Times New Roman" w:cs="Times New Roman"/>
          <w:sz w:val="24"/>
          <w:szCs w:val="24"/>
          <w:lang w:eastAsia="ru-RU"/>
        </w:rPr>
        <w:softHyphen/>
      </w:r>
      <w:r w:rsidRPr="00F20187">
        <w:rPr>
          <w:rFonts w:eastAsia="Times New Roman" w:cs="Times New Roman"/>
          <w:sz w:val="24"/>
          <w:szCs w:val="24"/>
          <w:lang w:eastAsia="ru-RU"/>
        </w:rPr>
        <w:t>tive allergen, in the celery-mugwort-birch-spice syndrome. Allergy Asthma Immunol. Res. 2016, 8, 124–131.</w:t>
      </w:r>
    </w:p>
    <w:p w14:paraId="2BE65CCB" w14:textId="555B3535"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lang w:eastAsia="ru-RU"/>
        </w:rPr>
        <w:lastRenderedPageBreak/>
        <w:t>B. S. Morris, “Oral allergy syn</w:t>
      </w:r>
      <w:r w:rsidR="00D936B4">
        <w:rPr>
          <w:rFonts w:eastAsia="Times New Roman" w:cs="Times New Roman"/>
          <w:sz w:val="24"/>
          <w:szCs w:val="24"/>
          <w:lang w:eastAsia="ru-RU"/>
        </w:rPr>
        <w:softHyphen/>
      </w:r>
      <w:r w:rsidRPr="00F20187">
        <w:rPr>
          <w:rFonts w:eastAsia="Times New Roman" w:cs="Times New Roman"/>
          <w:sz w:val="24"/>
          <w:szCs w:val="24"/>
          <w:lang w:eastAsia="ru-RU"/>
        </w:rPr>
        <w:t>drome,” </w:t>
      </w:r>
      <w:r w:rsidRPr="00F20187">
        <w:rPr>
          <w:rFonts w:eastAsia="Times New Roman" w:cs="Times New Roman"/>
          <w:iCs/>
          <w:sz w:val="24"/>
          <w:szCs w:val="24"/>
          <w:lang w:eastAsia="ru-RU"/>
        </w:rPr>
        <w:t>Proceedings of UCLA Healthcare</w:t>
      </w:r>
      <w:r w:rsidRPr="00F20187">
        <w:rPr>
          <w:rFonts w:eastAsia="Times New Roman" w:cs="Times New Roman"/>
          <w:sz w:val="24"/>
          <w:szCs w:val="24"/>
          <w:lang w:eastAsia="ru-RU"/>
        </w:rPr>
        <w:t>, vol. 17, pp. 1–4, 2013.</w:t>
      </w:r>
    </w:p>
    <w:p w14:paraId="3F82A333" w14:textId="023F55D1"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val="en" w:eastAsia="ru-RU"/>
        </w:rPr>
      </w:pPr>
      <w:r w:rsidRPr="00F20187">
        <w:rPr>
          <w:rFonts w:eastAsia="Times New Roman" w:cs="Times New Roman"/>
          <w:sz w:val="24"/>
          <w:szCs w:val="24"/>
          <w:lang w:eastAsia="ru-RU"/>
        </w:rPr>
        <w:t xml:space="preserve">Pampura A.N. </w:t>
      </w:r>
      <w:r w:rsidRPr="00F20187">
        <w:rPr>
          <w:rFonts w:eastAsia="Times New Roman" w:cs="Times New Roman"/>
          <w:sz w:val="24"/>
          <w:szCs w:val="24"/>
          <w:lang w:val="en" w:eastAsia="ru-RU"/>
        </w:rPr>
        <w:t>Problems and pro</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spects for the development of pediatric aller</w:t>
      </w:r>
      <w:r w:rsidR="00D936B4">
        <w:rPr>
          <w:rFonts w:eastAsia="Times New Roman" w:cs="Times New Roman"/>
          <w:sz w:val="24"/>
          <w:szCs w:val="24"/>
          <w:lang w:val="en" w:eastAsia="ru-RU"/>
        </w:rPr>
        <w:softHyphen/>
      </w:r>
      <w:r w:rsidRPr="00F20187">
        <w:rPr>
          <w:rFonts w:eastAsia="Times New Roman" w:cs="Times New Roman"/>
          <w:sz w:val="24"/>
          <w:szCs w:val="24"/>
          <w:lang w:val="en" w:eastAsia="ru-RU"/>
        </w:rPr>
        <w:t>gology // Russian Bulletin of Perinatology and Pediatrics-2015. №1.-Р.7-15</w:t>
      </w:r>
    </w:p>
    <w:p w14:paraId="11BBB1FF" w14:textId="42A873F5"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sz w:val="24"/>
          <w:szCs w:val="24"/>
          <w:lang w:eastAsia="ru-RU"/>
        </w:rPr>
      </w:pPr>
      <w:r w:rsidRPr="00F20187">
        <w:rPr>
          <w:rFonts w:eastAsia="TimesNewRoman" w:cs="Times New Roman"/>
          <w:sz w:val="24"/>
          <w:szCs w:val="24"/>
          <w:lang w:val="es-MX" w:eastAsia="ru-RU"/>
        </w:rPr>
        <w:t xml:space="preserve">Pascal M., Munoz-Cano R., Reina Z., Palacin A., Vilella R., Picado C., Juan M., Sanchez-Lopez J., Rueda M., Salcedo G., et al. </w:t>
      </w:r>
      <w:r w:rsidRPr="00F20187">
        <w:rPr>
          <w:rFonts w:eastAsia="TimesNewRoman" w:cs="Times New Roman"/>
          <w:sz w:val="24"/>
          <w:szCs w:val="24"/>
          <w:lang w:eastAsia="ru-RU"/>
        </w:rPr>
        <w:t>Lipid transfer protein syndrome: clinical pat</w:t>
      </w:r>
      <w:r w:rsidR="00D936B4">
        <w:rPr>
          <w:rFonts w:eastAsia="TimesNewRoman" w:cs="Times New Roman"/>
          <w:sz w:val="24"/>
          <w:szCs w:val="24"/>
          <w:lang w:eastAsia="ru-RU"/>
        </w:rPr>
        <w:softHyphen/>
      </w:r>
      <w:r w:rsidRPr="00F20187">
        <w:rPr>
          <w:rFonts w:eastAsia="TimesNewRoman" w:cs="Times New Roman"/>
          <w:sz w:val="24"/>
          <w:szCs w:val="24"/>
          <w:lang w:eastAsia="ru-RU"/>
        </w:rPr>
        <w:t xml:space="preserve">tern, cofactor effect and profile of molecular sensitization toplant-foods and pollens. </w:t>
      </w:r>
      <w:r w:rsidRPr="00F20187">
        <w:rPr>
          <w:rFonts w:eastAsia="TimesNewRoman" w:cs="Times New Roman"/>
          <w:iCs/>
          <w:sz w:val="24"/>
          <w:szCs w:val="24"/>
          <w:lang w:eastAsia="ru-RU"/>
        </w:rPr>
        <w:t>Clin Exp Allergy</w:t>
      </w:r>
      <w:r w:rsidRPr="00F20187">
        <w:rPr>
          <w:rFonts w:eastAsia="TimesNewRoman" w:cs="Times New Roman"/>
          <w:sz w:val="24"/>
          <w:szCs w:val="24"/>
          <w:lang w:eastAsia="ru-RU"/>
        </w:rPr>
        <w:t xml:space="preserve">. </w:t>
      </w:r>
      <w:r w:rsidRPr="00F20187">
        <w:rPr>
          <w:rFonts w:eastAsia="TimesNewRoman,Bold" w:cs="Times New Roman"/>
          <w:bCs/>
          <w:sz w:val="24"/>
          <w:szCs w:val="24"/>
          <w:lang w:eastAsia="ru-RU"/>
        </w:rPr>
        <w:t xml:space="preserve">42: </w:t>
      </w:r>
      <w:r w:rsidRPr="00F20187">
        <w:rPr>
          <w:rFonts w:eastAsia="TimesNewRoman" w:cs="Times New Roman"/>
          <w:sz w:val="24"/>
          <w:szCs w:val="24"/>
          <w:lang w:eastAsia="ru-RU"/>
        </w:rPr>
        <w:t>1529–1539, 2012.</w:t>
      </w:r>
    </w:p>
    <w:p w14:paraId="68A84EA3" w14:textId="3FF375BB" w:rsidR="00F20187" w:rsidRPr="00F20187" w:rsidRDefault="00F20187" w:rsidP="00D936B4">
      <w:pPr>
        <w:numPr>
          <w:ilvl w:val="0"/>
          <w:numId w:val="34"/>
        </w:numPr>
        <w:tabs>
          <w:tab w:val="left" w:pos="0"/>
          <w:tab w:val="left" w:pos="851"/>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shd w:val="clear" w:color="auto" w:fill="FFFFFF"/>
          <w:lang w:val="fr-FR" w:eastAsia="ru-RU"/>
        </w:rPr>
        <w:t xml:space="preserve">Pomés A, Davies JM, Gadermaier G, et al. </w:t>
      </w:r>
      <w:r w:rsidRPr="00F20187">
        <w:rPr>
          <w:rFonts w:eastAsia="Times New Roman" w:cs="Times New Roman"/>
          <w:sz w:val="24"/>
          <w:szCs w:val="24"/>
          <w:shd w:val="clear" w:color="auto" w:fill="FFFFFF"/>
          <w:lang w:eastAsia="ru-RU"/>
        </w:rPr>
        <w:t>WHO/IUIS Allergen Nomenclature: Providing a common language. </w:t>
      </w:r>
      <w:r w:rsidRPr="00F20187">
        <w:rPr>
          <w:rFonts w:eastAsia="Times New Roman" w:cs="Times New Roman"/>
          <w:iCs/>
          <w:sz w:val="24"/>
          <w:szCs w:val="24"/>
          <w:shd w:val="clear" w:color="auto" w:fill="FFFFFF"/>
          <w:lang w:eastAsia="ru-RU"/>
        </w:rPr>
        <w:t>Mol Immunol</w:t>
      </w:r>
      <w:r w:rsidRPr="00F20187">
        <w:rPr>
          <w:rFonts w:eastAsia="Times New Roman" w:cs="Times New Roman"/>
          <w:sz w:val="24"/>
          <w:szCs w:val="24"/>
          <w:shd w:val="clear" w:color="auto" w:fill="FFFFFF"/>
          <w:lang w:eastAsia="ru-RU"/>
        </w:rPr>
        <w:t>. 2018; 100:3‐13. doi: 10.1016/</w:t>
      </w:r>
      <w:r w:rsidR="00D936B4" w:rsidRPr="00F20187">
        <w:rPr>
          <w:rFonts w:eastAsia="Times New Roman" w:cs="Times New Roman"/>
          <w:sz w:val="24"/>
          <w:szCs w:val="24"/>
          <w:shd w:val="clear" w:color="auto" w:fill="FFFFFF"/>
          <w:lang w:eastAsia="ru-RU"/>
        </w:rPr>
        <w:t>j.mo</w:t>
      </w:r>
      <w:r w:rsidR="00D936B4" w:rsidRPr="00F20187">
        <w:rPr>
          <w:rFonts w:eastAsia="Times New Roman" w:cs="Times New Roman"/>
          <w:sz w:val="24"/>
          <w:szCs w:val="24"/>
          <w:shd w:val="clear" w:color="auto" w:fill="FFFFFF"/>
          <w:lang w:eastAsia="ru-RU"/>
        </w:rPr>
        <w:softHyphen/>
        <w:t>limm</w:t>
      </w:r>
      <w:r w:rsidRPr="00F20187">
        <w:rPr>
          <w:rFonts w:eastAsia="Times New Roman" w:cs="Times New Roman"/>
          <w:sz w:val="24"/>
          <w:szCs w:val="24"/>
          <w:shd w:val="clear" w:color="auto" w:fill="FFFFFF"/>
          <w:lang w:eastAsia="ru-RU"/>
        </w:rPr>
        <w:t>.</w:t>
      </w:r>
      <w:r w:rsidR="00D936B4">
        <w:rPr>
          <w:rFonts w:eastAsia="Times New Roman" w:cs="Times New Roman"/>
          <w:sz w:val="24"/>
          <w:szCs w:val="24"/>
          <w:shd w:val="clear" w:color="auto" w:fill="FFFFFF"/>
          <w:lang w:val="ru-RU" w:eastAsia="ru-RU"/>
        </w:rPr>
        <w:t xml:space="preserve"> </w:t>
      </w:r>
      <w:r w:rsidRPr="00F20187">
        <w:rPr>
          <w:rFonts w:eastAsia="Times New Roman" w:cs="Times New Roman"/>
          <w:sz w:val="24"/>
          <w:szCs w:val="24"/>
          <w:shd w:val="clear" w:color="auto" w:fill="FFFFFF"/>
          <w:lang w:eastAsia="ru-RU"/>
        </w:rPr>
        <w:t xml:space="preserve">2018.03.003 </w:t>
      </w:r>
    </w:p>
    <w:p w14:paraId="1BDDBC9A" w14:textId="3973BEEF" w:rsidR="00F20187" w:rsidRPr="00F20187" w:rsidRDefault="00F20187" w:rsidP="00D936B4">
      <w:pPr>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rPr>
          <w:rFonts w:eastAsia="Times New Roman" w:cs="Times New Roman"/>
          <w:sz w:val="24"/>
          <w:szCs w:val="24"/>
          <w:lang w:eastAsia="ru-RU"/>
        </w:rPr>
      </w:pPr>
      <w:r w:rsidRPr="00F20187">
        <w:rPr>
          <w:rFonts w:eastAsia="Times New Roman" w:cs="Times New Roman"/>
          <w:sz w:val="24"/>
          <w:szCs w:val="24"/>
          <w:lang w:eastAsia="ru-RU"/>
        </w:rPr>
        <w:t>Revyakina V.A. Food allergy, gas</w:t>
      </w:r>
      <w:r w:rsidR="00D936B4">
        <w:rPr>
          <w:rFonts w:eastAsia="Times New Roman" w:cs="Times New Roman"/>
          <w:sz w:val="24"/>
          <w:szCs w:val="24"/>
          <w:lang w:eastAsia="ru-RU"/>
        </w:rPr>
        <w:softHyphen/>
      </w:r>
      <w:r w:rsidRPr="00F20187">
        <w:rPr>
          <w:rFonts w:eastAsia="Times New Roman" w:cs="Times New Roman"/>
          <w:sz w:val="24"/>
          <w:szCs w:val="24"/>
          <w:lang w:eastAsia="ru-RU"/>
        </w:rPr>
        <w:t>trointestinal manifestations. L.vrach 2013 (8) P. 55-58.</w:t>
      </w:r>
    </w:p>
    <w:p w14:paraId="24991D50" w14:textId="59DF2F69" w:rsidR="00F20187" w:rsidRPr="00F20187" w:rsidRDefault="00F20187" w:rsidP="00D936B4">
      <w:pPr>
        <w:numPr>
          <w:ilvl w:val="0"/>
          <w:numId w:val="3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rPr>
          <w:rFonts w:eastAsia="Times New Roman" w:cs="Times New Roman"/>
          <w:sz w:val="24"/>
          <w:szCs w:val="24"/>
          <w:lang w:eastAsia="ru-RU"/>
        </w:rPr>
      </w:pPr>
      <w:r w:rsidRPr="00F20187">
        <w:rPr>
          <w:rFonts w:eastAsia="Times New Roman" w:cs="Times New Roman"/>
          <w:bCs/>
          <w:sz w:val="24"/>
          <w:szCs w:val="24"/>
          <w:lang w:eastAsia="ru-RU"/>
        </w:rPr>
        <w:t xml:space="preserve">Roopashri Rajesh Kashyap </w:t>
      </w:r>
      <w:r w:rsidRPr="00F20187">
        <w:rPr>
          <w:rFonts w:eastAsia="Times New Roman" w:cs="Times New Roman"/>
          <w:bCs/>
          <w:kern w:val="36"/>
          <w:sz w:val="24"/>
          <w:szCs w:val="24"/>
          <w:lang w:eastAsia="ru-RU"/>
        </w:rPr>
        <w:t>Oral Al</w:t>
      </w:r>
      <w:r w:rsidR="00D936B4">
        <w:rPr>
          <w:rFonts w:eastAsia="Times New Roman" w:cs="Times New Roman"/>
          <w:bCs/>
          <w:kern w:val="36"/>
          <w:sz w:val="24"/>
          <w:szCs w:val="24"/>
          <w:lang w:eastAsia="ru-RU"/>
        </w:rPr>
        <w:softHyphen/>
      </w:r>
      <w:r w:rsidRPr="00F20187">
        <w:rPr>
          <w:rFonts w:eastAsia="Times New Roman" w:cs="Times New Roman"/>
          <w:bCs/>
          <w:kern w:val="36"/>
          <w:sz w:val="24"/>
          <w:szCs w:val="24"/>
          <w:lang w:eastAsia="ru-RU"/>
        </w:rPr>
        <w:t xml:space="preserve">lergy Syndrome: An Update for Stomatologists Journal of Allergy </w:t>
      </w:r>
      <w:r w:rsidRPr="00F20187">
        <w:rPr>
          <w:rFonts w:eastAsia="Times New Roman" w:cs="Times New Roman"/>
          <w:sz w:val="24"/>
          <w:szCs w:val="24"/>
          <w:lang w:eastAsia="ru-RU"/>
        </w:rPr>
        <w:t>Volume 2015 |Article ID 543928 | </w:t>
      </w:r>
      <w:hyperlink r:id="rId36" w:tgtFrame="_blank" w:history="1">
        <w:r w:rsidRPr="00F20187">
          <w:rPr>
            <w:rFonts w:eastAsia="Times New Roman" w:cs="Times New Roman"/>
            <w:sz w:val="24"/>
            <w:szCs w:val="24"/>
            <w:lang w:eastAsia="ru-RU"/>
          </w:rPr>
          <w:t>https://doi.org/10.1155/2015/543928</w:t>
        </w:r>
      </w:hyperlink>
    </w:p>
    <w:p w14:paraId="210656D6" w14:textId="425CDA4F" w:rsidR="00F20187" w:rsidRPr="00F20187" w:rsidRDefault="00F20187" w:rsidP="00D936B4">
      <w:pPr>
        <w:numPr>
          <w:ilvl w:val="0"/>
          <w:numId w:val="34"/>
        </w:numPr>
        <w:tabs>
          <w:tab w:val="left" w:pos="993"/>
        </w:tabs>
        <w:spacing w:line="276" w:lineRule="auto"/>
        <w:ind w:left="0" w:firstLine="567"/>
        <w:contextualSpacing/>
        <w:jc w:val="both"/>
        <w:rPr>
          <w:rFonts w:eastAsia="Times New Roman" w:cs="Times New Roman"/>
          <w:i/>
          <w:sz w:val="24"/>
          <w:szCs w:val="24"/>
          <w:lang w:eastAsia="ru-RU"/>
        </w:rPr>
      </w:pPr>
      <w:r w:rsidRPr="00F20187">
        <w:rPr>
          <w:rFonts w:eastAsia="Times New Roman" w:cs="Times New Roman"/>
          <w:sz w:val="24"/>
          <w:szCs w:val="24"/>
          <w:shd w:val="clear" w:color="auto" w:fill="FFFFFF"/>
          <w:lang w:eastAsia="ru-RU"/>
        </w:rPr>
        <w:t>Skypala I. J. (2019). Food-Induced Anaphylaxis: Role of Hidden Allergens and Cofactors. </w:t>
      </w:r>
      <w:r w:rsidRPr="00F20187">
        <w:rPr>
          <w:rFonts w:eastAsia="Times New Roman" w:cs="Times New Roman"/>
          <w:iCs/>
          <w:sz w:val="24"/>
          <w:szCs w:val="24"/>
          <w:shd w:val="clear" w:color="auto" w:fill="FFFFFF"/>
          <w:lang w:eastAsia="ru-RU"/>
        </w:rPr>
        <w:t>Frontiers in immunology</w:t>
      </w:r>
      <w:r w:rsidRPr="00F20187">
        <w:rPr>
          <w:rFonts w:eastAsia="Times New Roman" w:cs="Times New Roman"/>
          <w:sz w:val="24"/>
          <w:szCs w:val="24"/>
          <w:shd w:val="clear" w:color="auto" w:fill="FFFFFF"/>
          <w:lang w:eastAsia="ru-RU"/>
        </w:rPr>
        <w:t>, </w:t>
      </w:r>
      <w:r w:rsidRPr="00F20187">
        <w:rPr>
          <w:rFonts w:eastAsia="Times New Roman" w:cs="Times New Roman"/>
          <w:iCs/>
          <w:sz w:val="24"/>
          <w:szCs w:val="24"/>
          <w:shd w:val="clear" w:color="auto" w:fill="FFFFFF"/>
          <w:lang w:eastAsia="ru-RU"/>
        </w:rPr>
        <w:t>10</w:t>
      </w:r>
      <w:r w:rsidRPr="00F20187">
        <w:rPr>
          <w:rFonts w:eastAsia="Times New Roman" w:cs="Times New Roman"/>
          <w:sz w:val="24"/>
          <w:szCs w:val="24"/>
          <w:shd w:val="clear" w:color="auto" w:fill="FFFFFF"/>
          <w:lang w:eastAsia="ru-RU"/>
        </w:rPr>
        <w:t xml:space="preserve">, 673. </w:t>
      </w:r>
      <w:hyperlink r:id="rId37" w:history="1">
        <w:r w:rsidR="00F44A75" w:rsidRPr="00457BC8">
          <w:rPr>
            <w:rStyle w:val="a3"/>
            <w:rFonts w:eastAsia="Times New Roman" w:cs="Times New Roman"/>
            <w:sz w:val="24"/>
            <w:szCs w:val="24"/>
            <w:shd w:val="clear" w:color="auto" w:fill="FFFFFF"/>
            <w:lang w:eastAsia="ru-RU"/>
          </w:rPr>
          <w:t>https://doi</w:t>
        </w:r>
      </w:hyperlink>
      <w:r w:rsidRPr="00F20187">
        <w:rPr>
          <w:rFonts w:eastAsia="Times New Roman" w:cs="Times New Roman"/>
          <w:sz w:val="24"/>
          <w:szCs w:val="24"/>
          <w:shd w:val="clear" w:color="auto" w:fill="FFFFFF"/>
          <w:lang w:eastAsia="ru-RU"/>
        </w:rPr>
        <w:t>.org/10.3389/fimmu.2019.00673</w:t>
      </w:r>
    </w:p>
    <w:p w14:paraId="0B3E223E" w14:textId="4C8D2E4E" w:rsidR="00F20187" w:rsidRPr="00F20187" w:rsidRDefault="00F20187" w:rsidP="00D936B4">
      <w:pPr>
        <w:numPr>
          <w:ilvl w:val="0"/>
          <w:numId w:val="34"/>
        </w:numPr>
        <w:tabs>
          <w:tab w:val="left" w:pos="0"/>
          <w:tab w:val="left" w:pos="993"/>
        </w:tabs>
        <w:spacing w:line="276" w:lineRule="auto"/>
        <w:ind w:left="0" w:firstLine="567"/>
        <w:contextualSpacing/>
        <w:jc w:val="both"/>
        <w:rPr>
          <w:rFonts w:eastAsia="Times New Roman" w:cs="Times New Roman"/>
          <w:sz w:val="24"/>
          <w:szCs w:val="24"/>
          <w:lang w:eastAsia="ru-RU"/>
        </w:rPr>
      </w:pPr>
      <w:r w:rsidRPr="00F20187">
        <w:rPr>
          <w:rFonts w:eastAsia="Times New Roman" w:cs="Times New Roman"/>
          <w:sz w:val="24"/>
          <w:szCs w:val="24"/>
          <w:shd w:val="clear" w:color="auto" w:fill="FFFFFF"/>
          <w:lang w:eastAsia="ru-RU"/>
        </w:rPr>
        <w:t>Steering Committee Authors; Re</w:t>
      </w:r>
      <w:r w:rsidR="00D936B4">
        <w:rPr>
          <w:rFonts w:eastAsia="Times New Roman" w:cs="Times New Roman"/>
          <w:sz w:val="24"/>
          <w:szCs w:val="24"/>
          <w:shd w:val="clear" w:color="auto" w:fill="FFFFFF"/>
          <w:lang w:eastAsia="ru-RU"/>
        </w:rPr>
        <w:softHyphen/>
      </w:r>
      <w:r w:rsidRPr="00F20187">
        <w:rPr>
          <w:rFonts w:eastAsia="Times New Roman" w:cs="Times New Roman"/>
          <w:sz w:val="24"/>
          <w:szCs w:val="24"/>
          <w:shd w:val="clear" w:color="auto" w:fill="FFFFFF"/>
          <w:lang w:eastAsia="ru-RU"/>
        </w:rPr>
        <w:t xml:space="preserve">view Panel Members. A WAO </w:t>
      </w:r>
      <w:r w:rsidR="00F44A75">
        <w:rPr>
          <w:rFonts w:eastAsia="Times New Roman" w:cs="Times New Roman"/>
          <w:sz w:val="24"/>
          <w:szCs w:val="24"/>
          <w:shd w:val="clear" w:color="auto" w:fill="FFFFFF"/>
          <w:lang w:eastAsia="ru-RU"/>
        </w:rPr>
        <w:t>–</w:t>
      </w:r>
      <w:r w:rsidRPr="00F20187">
        <w:rPr>
          <w:rFonts w:eastAsia="Times New Roman" w:cs="Times New Roman"/>
          <w:sz w:val="24"/>
          <w:szCs w:val="24"/>
          <w:shd w:val="clear" w:color="auto" w:fill="FFFFFF"/>
          <w:lang w:eastAsia="ru-RU"/>
        </w:rPr>
        <w:t xml:space="preserve"> ARIA </w:t>
      </w:r>
      <w:r w:rsidR="00F44A75">
        <w:rPr>
          <w:rFonts w:eastAsia="Times New Roman" w:cs="Times New Roman"/>
          <w:sz w:val="24"/>
          <w:szCs w:val="24"/>
          <w:shd w:val="clear" w:color="auto" w:fill="FFFFFF"/>
          <w:lang w:eastAsia="ru-RU"/>
        </w:rPr>
        <w:t>–</w:t>
      </w:r>
      <w:r w:rsidRPr="00F20187">
        <w:rPr>
          <w:rFonts w:eastAsia="Times New Roman" w:cs="Times New Roman"/>
          <w:sz w:val="24"/>
          <w:szCs w:val="24"/>
          <w:shd w:val="clear" w:color="auto" w:fill="FFFFFF"/>
          <w:lang w:eastAsia="ru-RU"/>
        </w:rPr>
        <w:t xml:space="preserve"> GA</w:t>
      </w:r>
      <w:r w:rsidRPr="00F20187">
        <w:rPr>
          <w:rFonts w:eastAsia="Times New Roman" w:cs="Times New Roman"/>
          <w:sz w:val="24"/>
          <w:szCs w:val="24"/>
          <w:shd w:val="clear" w:color="auto" w:fill="FFFFFF"/>
          <w:vertAlign w:val="superscript"/>
          <w:lang w:eastAsia="ru-RU"/>
        </w:rPr>
        <w:t>2</w:t>
      </w:r>
      <w:r w:rsidRPr="00F20187">
        <w:rPr>
          <w:rFonts w:eastAsia="Times New Roman" w:cs="Times New Roman"/>
          <w:sz w:val="24"/>
          <w:szCs w:val="24"/>
          <w:shd w:val="clear" w:color="auto" w:fill="FFFFFF"/>
          <w:lang w:eastAsia="ru-RU"/>
        </w:rPr>
        <w:t>LEN consensus document on molecular-based allergy diagnosis (PAMD@): Update 2020. </w:t>
      </w:r>
      <w:r w:rsidRPr="00F20187">
        <w:rPr>
          <w:rFonts w:eastAsia="Times New Roman" w:cs="Times New Roman"/>
          <w:iCs/>
          <w:sz w:val="24"/>
          <w:szCs w:val="24"/>
          <w:shd w:val="clear" w:color="auto" w:fill="FFFFFF"/>
          <w:lang w:eastAsia="ru-RU"/>
        </w:rPr>
        <w:t>World Allergy Organ J</w:t>
      </w:r>
      <w:r w:rsidRPr="00F20187">
        <w:rPr>
          <w:rFonts w:eastAsia="Times New Roman" w:cs="Times New Roman"/>
          <w:sz w:val="24"/>
          <w:szCs w:val="24"/>
          <w:shd w:val="clear" w:color="auto" w:fill="FFFFFF"/>
          <w:lang w:eastAsia="ru-RU"/>
        </w:rPr>
        <w:t>. 2020;13(2):100091. Published 2020 Mar 7. doi: 10.1016/j.waojou.2019.100091</w:t>
      </w:r>
      <w:r w:rsidRPr="00F20187">
        <w:rPr>
          <w:rFonts w:eastAsia="Times New Roman" w:cs="Times New Roman"/>
          <w:sz w:val="24"/>
          <w:szCs w:val="24"/>
          <w:lang w:eastAsia="ru-RU"/>
        </w:rPr>
        <w:t xml:space="preserve"> </w:t>
      </w:r>
    </w:p>
    <w:p w14:paraId="6FF3FBD2" w14:textId="77777777" w:rsidR="00D936B4" w:rsidRDefault="00D936B4" w:rsidP="00F20187">
      <w:pPr>
        <w:tabs>
          <w:tab w:val="left" w:pos="1395"/>
        </w:tabs>
        <w:spacing w:line="276" w:lineRule="auto"/>
        <w:ind w:firstLine="567"/>
        <w:jc w:val="both"/>
        <w:rPr>
          <w:rFonts w:eastAsia="Times New Roman" w:cs="Times New Roman"/>
          <w:sz w:val="24"/>
          <w:szCs w:val="24"/>
          <w:lang w:val="ru-RU" w:eastAsia="ru-RU"/>
        </w:rPr>
        <w:sectPr w:rsidR="00D936B4" w:rsidSect="00D936B4">
          <w:type w:val="continuous"/>
          <w:pgSz w:w="11907" w:h="16840" w:code="9"/>
          <w:pgMar w:top="1418" w:right="1134" w:bottom="1134" w:left="1134" w:header="907" w:footer="794" w:gutter="0"/>
          <w:cols w:num="2" w:space="708"/>
          <w:docGrid w:linePitch="381"/>
        </w:sectPr>
      </w:pPr>
    </w:p>
    <w:p w14:paraId="69B45779" w14:textId="77777777" w:rsidR="00F20187" w:rsidRPr="00F20187" w:rsidRDefault="00F20187" w:rsidP="00F20187">
      <w:pPr>
        <w:tabs>
          <w:tab w:val="left" w:pos="1395"/>
        </w:tabs>
        <w:spacing w:line="276" w:lineRule="auto"/>
        <w:ind w:firstLine="567"/>
        <w:jc w:val="both"/>
        <w:rPr>
          <w:rFonts w:eastAsia="Times New Roman" w:cs="Times New Roman"/>
          <w:sz w:val="24"/>
          <w:szCs w:val="24"/>
          <w:lang w:val="ru-RU" w:eastAsia="ru-RU"/>
        </w:rPr>
      </w:pPr>
    </w:p>
    <w:p w14:paraId="74136421" w14:textId="50042F4F" w:rsidR="00A009BC" w:rsidRPr="00231A23" w:rsidRDefault="00A009BC" w:rsidP="00F20187">
      <w:pPr>
        <w:tabs>
          <w:tab w:val="left" w:pos="0"/>
          <w:tab w:val="left" w:pos="916"/>
        </w:tabs>
        <w:spacing w:line="276" w:lineRule="auto"/>
        <w:ind w:firstLine="567"/>
        <w:contextualSpacing/>
        <w:jc w:val="both"/>
        <w:rPr>
          <w:rFonts w:eastAsia="Times New Roman" w:cs="Times New Roman"/>
          <w:sz w:val="24"/>
          <w:szCs w:val="24"/>
          <w:lang w:eastAsia="ru-RU"/>
        </w:rPr>
      </w:pPr>
    </w:p>
    <w:p w14:paraId="4B97BFA4" w14:textId="179FDD88" w:rsidR="00A009BC" w:rsidRPr="00231A23" w:rsidRDefault="00A009BC" w:rsidP="00F20187">
      <w:pPr>
        <w:tabs>
          <w:tab w:val="left" w:pos="0"/>
          <w:tab w:val="left" w:pos="916"/>
        </w:tabs>
        <w:spacing w:line="276" w:lineRule="auto"/>
        <w:ind w:firstLine="567"/>
        <w:contextualSpacing/>
        <w:jc w:val="both"/>
        <w:rPr>
          <w:rFonts w:eastAsia="Times New Roman" w:cs="Times New Roman"/>
          <w:sz w:val="24"/>
          <w:szCs w:val="24"/>
          <w:lang w:eastAsia="ru-RU"/>
        </w:rPr>
      </w:pPr>
    </w:p>
    <w:p w14:paraId="6B0273E9" w14:textId="582592C0" w:rsidR="00A009BC" w:rsidRPr="00231A23" w:rsidRDefault="00A009BC" w:rsidP="00F20187">
      <w:pPr>
        <w:tabs>
          <w:tab w:val="left" w:pos="0"/>
          <w:tab w:val="left" w:pos="916"/>
        </w:tabs>
        <w:spacing w:line="276" w:lineRule="auto"/>
        <w:ind w:firstLine="567"/>
        <w:contextualSpacing/>
        <w:jc w:val="both"/>
        <w:rPr>
          <w:rFonts w:eastAsia="Times New Roman" w:cs="Times New Roman"/>
          <w:sz w:val="24"/>
          <w:szCs w:val="24"/>
          <w:lang w:eastAsia="ru-RU"/>
        </w:rPr>
      </w:pPr>
    </w:p>
    <w:p w14:paraId="347BB92D" w14:textId="097BBCA2" w:rsidR="00A009BC" w:rsidRPr="00231A23" w:rsidRDefault="00A009BC" w:rsidP="00F20187">
      <w:pPr>
        <w:tabs>
          <w:tab w:val="left" w:pos="0"/>
          <w:tab w:val="left" w:pos="916"/>
        </w:tabs>
        <w:spacing w:line="276" w:lineRule="auto"/>
        <w:ind w:firstLine="567"/>
        <w:contextualSpacing/>
        <w:jc w:val="both"/>
        <w:rPr>
          <w:rFonts w:eastAsia="Times New Roman" w:cs="Times New Roman"/>
          <w:sz w:val="24"/>
          <w:szCs w:val="24"/>
          <w:lang w:eastAsia="ru-RU"/>
        </w:rPr>
      </w:pPr>
    </w:p>
    <w:p w14:paraId="6B0038B0" w14:textId="028BADBB"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439480BA" w14:textId="331B3657"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36007F1F" w14:textId="4C19A818"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0F5286C6" w14:textId="6C091C8A"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3498C655" w14:textId="63FD6971"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0BC30798" w14:textId="54070924"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2CF68963" w14:textId="0901769B"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182FD168" w14:textId="7D8145FD"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6366F87D" w14:textId="0057BDBD"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4116A578" w14:textId="1CD6D413"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789298D8" w14:textId="2AFE7C4C"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7FF343C0" w14:textId="327B1C47"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37F8AFA1" w14:textId="5A76732D"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0D2D6E53" w14:textId="22EE2BFD"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261A477A" w14:textId="5934E07F"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5C95456C" w14:textId="65951F8B"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24E7F323" w14:textId="71673ECF"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20E174C7" w14:textId="0449A73A"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18A100A3" w14:textId="73A23944"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317BCD8E" w14:textId="75899122" w:rsidR="00A009BC"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3991A94E" w14:textId="77777777" w:rsidR="00A009BC" w:rsidRPr="00E0463D" w:rsidRDefault="00A009BC" w:rsidP="00A009BC">
      <w:pPr>
        <w:tabs>
          <w:tab w:val="left" w:pos="0"/>
          <w:tab w:val="left" w:pos="916"/>
        </w:tabs>
        <w:spacing w:line="276" w:lineRule="auto"/>
        <w:ind w:left="567"/>
        <w:contextualSpacing/>
        <w:jc w:val="both"/>
        <w:rPr>
          <w:rFonts w:eastAsia="Times New Roman" w:cs="Times New Roman"/>
          <w:sz w:val="24"/>
          <w:szCs w:val="24"/>
          <w:lang w:eastAsia="ru-RU"/>
        </w:rPr>
      </w:pPr>
    </w:p>
    <w:p w14:paraId="4779D9F5" w14:textId="4AF9AAA2" w:rsidR="0002083A" w:rsidRPr="0002083A" w:rsidRDefault="0002083A" w:rsidP="0002083A">
      <w:pPr>
        <w:spacing w:line="276" w:lineRule="auto"/>
        <w:jc w:val="both"/>
        <w:rPr>
          <w:rFonts w:eastAsia="Calibri" w:cs="Times New Roman"/>
          <w:bCs/>
          <w:sz w:val="24"/>
          <w:szCs w:val="24"/>
        </w:rPr>
      </w:pPr>
      <w:r w:rsidRPr="0002083A">
        <w:rPr>
          <w:rFonts w:eastAsia="Calibri" w:cs="Times New Roman"/>
          <w:bCs/>
          <w:sz w:val="24"/>
          <w:szCs w:val="24"/>
        </w:rPr>
        <w:lastRenderedPageBreak/>
        <w:t>UDC: 616-056.5-053.5</w:t>
      </w:r>
    </w:p>
    <w:p w14:paraId="6713E7EF" w14:textId="77777777" w:rsidR="0002083A" w:rsidRPr="0002083A" w:rsidRDefault="0002083A" w:rsidP="0002083A">
      <w:pPr>
        <w:spacing w:line="276" w:lineRule="auto"/>
        <w:jc w:val="both"/>
        <w:rPr>
          <w:rFonts w:eastAsia="Calibri" w:cs="Times New Roman"/>
          <w:b/>
          <w:sz w:val="24"/>
          <w:szCs w:val="24"/>
        </w:rPr>
      </w:pPr>
    </w:p>
    <w:p w14:paraId="28AB70A2" w14:textId="77777777" w:rsidR="0002083A" w:rsidRPr="0002083A" w:rsidRDefault="0002083A" w:rsidP="00752EAA">
      <w:pPr>
        <w:pStyle w:val="1"/>
        <w:rPr>
          <w:rFonts w:eastAsia="Calibri"/>
        </w:rPr>
      </w:pPr>
      <w:bookmarkStart w:id="15" w:name="_Toc104745738"/>
      <w:r w:rsidRPr="0002083A">
        <w:rPr>
          <w:rFonts w:eastAsia="Calibri"/>
        </w:rPr>
        <w:t>STUDYING CHANGES IN THE HEALTH STATE OF SCHOOL CHILDREN ARISING FROM INCORRECT FITTING</w:t>
      </w:r>
      <w:bookmarkEnd w:id="15"/>
    </w:p>
    <w:p w14:paraId="0ABC2500" w14:textId="77777777" w:rsidR="008475FD" w:rsidRPr="00F73F3C" w:rsidRDefault="008475FD" w:rsidP="008475FD">
      <w:pPr>
        <w:spacing w:line="276" w:lineRule="auto"/>
        <w:ind w:left="4536"/>
        <w:jc w:val="both"/>
        <w:rPr>
          <w:rFonts w:eastAsia="Calibri" w:cs="Times New Roman"/>
          <w:b/>
          <w:bCs/>
          <w:sz w:val="24"/>
          <w:szCs w:val="24"/>
        </w:rPr>
      </w:pPr>
    </w:p>
    <w:p w14:paraId="76C7B9A2" w14:textId="69B18761" w:rsidR="009B66AC" w:rsidRDefault="0002083A" w:rsidP="009B66AC">
      <w:pPr>
        <w:spacing w:line="276" w:lineRule="auto"/>
        <w:jc w:val="center"/>
        <w:rPr>
          <w:rFonts w:eastAsia="Calibri" w:cs="Times New Roman"/>
          <w:b/>
          <w:bCs/>
          <w:sz w:val="24"/>
          <w:szCs w:val="24"/>
          <w:lang w:val="uz-Cyrl-UZ"/>
        </w:rPr>
      </w:pPr>
      <w:r w:rsidRPr="0002083A">
        <w:rPr>
          <w:rFonts w:eastAsia="Calibri" w:cs="Times New Roman"/>
          <w:b/>
          <w:bCs/>
          <w:sz w:val="24"/>
          <w:szCs w:val="24"/>
          <w:lang w:val="uz-Cyrl-UZ"/>
        </w:rPr>
        <w:t>Niyazova O.A.,</w:t>
      </w:r>
      <w:r w:rsidR="009B66AC">
        <w:rPr>
          <w:rFonts w:eastAsia="Calibri" w:cs="Times New Roman"/>
          <w:b/>
          <w:bCs/>
          <w:sz w:val="24"/>
          <w:szCs w:val="24"/>
          <w:lang w:val="uz-Cyrl-UZ"/>
        </w:rPr>
        <w:t xml:space="preserve"> </w:t>
      </w:r>
      <w:r w:rsidR="009B66AC" w:rsidRPr="0002083A">
        <w:rPr>
          <w:rFonts w:eastAsia="Calibri" w:cs="Times New Roman"/>
          <w:b/>
          <w:bCs/>
          <w:sz w:val="24"/>
          <w:szCs w:val="24"/>
          <w:lang w:val="it-IT"/>
        </w:rPr>
        <w:t>assistant</w:t>
      </w:r>
    </w:p>
    <w:p w14:paraId="0F26821B" w14:textId="358AE1E4" w:rsidR="009B66AC" w:rsidRDefault="0002083A" w:rsidP="009B66AC">
      <w:pPr>
        <w:spacing w:line="276" w:lineRule="auto"/>
        <w:jc w:val="center"/>
        <w:rPr>
          <w:rFonts w:eastAsia="Calibri" w:cs="Times New Roman"/>
          <w:b/>
          <w:bCs/>
          <w:sz w:val="24"/>
          <w:szCs w:val="24"/>
          <w:lang w:val="uz-Cyrl-UZ"/>
        </w:rPr>
      </w:pPr>
      <w:r w:rsidRPr="0002083A">
        <w:rPr>
          <w:rFonts w:eastAsia="Calibri" w:cs="Times New Roman"/>
          <w:b/>
          <w:bCs/>
          <w:sz w:val="24"/>
          <w:szCs w:val="24"/>
          <w:lang w:val="uz-Cyrl-UZ"/>
        </w:rPr>
        <w:t>Salomova F.I.,</w:t>
      </w:r>
      <w:r w:rsidR="009B66AC">
        <w:rPr>
          <w:rFonts w:eastAsia="Calibri" w:cs="Times New Roman"/>
          <w:b/>
          <w:bCs/>
          <w:sz w:val="24"/>
          <w:szCs w:val="24"/>
          <w:lang w:val="uz-Cyrl-UZ"/>
        </w:rPr>
        <w:t xml:space="preserve"> </w:t>
      </w:r>
      <w:r w:rsidRPr="0002083A">
        <w:rPr>
          <w:rFonts w:eastAsia="Calibri" w:cs="Times New Roman"/>
          <w:b/>
          <w:bCs/>
          <w:sz w:val="24"/>
          <w:szCs w:val="24"/>
          <w:lang w:val="uz-Cyrl-UZ"/>
        </w:rPr>
        <w:t xml:space="preserve">DSc., </w:t>
      </w:r>
      <w:r w:rsidR="009B66AC" w:rsidRPr="0002083A">
        <w:rPr>
          <w:rFonts w:eastAsia="Calibri" w:cs="Times New Roman"/>
          <w:b/>
          <w:bCs/>
          <w:sz w:val="24"/>
          <w:szCs w:val="24"/>
          <w:lang w:val="uz-Cyrl-UZ"/>
        </w:rPr>
        <w:t>DSc, associate professor</w:t>
      </w:r>
    </w:p>
    <w:p w14:paraId="647F3758" w14:textId="32B53A46" w:rsidR="008475FD" w:rsidRDefault="0002083A" w:rsidP="009B66AC">
      <w:pPr>
        <w:spacing w:line="276" w:lineRule="auto"/>
        <w:jc w:val="center"/>
        <w:rPr>
          <w:rFonts w:eastAsia="Calibri" w:cs="Times New Roman"/>
          <w:b/>
          <w:bCs/>
          <w:sz w:val="24"/>
          <w:szCs w:val="24"/>
          <w:lang w:val="uz-Cyrl-UZ"/>
        </w:rPr>
      </w:pPr>
      <w:bookmarkStart w:id="16" w:name="_Hlk104745894"/>
      <w:r w:rsidRPr="0002083A">
        <w:rPr>
          <w:rFonts w:eastAsia="Calibri" w:cs="Times New Roman"/>
          <w:b/>
          <w:bCs/>
          <w:sz w:val="24"/>
          <w:szCs w:val="24"/>
          <w:lang w:val="uz-Cyrl-UZ"/>
        </w:rPr>
        <w:t>Akhmadalieva N.O.</w:t>
      </w:r>
      <w:bookmarkEnd w:id="16"/>
      <w:r w:rsidRPr="0002083A">
        <w:rPr>
          <w:rFonts w:eastAsia="Calibri" w:cs="Times New Roman"/>
          <w:b/>
          <w:bCs/>
          <w:sz w:val="24"/>
          <w:szCs w:val="24"/>
          <w:lang w:val="uz-Cyrl-UZ"/>
        </w:rPr>
        <w:t>,</w:t>
      </w:r>
      <w:r w:rsidR="009B66AC" w:rsidRP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associate professor</w:t>
      </w:r>
      <w:r w:rsidR="009B66AC">
        <w:rPr>
          <w:rFonts w:eastAsia="Calibri" w:cs="Times New Roman"/>
          <w:b/>
          <w:bCs/>
          <w:sz w:val="24"/>
          <w:szCs w:val="24"/>
          <w:lang w:val="uz-Cyrl-UZ"/>
        </w:rPr>
        <w:t>,</w:t>
      </w:r>
      <w:r w:rsidR="009B66AC" w:rsidRP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scientific supervisor, DSc</w:t>
      </w:r>
    </w:p>
    <w:p w14:paraId="6AB70DB3" w14:textId="52BA5F59" w:rsidR="009B66AC" w:rsidRPr="0002083A" w:rsidRDefault="009B66AC" w:rsidP="009B66AC">
      <w:pPr>
        <w:spacing w:line="276" w:lineRule="auto"/>
        <w:jc w:val="center"/>
        <w:rPr>
          <w:rFonts w:eastAsia="Calibri" w:cs="Times New Roman"/>
          <w:sz w:val="24"/>
          <w:szCs w:val="24"/>
          <w:lang w:val="uz-Cyrl-UZ"/>
        </w:rPr>
      </w:pPr>
      <w:r w:rsidRPr="0002083A">
        <w:rPr>
          <w:rFonts w:eastAsia="Calibri" w:cs="Times New Roman"/>
          <w:sz w:val="24"/>
          <w:szCs w:val="24"/>
          <w:lang w:val="uz-Cyrl-UZ"/>
        </w:rPr>
        <w:t>Tashkent Medical Academy</w:t>
      </w:r>
      <w:r>
        <w:rPr>
          <w:rFonts w:eastAsia="Calibri" w:cs="Times New Roman"/>
          <w:sz w:val="24"/>
          <w:szCs w:val="24"/>
          <w:lang w:val="uz-Cyrl-UZ"/>
        </w:rPr>
        <w:t xml:space="preserve">, </w:t>
      </w:r>
      <w:r w:rsidRPr="009B66AC">
        <w:rPr>
          <w:rFonts w:eastAsia="Calibri" w:cs="Times New Roman"/>
          <w:sz w:val="24"/>
          <w:szCs w:val="24"/>
          <w:lang w:val="uz-Cyrl-UZ"/>
        </w:rPr>
        <w:t>Tashkent, Uzbekistan</w:t>
      </w:r>
    </w:p>
    <w:p w14:paraId="48F6C548" w14:textId="77777777" w:rsidR="009B66AC" w:rsidRPr="0002083A" w:rsidRDefault="009B66AC" w:rsidP="009B66AC">
      <w:pPr>
        <w:spacing w:line="276" w:lineRule="auto"/>
        <w:jc w:val="center"/>
        <w:rPr>
          <w:rFonts w:eastAsia="Calibri" w:cs="Times New Roman"/>
          <w:b/>
          <w:bCs/>
          <w:sz w:val="24"/>
          <w:szCs w:val="24"/>
          <w:lang w:val="uz-Cyrl-UZ"/>
        </w:rPr>
      </w:pPr>
    </w:p>
    <w:p w14:paraId="3F87BED0" w14:textId="77777777" w:rsidR="0002083A" w:rsidRPr="0002083A" w:rsidRDefault="0002083A" w:rsidP="008475FD">
      <w:pPr>
        <w:spacing w:line="276" w:lineRule="auto"/>
        <w:ind w:firstLine="567"/>
        <w:jc w:val="both"/>
        <w:rPr>
          <w:rFonts w:eastAsia="Calibri" w:cs="Times New Roman"/>
          <w:bCs/>
          <w:i/>
          <w:iCs/>
          <w:sz w:val="24"/>
          <w:szCs w:val="24"/>
          <w:lang w:val="uz-Cyrl-UZ"/>
        </w:rPr>
      </w:pPr>
      <w:r w:rsidRPr="0002083A">
        <w:rPr>
          <w:rFonts w:eastAsia="Calibri" w:cs="Times New Roman"/>
          <w:b/>
          <w:bCs/>
          <w:i/>
          <w:iCs/>
          <w:sz w:val="24"/>
          <w:szCs w:val="24"/>
          <w:lang w:val="uz-Cyrl-UZ"/>
        </w:rPr>
        <w:t>Annotation.</w:t>
      </w:r>
      <w:r w:rsidRPr="0002083A">
        <w:rPr>
          <w:rFonts w:eastAsia="Calibri" w:cs="Times New Roman"/>
          <w:bCs/>
          <w:i/>
          <w:iCs/>
          <w:sz w:val="24"/>
          <w:szCs w:val="24"/>
          <w:lang w:val="uz-Cyrl-UZ"/>
        </w:rPr>
        <w:t xml:space="preserve"> Based on the analysis of scientific publications, the paper presents hygienic problems associated with the use of</w:t>
      </w:r>
      <w:r w:rsidRPr="0002083A">
        <w:rPr>
          <w:rFonts w:eastAsia="Calibri" w:cs="Times New Roman"/>
          <w:bCs/>
          <w:i/>
          <w:iCs/>
          <w:sz w:val="24"/>
          <w:szCs w:val="24"/>
        </w:rPr>
        <w:t xml:space="preserve"> pupils </w:t>
      </w:r>
      <w:r w:rsidRPr="0002083A">
        <w:rPr>
          <w:rFonts w:eastAsia="Calibri" w:cs="Times New Roman"/>
          <w:bCs/>
          <w:i/>
          <w:iCs/>
          <w:sz w:val="24"/>
          <w:szCs w:val="24"/>
          <w:lang w:val="uz-Cyrl-UZ"/>
        </w:rPr>
        <w:t>furniture</w:t>
      </w:r>
      <w:r w:rsidRPr="0002083A">
        <w:rPr>
          <w:rFonts w:eastAsia="Calibri" w:cs="Times New Roman"/>
          <w:bCs/>
          <w:i/>
          <w:iCs/>
          <w:sz w:val="24"/>
          <w:szCs w:val="24"/>
        </w:rPr>
        <w:t>,</w:t>
      </w:r>
      <w:r w:rsidRPr="0002083A">
        <w:rPr>
          <w:rFonts w:eastAsia="Calibri" w:cs="Times New Roman"/>
          <w:bCs/>
          <w:i/>
          <w:iCs/>
          <w:sz w:val="24"/>
          <w:szCs w:val="24"/>
          <w:lang w:val="uz-Cyrl-UZ"/>
        </w:rPr>
        <w:t xml:space="preserve"> the organization of the workplace, the correct seating of </w:t>
      </w:r>
      <w:r w:rsidRPr="0002083A">
        <w:rPr>
          <w:rFonts w:eastAsia="Calibri" w:cs="Times New Roman"/>
          <w:bCs/>
          <w:i/>
          <w:iCs/>
          <w:sz w:val="24"/>
          <w:szCs w:val="24"/>
        </w:rPr>
        <w:t>pupil</w:t>
      </w:r>
      <w:r w:rsidRPr="0002083A">
        <w:rPr>
          <w:rFonts w:eastAsia="Calibri" w:cs="Times New Roman"/>
          <w:bCs/>
          <w:i/>
          <w:iCs/>
          <w:sz w:val="24"/>
          <w:szCs w:val="24"/>
          <w:lang w:val="uz-Cyrl-UZ"/>
        </w:rPr>
        <w:t>s is presented</w:t>
      </w:r>
      <w:r w:rsidRPr="0002083A">
        <w:rPr>
          <w:rFonts w:eastAsia="Calibri" w:cs="Times New Roman"/>
          <w:bCs/>
          <w:i/>
          <w:iCs/>
          <w:sz w:val="24"/>
          <w:szCs w:val="24"/>
        </w:rPr>
        <w:t>. Despite this,</w:t>
      </w:r>
      <w:r w:rsidRPr="0002083A">
        <w:rPr>
          <w:rFonts w:eastAsia="Calibri" w:cs="Times New Roman"/>
          <w:bCs/>
          <w:i/>
          <w:iCs/>
          <w:sz w:val="24"/>
          <w:szCs w:val="24"/>
          <w:lang w:val="uz-Cyrl-UZ"/>
        </w:rPr>
        <w:t xml:space="preserve"> the harmful effects of </w:t>
      </w:r>
      <w:r w:rsidRPr="0002083A">
        <w:rPr>
          <w:rFonts w:eastAsia="Calibri" w:cs="Times New Roman"/>
          <w:bCs/>
          <w:i/>
          <w:iCs/>
          <w:sz w:val="24"/>
          <w:szCs w:val="24"/>
        </w:rPr>
        <w:t xml:space="preserve">poor </w:t>
      </w:r>
      <w:r w:rsidRPr="0002083A">
        <w:rPr>
          <w:rFonts w:eastAsia="Calibri" w:cs="Times New Roman"/>
          <w:bCs/>
          <w:i/>
          <w:iCs/>
          <w:sz w:val="24"/>
          <w:szCs w:val="24"/>
          <w:lang w:val="uz-Cyrl-UZ"/>
        </w:rPr>
        <w:t xml:space="preserve">posture on the health of </w:t>
      </w:r>
      <w:r w:rsidRPr="0002083A">
        <w:rPr>
          <w:rFonts w:eastAsia="Calibri" w:cs="Times New Roman"/>
          <w:bCs/>
          <w:i/>
          <w:iCs/>
          <w:sz w:val="24"/>
          <w:szCs w:val="24"/>
        </w:rPr>
        <w:t>pupils</w:t>
      </w:r>
      <w:r w:rsidRPr="0002083A">
        <w:rPr>
          <w:rFonts w:eastAsia="Calibri" w:cs="Times New Roman"/>
          <w:bCs/>
          <w:i/>
          <w:iCs/>
          <w:sz w:val="24"/>
          <w:szCs w:val="24"/>
          <w:lang w:val="uz-Cyrl-UZ"/>
        </w:rPr>
        <w:t xml:space="preserve"> arising from improper organization of the workplace and the selection of school furniture are indicated.</w:t>
      </w:r>
    </w:p>
    <w:p w14:paraId="55B00E3F" w14:textId="77777777" w:rsidR="0002083A" w:rsidRPr="0002083A" w:rsidRDefault="0002083A" w:rsidP="008475FD">
      <w:pPr>
        <w:spacing w:line="276" w:lineRule="auto"/>
        <w:ind w:firstLine="567"/>
        <w:jc w:val="both"/>
        <w:rPr>
          <w:rFonts w:eastAsia="Calibri" w:cs="Times New Roman"/>
          <w:bCs/>
          <w:i/>
          <w:iCs/>
          <w:sz w:val="24"/>
          <w:szCs w:val="24"/>
          <w:lang w:val="uz-Cyrl-UZ"/>
        </w:rPr>
      </w:pPr>
      <w:r w:rsidRPr="0002083A">
        <w:rPr>
          <w:rFonts w:eastAsia="Calibri" w:cs="Times New Roman"/>
          <w:b/>
          <w:bCs/>
          <w:i/>
          <w:iCs/>
          <w:sz w:val="24"/>
          <w:szCs w:val="24"/>
          <w:lang w:val="uz-Cyrl-UZ"/>
        </w:rPr>
        <w:t>Keywords:</w:t>
      </w:r>
      <w:r w:rsidRPr="0002083A">
        <w:rPr>
          <w:rFonts w:eastAsia="Calibri" w:cs="Times New Roman"/>
          <w:bCs/>
          <w:i/>
          <w:iCs/>
          <w:sz w:val="24"/>
          <w:szCs w:val="24"/>
          <w:lang w:val="uz-Cyrl-UZ"/>
        </w:rPr>
        <w:t xml:space="preserve"> health of schoolchildren, school furniture, </w:t>
      </w:r>
      <w:r w:rsidRPr="0002083A">
        <w:rPr>
          <w:rFonts w:eastAsia="Calibri" w:cs="Times New Roman"/>
          <w:bCs/>
          <w:i/>
          <w:iCs/>
          <w:sz w:val="24"/>
          <w:szCs w:val="24"/>
        </w:rPr>
        <w:t>correct</w:t>
      </w:r>
      <w:r w:rsidRPr="0002083A">
        <w:rPr>
          <w:rFonts w:eastAsia="Calibri" w:cs="Times New Roman"/>
          <w:bCs/>
          <w:i/>
          <w:iCs/>
          <w:sz w:val="24"/>
          <w:szCs w:val="24"/>
          <w:lang w:val="uz-Cyrl-UZ"/>
        </w:rPr>
        <w:t xml:space="preserve"> </w:t>
      </w:r>
      <w:r w:rsidRPr="0002083A">
        <w:rPr>
          <w:rFonts w:eastAsia="Calibri" w:cs="Times New Roman"/>
          <w:bCs/>
          <w:i/>
          <w:iCs/>
          <w:sz w:val="24"/>
          <w:szCs w:val="24"/>
        </w:rPr>
        <w:t>seating</w:t>
      </w:r>
      <w:r w:rsidRPr="0002083A">
        <w:rPr>
          <w:rFonts w:eastAsia="Calibri" w:cs="Times New Roman"/>
          <w:bCs/>
          <w:i/>
          <w:iCs/>
          <w:sz w:val="24"/>
          <w:szCs w:val="24"/>
          <w:lang w:val="uz-Cyrl-UZ"/>
        </w:rPr>
        <w:t xml:space="preserve"> of </w:t>
      </w:r>
      <w:bookmarkStart w:id="17" w:name="_Hlk102031628"/>
      <w:r w:rsidRPr="0002083A">
        <w:rPr>
          <w:rFonts w:eastAsia="Calibri" w:cs="Times New Roman"/>
          <w:bCs/>
          <w:i/>
          <w:iCs/>
          <w:sz w:val="24"/>
          <w:szCs w:val="24"/>
        </w:rPr>
        <w:t>pupil</w:t>
      </w:r>
      <w:r w:rsidRPr="0002083A">
        <w:rPr>
          <w:rFonts w:eastAsia="Calibri" w:cs="Times New Roman"/>
          <w:bCs/>
          <w:i/>
          <w:iCs/>
          <w:sz w:val="24"/>
          <w:szCs w:val="24"/>
          <w:lang w:val="uz-Cyrl-UZ"/>
        </w:rPr>
        <w:t>s</w:t>
      </w:r>
      <w:bookmarkEnd w:id="17"/>
    </w:p>
    <w:p w14:paraId="5E1F7B2D" w14:textId="77777777" w:rsidR="0002083A" w:rsidRPr="0002083A" w:rsidRDefault="0002083A" w:rsidP="0002083A">
      <w:pPr>
        <w:spacing w:line="276" w:lineRule="auto"/>
        <w:ind w:firstLine="284"/>
        <w:jc w:val="both"/>
        <w:rPr>
          <w:rFonts w:eastAsia="Calibri" w:cs="Times New Roman"/>
          <w:b/>
          <w:bCs/>
          <w:sz w:val="24"/>
          <w:szCs w:val="24"/>
          <w:lang w:val="uz-Cyrl-UZ"/>
        </w:rPr>
      </w:pPr>
    </w:p>
    <w:p w14:paraId="3D4CC7B0" w14:textId="77777777" w:rsidR="008475FD" w:rsidRDefault="008475FD" w:rsidP="008475FD">
      <w:pPr>
        <w:spacing w:line="276" w:lineRule="auto"/>
        <w:jc w:val="both"/>
        <w:rPr>
          <w:rFonts w:eastAsia="Calibri" w:cs="Times New Roman"/>
          <w:b/>
          <w:bCs/>
          <w:sz w:val="24"/>
          <w:szCs w:val="24"/>
          <w:lang w:val="uz-Cyrl-UZ"/>
        </w:rPr>
      </w:pPr>
    </w:p>
    <w:p w14:paraId="78C54396" w14:textId="78B7C6A6" w:rsidR="0002083A" w:rsidRPr="0002083A" w:rsidRDefault="0002083A" w:rsidP="008475FD">
      <w:pPr>
        <w:spacing w:line="276" w:lineRule="auto"/>
        <w:jc w:val="center"/>
        <w:rPr>
          <w:rFonts w:eastAsia="Calibri" w:cs="Times New Roman"/>
          <w:b/>
          <w:bCs/>
          <w:sz w:val="24"/>
          <w:szCs w:val="24"/>
          <w:lang w:val="ru-RU"/>
        </w:rPr>
      </w:pPr>
      <w:r w:rsidRPr="0002083A">
        <w:rPr>
          <w:rFonts w:eastAsia="Calibri" w:cs="Times New Roman"/>
          <w:b/>
          <w:bCs/>
          <w:sz w:val="24"/>
          <w:szCs w:val="24"/>
          <w:lang w:val="uz-Cyrl-UZ"/>
        </w:rPr>
        <w:t xml:space="preserve">ИЗУЧЕНИЕ </w:t>
      </w:r>
      <w:r w:rsidRPr="0002083A">
        <w:rPr>
          <w:rFonts w:eastAsia="Calibri" w:cs="Times New Roman"/>
          <w:b/>
          <w:bCs/>
          <w:sz w:val="24"/>
          <w:szCs w:val="24"/>
          <w:lang w:val="ru-RU"/>
        </w:rPr>
        <w:t>ИЗМЕНЕНИЙ СОСТОЯНИЯ ЗДОРОВЬЯ ШКОЛЬНИКОВ ВОЗНИКАЮЩИХ ПРИ НЕПРАВИЛЬНОЙ ПОСАДКЕ</w:t>
      </w:r>
    </w:p>
    <w:p w14:paraId="7C704905" w14:textId="77777777" w:rsidR="008475FD" w:rsidRDefault="008475FD" w:rsidP="008475FD">
      <w:pPr>
        <w:spacing w:line="276" w:lineRule="auto"/>
        <w:ind w:left="3828"/>
        <w:rPr>
          <w:rFonts w:eastAsia="Calibri" w:cs="Times New Roman"/>
          <w:b/>
          <w:bCs/>
          <w:sz w:val="24"/>
          <w:szCs w:val="24"/>
          <w:lang w:val="uz-Cyrl-UZ"/>
        </w:rPr>
      </w:pPr>
    </w:p>
    <w:p w14:paraId="42BED451" w14:textId="792C2DF6" w:rsidR="0002083A" w:rsidRPr="0002083A" w:rsidRDefault="0002083A" w:rsidP="009B66AC">
      <w:pPr>
        <w:spacing w:line="276" w:lineRule="auto"/>
        <w:jc w:val="center"/>
        <w:rPr>
          <w:rFonts w:eastAsia="Calibri" w:cs="Times New Roman"/>
          <w:b/>
          <w:bCs/>
          <w:sz w:val="24"/>
          <w:szCs w:val="24"/>
          <w:lang w:val="uz-Cyrl-UZ"/>
        </w:rPr>
      </w:pPr>
      <w:r w:rsidRPr="0002083A">
        <w:rPr>
          <w:rFonts w:eastAsia="Calibri" w:cs="Times New Roman"/>
          <w:b/>
          <w:bCs/>
          <w:sz w:val="24"/>
          <w:szCs w:val="24"/>
          <w:lang w:val="uz-Cyrl-UZ"/>
        </w:rPr>
        <w:t>Ниязова</w:t>
      </w:r>
      <w:r w:rsidR="008475FD" w:rsidRPr="008475FD">
        <w:rPr>
          <w:rFonts w:eastAsia="Calibri" w:cs="Times New Roman"/>
          <w:b/>
          <w:bCs/>
          <w:sz w:val="24"/>
          <w:szCs w:val="24"/>
          <w:lang w:val="uz-Cyrl-UZ"/>
        </w:rPr>
        <w:t xml:space="preserve"> </w:t>
      </w:r>
      <w:r w:rsidR="008475FD" w:rsidRPr="0002083A">
        <w:rPr>
          <w:rFonts w:eastAsia="Calibri" w:cs="Times New Roman"/>
          <w:b/>
          <w:bCs/>
          <w:sz w:val="24"/>
          <w:szCs w:val="24"/>
          <w:lang w:val="uz-Cyrl-UZ"/>
        </w:rPr>
        <w:t>О.А.</w:t>
      </w:r>
      <w:r w:rsidR="009B66AC">
        <w:rPr>
          <w:rFonts w:eastAsia="Calibri" w:cs="Times New Roman"/>
          <w:b/>
          <w:bCs/>
          <w:sz w:val="24"/>
          <w:szCs w:val="24"/>
          <w:lang w:val="uz-Cyrl-UZ"/>
        </w:rPr>
        <w:t>,</w:t>
      </w:r>
      <w:r w:rsidR="009B66AC" w:rsidRP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ассистент</w:t>
      </w:r>
    </w:p>
    <w:p w14:paraId="2DE406F6" w14:textId="1F17A7C8" w:rsidR="0002083A" w:rsidRPr="0002083A" w:rsidRDefault="0002083A" w:rsidP="009B66AC">
      <w:pPr>
        <w:spacing w:line="276" w:lineRule="auto"/>
        <w:jc w:val="center"/>
        <w:rPr>
          <w:rFonts w:eastAsia="Calibri" w:cs="Times New Roman"/>
          <w:b/>
          <w:bCs/>
          <w:sz w:val="24"/>
          <w:szCs w:val="24"/>
          <w:lang w:val="uz-Cyrl-UZ"/>
        </w:rPr>
      </w:pPr>
      <w:r w:rsidRPr="0002083A">
        <w:rPr>
          <w:rFonts w:eastAsia="Calibri" w:cs="Times New Roman"/>
          <w:b/>
          <w:bCs/>
          <w:sz w:val="24"/>
          <w:szCs w:val="24"/>
          <w:lang w:val="uz-Cyrl-UZ"/>
        </w:rPr>
        <w:t>Саломова</w:t>
      </w:r>
      <w:r w:rsidR="008475FD" w:rsidRPr="008475FD">
        <w:rPr>
          <w:rFonts w:eastAsia="Calibri" w:cs="Times New Roman"/>
          <w:b/>
          <w:bCs/>
          <w:sz w:val="24"/>
          <w:szCs w:val="24"/>
          <w:lang w:val="uz-Cyrl-UZ"/>
        </w:rPr>
        <w:t xml:space="preserve"> </w:t>
      </w:r>
      <w:r w:rsidR="008475FD" w:rsidRPr="0002083A">
        <w:rPr>
          <w:rFonts w:eastAsia="Calibri" w:cs="Times New Roman"/>
          <w:b/>
          <w:bCs/>
          <w:sz w:val="24"/>
          <w:szCs w:val="24"/>
          <w:lang w:val="uz-Cyrl-UZ"/>
        </w:rPr>
        <w:t>Ф.И.</w:t>
      </w:r>
      <w:r w:rsid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доцент, доктор медицинских наук</w:t>
      </w:r>
    </w:p>
    <w:p w14:paraId="1FEBD58C" w14:textId="1E72C671" w:rsidR="0002083A" w:rsidRPr="0002083A" w:rsidRDefault="0002083A" w:rsidP="009B66AC">
      <w:pPr>
        <w:spacing w:line="276" w:lineRule="auto"/>
        <w:jc w:val="center"/>
        <w:rPr>
          <w:rFonts w:eastAsia="Calibri" w:cs="Times New Roman"/>
          <w:b/>
          <w:bCs/>
          <w:sz w:val="24"/>
          <w:szCs w:val="24"/>
          <w:lang w:val="uz-Cyrl-UZ"/>
        </w:rPr>
      </w:pPr>
      <w:r w:rsidRPr="0002083A">
        <w:rPr>
          <w:rFonts w:eastAsia="Calibri" w:cs="Times New Roman"/>
          <w:b/>
          <w:bCs/>
          <w:sz w:val="24"/>
          <w:szCs w:val="24"/>
          <w:lang w:val="uz-Cyrl-UZ"/>
        </w:rPr>
        <w:t>Ахмадалиева</w:t>
      </w:r>
      <w:r w:rsidR="008475FD" w:rsidRPr="008475FD">
        <w:rPr>
          <w:rFonts w:eastAsia="Calibri" w:cs="Times New Roman"/>
          <w:b/>
          <w:bCs/>
          <w:sz w:val="24"/>
          <w:szCs w:val="24"/>
          <w:lang w:val="uz-Cyrl-UZ"/>
        </w:rPr>
        <w:t xml:space="preserve"> </w:t>
      </w:r>
      <w:r w:rsidR="008475FD" w:rsidRPr="0002083A">
        <w:rPr>
          <w:rFonts w:eastAsia="Calibri" w:cs="Times New Roman"/>
          <w:b/>
          <w:bCs/>
          <w:sz w:val="24"/>
          <w:szCs w:val="24"/>
          <w:lang w:val="uz-Cyrl-UZ"/>
        </w:rPr>
        <w:t>Н.О.</w:t>
      </w:r>
      <w:r w:rsid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доцент, доктор медицинских наук</w:t>
      </w:r>
      <w:r w:rsidR="009B66AC">
        <w:rPr>
          <w:rFonts w:eastAsia="Calibri" w:cs="Times New Roman"/>
          <w:b/>
          <w:bCs/>
          <w:sz w:val="24"/>
          <w:szCs w:val="24"/>
          <w:lang w:val="uz-Cyrl-UZ"/>
        </w:rPr>
        <w:t>,</w:t>
      </w:r>
      <w:r w:rsidR="009B66AC" w:rsidRPr="009B66AC">
        <w:rPr>
          <w:rFonts w:eastAsia="Calibri" w:cs="Times New Roman"/>
          <w:b/>
          <w:bCs/>
          <w:sz w:val="24"/>
          <w:szCs w:val="24"/>
          <w:lang w:val="uz-Cyrl-UZ"/>
        </w:rPr>
        <w:t xml:space="preserve"> </w:t>
      </w:r>
      <w:r w:rsidR="009B66AC" w:rsidRPr="0002083A">
        <w:rPr>
          <w:rFonts w:eastAsia="Calibri" w:cs="Times New Roman"/>
          <w:b/>
          <w:bCs/>
          <w:sz w:val="24"/>
          <w:szCs w:val="24"/>
          <w:lang w:val="uz-Cyrl-UZ"/>
        </w:rPr>
        <w:t>научн</w:t>
      </w:r>
      <w:r w:rsidR="009B66AC" w:rsidRPr="0002083A">
        <w:rPr>
          <w:rFonts w:eastAsia="Calibri" w:cs="Times New Roman"/>
          <w:b/>
          <w:bCs/>
          <w:sz w:val="24"/>
          <w:szCs w:val="24"/>
          <w:lang w:val="ru-RU"/>
        </w:rPr>
        <w:t>ый руководитель</w:t>
      </w:r>
    </w:p>
    <w:p w14:paraId="356C2EF5" w14:textId="246B3AAF" w:rsidR="0002083A" w:rsidRPr="0002083A" w:rsidRDefault="0002083A" w:rsidP="009B66AC">
      <w:pPr>
        <w:spacing w:line="276" w:lineRule="auto"/>
        <w:jc w:val="center"/>
        <w:rPr>
          <w:rFonts w:eastAsia="Calibri" w:cs="Times New Roman"/>
          <w:sz w:val="24"/>
          <w:szCs w:val="24"/>
          <w:lang w:val="uz-Cyrl-UZ"/>
        </w:rPr>
      </w:pPr>
      <w:r w:rsidRPr="0002083A">
        <w:rPr>
          <w:rFonts w:eastAsia="Calibri" w:cs="Times New Roman"/>
          <w:sz w:val="24"/>
          <w:szCs w:val="24"/>
          <w:lang w:val="uz-Cyrl-UZ"/>
        </w:rPr>
        <w:t>Ташкентская медицинская академия</w:t>
      </w:r>
      <w:r w:rsidR="009B66AC">
        <w:rPr>
          <w:rFonts w:eastAsia="Calibri" w:cs="Times New Roman"/>
          <w:sz w:val="24"/>
          <w:szCs w:val="24"/>
          <w:lang w:val="uz-Cyrl-UZ"/>
        </w:rPr>
        <w:t xml:space="preserve">, </w:t>
      </w:r>
      <w:r w:rsidR="009B66AC" w:rsidRPr="009B66AC">
        <w:rPr>
          <w:rFonts w:eastAsia="Calibri" w:cs="Times New Roman"/>
          <w:sz w:val="24"/>
          <w:szCs w:val="24"/>
          <w:lang w:val="uz-Cyrl-UZ"/>
        </w:rPr>
        <w:t>Ташкент, Узбекистан</w:t>
      </w:r>
    </w:p>
    <w:p w14:paraId="763BA341" w14:textId="77777777" w:rsidR="0002083A" w:rsidRPr="0002083A" w:rsidRDefault="0002083A" w:rsidP="008475FD">
      <w:pPr>
        <w:spacing w:line="276" w:lineRule="auto"/>
        <w:ind w:firstLine="567"/>
        <w:contextualSpacing/>
        <w:jc w:val="both"/>
        <w:rPr>
          <w:rFonts w:eastAsia="Calibri" w:cs="Times New Roman"/>
          <w:b/>
          <w:sz w:val="24"/>
          <w:szCs w:val="24"/>
          <w:lang w:val="ru-RU"/>
        </w:rPr>
      </w:pPr>
    </w:p>
    <w:p w14:paraId="68F2EDD8" w14:textId="77777777" w:rsidR="0002083A" w:rsidRPr="0002083A" w:rsidRDefault="0002083A" w:rsidP="008475FD">
      <w:pPr>
        <w:spacing w:line="276" w:lineRule="auto"/>
        <w:ind w:firstLine="567"/>
        <w:contextualSpacing/>
        <w:jc w:val="both"/>
        <w:rPr>
          <w:rFonts w:eastAsia="Calibri" w:cs="Times New Roman"/>
          <w:i/>
          <w:iCs/>
          <w:sz w:val="24"/>
          <w:szCs w:val="24"/>
          <w:lang w:val="ru-RU"/>
        </w:rPr>
      </w:pPr>
      <w:r w:rsidRPr="0002083A">
        <w:rPr>
          <w:rFonts w:eastAsia="Calibri" w:cs="Times New Roman"/>
          <w:b/>
          <w:i/>
          <w:iCs/>
          <w:sz w:val="24"/>
          <w:szCs w:val="24"/>
          <w:lang w:val="ru-RU"/>
        </w:rPr>
        <w:t xml:space="preserve">Аннотация. </w:t>
      </w:r>
      <w:r w:rsidRPr="0002083A">
        <w:rPr>
          <w:rFonts w:eastAsia="Calibri" w:cs="Times New Roman"/>
          <w:i/>
          <w:iCs/>
          <w:sz w:val="24"/>
          <w:szCs w:val="24"/>
          <w:lang w:val="ru-RU"/>
        </w:rPr>
        <w:t>На основе анализа научных публикаций в работе представлены гигиенические проблемы, связанные с использованием ученической мебели: представлена организация рабочего места, правильной посадки учащихся, указаны вредные воздействия неправильной рабочей позы на состояние здоровья учащихся, возникающее при неправильной организации рабочего места и подбора школьной мебели.</w:t>
      </w:r>
    </w:p>
    <w:p w14:paraId="4A9B73C6" w14:textId="545AD8CF" w:rsidR="0002083A" w:rsidRPr="0002083A" w:rsidRDefault="0002083A" w:rsidP="008475FD">
      <w:pPr>
        <w:spacing w:line="276" w:lineRule="auto"/>
        <w:ind w:firstLine="567"/>
        <w:contextualSpacing/>
        <w:jc w:val="both"/>
        <w:rPr>
          <w:rFonts w:eastAsia="Calibri" w:cs="Times New Roman"/>
          <w:i/>
          <w:iCs/>
          <w:sz w:val="24"/>
          <w:szCs w:val="24"/>
          <w:lang w:val="ru-RU"/>
        </w:rPr>
      </w:pPr>
      <w:r w:rsidRPr="0002083A">
        <w:rPr>
          <w:rFonts w:eastAsia="Calibri" w:cs="Times New Roman"/>
          <w:b/>
          <w:i/>
          <w:iCs/>
          <w:sz w:val="24"/>
          <w:szCs w:val="24"/>
          <w:lang w:val="uz-Cyrl-UZ"/>
        </w:rPr>
        <w:t>Ключев</w:t>
      </w:r>
      <w:r w:rsidRPr="0002083A">
        <w:rPr>
          <w:rFonts w:eastAsia="Calibri" w:cs="Times New Roman"/>
          <w:b/>
          <w:i/>
          <w:iCs/>
          <w:sz w:val="24"/>
          <w:szCs w:val="24"/>
          <w:lang w:val="ru-RU"/>
        </w:rPr>
        <w:t xml:space="preserve">ые слова: </w:t>
      </w:r>
      <w:r w:rsidRPr="0002083A">
        <w:rPr>
          <w:rFonts w:eastAsia="Calibri" w:cs="Times New Roman"/>
          <w:i/>
          <w:iCs/>
          <w:sz w:val="24"/>
          <w:szCs w:val="24"/>
          <w:lang w:val="ru-RU"/>
        </w:rPr>
        <w:t>здоровье школьников,  школьная мебель, правильная посадка учащихся</w:t>
      </w:r>
      <w:r w:rsidR="008475FD">
        <w:rPr>
          <w:rFonts w:eastAsia="Calibri" w:cs="Times New Roman"/>
          <w:i/>
          <w:iCs/>
          <w:sz w:val="24"/>
          <w:szCs w:val="24"/>
          <w:lang w:val="ru-RU"/>
        </w:rPr>
        <w:t>.</w:t>
      </w:r>
    </w:p>
    <w:p w14:paraId="48B559E2" w14:textId="77777777" w:rsidR="0002083A" w:rsidRPr="0002083A" w:rsidRDefault="0002083A" w:rsidP="008475FD">
      <w:pPr>
        <w:spacing w:line="276" w:lineRule="auto"/>
        <w:ind w:firstLine="567"/>
        <w:contextualSpacing/>
        <w:jc w:val="both"/>
        <w:rPr>
          <w:rFonts w:eastAsia="Calibri" w:cs="Times New Roman"/>
          <w:sz w:val="24"/>
          <w:szCs w:val="24"/>
          <w:lang w:val="ru-RU"/>
        </w:rPr>
      </w:pPr>
    </w:p>
    <w:p w14:paraId="0B471ACF" w14:textId="77777777" w:rsidR="008475FD" w:rsidRDefault="008475FD" w:rsidP="008475FD">
      <w:pPr>
        <w:spacing w:line="276" w:lineRule="auto"/>
        <w:ind w:firstLine="567"/>
        <w:contextualSpacing/>
        <w:jc w:val="both"/>
        <w:rPr>
          <w:rFonts w:eastAsia="Calibri" w:cs="Times New Roman"/>
          <w:b/>
          <w:sz w:val="24"/>
          <w:szCs w:val="24"/>
          <w:lang w:val="uz-Cyrl-UZ"/>
        </w:rPr>
      </w:pPr>
    </w:p>
    <w:p w14:paraId="7045FC9B" w14:textId="07BC0BA2" w:rsidR="0002083A" w:rsidRPr="0002083A" w:rsidRDefault="0002083A" w:rsidP="008475FD">
      <w:pPr>
        <w:spacing w:line="276" w:lineRule="auto"/>
        <w:contextualSpacing/>
        <w:jc w:val="center"/>
        <w:rPr>
          <w:rFonts w:eastAsia="Calibri" w:cs="Times New Roman"/>
          <w:b/>
          <w:sz w:val="24"/>
          <w:szCs w:val="24"/>
          <w:lang w:val="uz-Cyrl-UZ"/>
        </w:rPr>
      </w:pPr>
      <w:r w:rsidRPr="0002083A">
        <w:rPr>
          <w:rFonts w:eastAsia="Calibri" w:cs="Times New Roman"/>
          <w:b/>
          <w:sz w:val="24"/>
          <w:szCs w:val="24"/>
          <w:lang w:val="uz-Cyrl-UZ"/>
        </w:rPr>
        <w:t>O‘QUVCHILARNI NOT</w:t>
      </w:r>
      <w:r w:rsidRPr="0002083A">
        <w:rPr>
          <w:rFonts w:eastAsia="Calibri" w:cs="Times New Roman"/>
          <w:b/>
          <w:sz w:val="24"/>
          <w:szCs w:val="24"/>
          <w:lang w:val="it-IT"/>
        </w:rPr>
        <w:t>O</w:t>
      </w:r>
      <w:r w:rsidRPr="0002083A">
        <w:rPr>
          <w:rFonts w:eastAsia="Calibri" w:cs="Times New Roman"/>
          <w:b/>
          <w:sz w:val="24"/>
          <w:szCs w:val="24"/>
          <w:lang w:val="uz-Cyrl-UZ"/>
        </w:rPr>
        <w:t>‘G‘RI O‘TQAZILGANDA ULARNING SALOMATLIGIDAGI O‘ZGARISHLARNI O‘RGANISH</w:t>
      </w:r>
    </w:p>
    <w:p w14:paraId="05ACA82F" w14:textId="77777777" w:rsidR="008475FD" w:rsidRDefault="008475FD" w:rsidP="008475FD">
      <w:pPr>
        <w:spacing w:line="276" w:lineRule="auto"/>
        <w:ind w:left="4536"/>
        <w:contextualSpacing/>
        <w:jc w:val="both"/>
        <w:rPr>
          <w:rFonts w:eastAsia="Calibri" w:cs="Times New Roman"/>
          <w:b/>
          <w:sz w:val="24"/>
          <w:szCs w:val="24"/>
          <w:lang w:val="uz-Cyrl-UZ"/>
        </w:rPr>
      </w:pPr>
    </w:p>
    <w:p w14:paraId="47F8A76A" w14:textId="3B76DC49" w:rsidR="0002083A" w:rsidRPr="0002083A" w:rsidRDefault="0002083A" w:rsidP="0041095B">
      <w:pPr>
        <w:spacing w:line="276" w:lineRule="auto"/>
        <w:contextualSpacing/>
        <w:jc w:val="center"/>
        <w:rPr>
          <w:rFonts w:eastAsia="Calibri" w:cs="Times New Roman"/>
          <w:b/>
          <w:sz w:val="24"/>
          <w:szCs w:val="24"/>
          <w:lang w:val="uz-Cyrl-UZ"/>
        </w:rPr>
      </w:pPr>
      <w:r w:rsidRPr="0002083A">
        <w:rPr>
          <w:rFonts w:eastAsia="Calibri" w:cs="Times New Roman"/>
          <w:b/>
          <w:sz w:val="24"/>
          <w:szCs w:val="24"/>
          <w:lang w:val="uz-Cyrl-UZ"/>
        </w:rPr>
        <w:t>Niyazova</w:t>
      </w:r>
      <w:r w:rsidR="008475FD" w:rsidRPr="008475FD">
        <w:rPr>
          <w:rFonts w:eastAsia="Calibri" w:cs="Times New Roman"/>
          <w:b/>
          <w:sz w:val="24"/>
          <w:szCs w:val="24"/>
          <w:lang w:val="uz-Cyrl-UZ"/>
        </w:rPr>
        <w:t xml:space="preserve"> </w:t>
      </w:r>
      <w:r w:rsidR="008475FD" w:rsidRPr="0002083A">
        <w:rPr>
          <w:rFonts w:eastAsia="Calibri" w:cs="Times New Roman"/>
          <w:b/>
          <w:sz w:val="24"/>
          <w:szCs w:val="24"/>
          <w:lang w:val="uz-Cyrl-UZ"/>
        </w:rPr>
        <w:t>O.A.</w:t>
      </w:r>
      <w:r w:rsidR="0041095B">
        <w:rPr>
          <w:rFonts w:eastAsia="Calibri" w:cs="Times New Roman"/>
          <w:b/>
          <w:sz w:val="24"/>
          <w:szCs w:val="24"/>
          <w:lang w:val="uz-Cyrl-UZ"/>
        </w:rPr>
        <w:t>,</w:t>
      </w:r>
      <w:r w:rsidR="0041095B" w:rsidRPr="0041095B">
        <w:rPr>
          <w:rFonts w:eastAsia="Calibri" w:cs="Times New Roman"/>
          <w:b/>
          <w:sz w:val="24"/>
          <w:szCs w:val="24"/>
          <w:lang w:val="uz-Cyrl-UZ"/>
        </w:rPr>
        <w:t xml:space="preserve"> </w:t>
      </w:r>
      <w:r w:rsidR="0041095B" w:rsidRPr="0002083A">
        <w:rPr>
          <w:rFonts w:eastAsia="Calibri" w:cs="Times New Roman"/>
          <w:b/>
          <w:sz w:val="24"/>
          <w:szCs w:val="24"/>
          <w:lang w:val="uz-Cyrl-UZ"/>
        </w:rPr>
        <w:t>assistent</w:t>
      </w:r>
    </w:p>
    <w:p w14:paraId="293B76EF" w14:textId="726BA8CF" w:rsidR="0002083A" w:rsidRPr="0002083A" w:rsidRDefault="0002083A" w:rsidP="0041095B">
      <w:pPr>
        <w:spacing w:line="276" w:lineRule="auto"/>
        <w:contextualSpacing/>
        <w:jc w:val="center"/>
        <w:rPr>
          <w:rFonts w:eastAsia="Calibri" w:cs="Times New Roman"/>
          <w:b/>
          <w:sz w:val="24"/>
          <w:szCs w:val="24"/>
          <w:lang w:val="uz-Cyrl-UZ"/>
        </w:rPr>
      </w:pPr>
      <w:r w:rsidRPr="0002083A">
        <w:rPr>
          <w:rFonts w:eastAsia="Calibri" w:cs="Times New Roman"/>
          <w:b/>
          <w:sz w:val="24"/>
          <w:szCs w:val="24"/>
          <w:lang w:val="uz-Cyrl-UZ"/>
        </w:rPr>
        <w:t>Salomova</w:t>
      </w:r>
      <w:r w:rsidR="008475FD" w:rsidRPr="008475FD">
        <w:rPr>
          <w:rFonts w:eastAsia="Calibri" w:cs="Times New Roman"/>
          <w:b/>
          <w:sz w:val="24"/>
          <w:szCs w:val="24"/>
          <w:lang w:val="uz-Cyrl-UZ"/>
        </w:rPr>
        <w:t xml:space="preserve"> </w:t>
      </w:r>
      <w:r w:rsidR="008475FD" w:rsidRPr="0002083A">
        <w:rPr>
          <w:rFonts w:eastAsia="Calibri" w:cs="Times New Roman"/>
          <w:b/>
          <w:sz w:val="24"/>
          <w:szCs w:val="24"/>
          <w:lang w:val="uz-Cyrl-UZ"/>
        </w:rPr>
        <w:t>F.I.</w:t>
      </w:r>
      <w:r w:rsidR="0041095B" w:rsidRPr="00B71C19">
        <w:rPr>
          <w:rFonts w:eastAsia="Calibri" w:cs="Times New Roman"/>
          <w:b/>
          <w:sz w:val="24"/>
          <w:szCs w:val="24"/>
          <w:lang w:val="uz-Cyrl-UZ"/>
        </w:rPr>
        <w:t>,</w:t>
      </w:r>
      <w:r w:rsidR="0041095B" w:rsidRPr="0041095B">
        <w:rPr>
          <w:rFonts w:eastAsia="Calibri" w:cs="Times New Roman"/>
          <w:b/>
          <w:sz w:val="24"/>
          <w:szCs w:val="24"/>
          <w:lang w:val="uz-Cyrl-UZ"/>
        </w:rPr>
        <w:t xml:space="preserve"> </w:t>
      </w:r>
      <w:r w:rsidR="0041095B" w:rsidRPr="0002083A">
        <w:rPr>
          <w:rFonts w:eastAsia="Calibri" w:cs="Times New Roman"/>
          <w:b/>
          <w:sz w:val="24"/>
          <w:szCs w:val="24"/>
          <w:lang w:val="uz-Cyrl-UZ"/>
        </w:rPr>
        <w:t>tibbiyot fanlari doktori, dotsent</w:t>
      </w:r>
    </w:p>
    <w:p w14:paraId="694E781A" w14:textId="2752E58C" w:rsidR="0002083A" w:rsidRPr="0002083A" w:rsidRDefault="0002083A" w:rsidP="0041095B">
      <w:pPr>
        <w:spacing w:line="276" w:lineRule="auto"/>
        <w:contextualSpacing/>
        <w:jc w:val="center"/>
        <w:rPr>
          <w:rFonts w:eastAsia="Calibri" w:cs="Times New Roman"/>
          <w:b/>
          <w:sz w:val="24"/>
          <w:szCs w:val="24"/>
          <w:lang w:val="uz-Cyrl-UZ"/>
        </w:rPr>
      </w:pPr>
      <w:r w:rsidRPr="0002083A">
        <w:rPr>
          <w:rFonts w:eastAsia="Calibri" w:cs="Times New Roman"/>
          <w:b/>
          <w:sz w:val="24"/>
          <w:szCs w:val="24"/>
          <w:lang w:val="uz-Cyrl-UZ"/>
        </w:rPr>
        <w:t>Axmadaliyeva</w:t>
      </w:r>
      <w:r w:rsidR="008475FD" w:rsidRPr="008475FD">
        <w:rPr>
          <w:rFonts w:eastAsia="Calibri" w:cs="Times New Roman"/>
          <w:b/>
          <w:sz w:val="24"/>
          <w:szCs w:val="24"/>
          <w:lang w:val="uz-Cyrl-UZ"/>
        </w:rPr>
        <w:t xml:space="preserve"> </w:t>
      </w:r>
      <w:r w:rsidR="008475FD" w:rsidRPr="0002083A">
        <w:rPr>
          <w:rFonts w:eastAsia="Calibri" w:cs="Times New Roman"/>
          <w:b/>
          <w:sz w:val="24"/>
          <w:szCs w:val="24"/>
          <w:lang w:val="uz-Cyrl-UZ"/>
        </w:rPr>
        <w:t>N.O.</w:t>
      </w:r>
      <w:r w:rsidR="0041095B" w:rsidRPr="0041095B">
        <w:rPr>
          <w:rFonts w:eastAsia="Calibri" w:cs="Times New Roman"/>
          <w:b/>
          <w:sz w:val="24"/>
          <w:szCs w:val="24"/>
          <w:lang w:val="uz-Cyrl-UZ"/>
        </w:rPr>
        <w:t xml:space="preserve">, </w:t>
      </w:r>
      <w:r w:rsidR="0041095B" w:rsidRPr="0002083A">
        <w:rPr>
          <w:rFonts w:eastAsia="Calibri" w:cs="Times New Roman"/>
          <w:b/>
          <w:sz w:val="24"/>
          <w:szCs w:val="24"/>
          <w:lang w:val="uz-Cyrl-UZ"/>
        </w:rPr>
        <w:t>tibbiyot fanlari doktori,</w:t>
      </w:r>
      <w:r w:rsidR="0041095B" w:rsidRPr="0002083A">
        <w:rPr>
          <w:rFonts w:eastAsia="Calibri" w:cs="Times New Roman"/>
          <w:sz w:val="24"/>
          <w:szCs w:val="24"/>
          <w:lang w:val="uz-Cyrl-UZ"/>
        </w:rPr>
        <w:t xml:space="preserve"> </w:t>
      </w:r>
      <w:r w:rsidR="0041095B" w:rsidRPr="0002083A">
        <w:rPr>
          <w:rFonts w:eastAsia="Calibri" w:cs="Times New Roman"/>
          <w:b/>
          <w:sz w:val="24"/>
          <w:szCs w:val="24"/>
          <w:lang w:val="uz-Cyrl-UZ"/>
        </w:rPr>
        <w:t>dotsent</w:t>
      </w:r>
      <w:r w:rsidR="0041095B" w:rsidRPr="0041095B">
        <w:rPr>
          <w:rFonts w:eastAsia="Calibri" w:cs="Times New Roman"/>
          <w:b/>
          <w:sz w:val="24"/>
          <w:szCs w:val="24"/>
          <w:lang w:val="uz-Cyrl-UZ"/>
        </w:rPr>
        <w:t xml:space="preserve">, </w:t>
      </w:r>
      <w:r w:rsidR="00E83B79" w:rsidRPr="0002083A">
        <w:rPr>
          <w:rFonts w:eastAsia="Calibri" w:cs="Times New Roman"/>
          <w:b/>
          <w:sz w:val="24"/>
          <w:szCs w:val="24"/>
          <w:lang w:val="uz-Cyrl-UZ"/>
        </w:rPr>
        <w:t xml:space="preserve">ilmiy </w:t>
      </w:r>
      <w:r w:rsidR="0041095B" w:rsidRPr="0002083A">
        <w:rPr>
          <w:rFonts w:eastAsia="Calibri" w:cs="Times New Roman"/>
          <w:b/>
          <w:sz w:val="24"/>
          <w:szCs w:val="24"/>
          <w:lang w:val="uz-Cyrl-UZ"/>
        </w:rPr>
        <w:t>rahbar</w:t>
      </w:r>
    </w:p>
    <w:p w14:paraId="02627004" w14:textId="3C248A7A" w:rsidR="0002083A" w:rsidRPr="0002083A" w:rsidRDefault="0002083A" w:rsidP="0041095B">
      <w:pPr>
        <w:spacing w:line="276" w:lineRule="auto"/>
        <w:contextualSpacing/>
        <w:jc w:val="center"/>
        <w:rPr>
          <w:rFonts w:eastAsia="Calibri" w:cs="Times New Roman"/>
          <w:bCs/>
          <w:sz w:val="24"/>
          <w:szCs w:val="24"/>
          <w:lang w:val="uz-Cyrl-UZ"/>
        </w:rPr>
      </w:pPr>
      <w:r w:rsidRPr="0002083A">
        <w:rPr>
          <w:rFonts w:eastAsia="Calibri" w:cs="Times New Roman"/>
          <w:bCs/>
          <w:sz w:val="24"/>
          <w:szCs w:val="24"/>
          <w:lang w:val="uz-Cyrl-UZ"/>
        </w:rPr>
        <w:t>Toshkent tibbiyot akademiyasi</w:t>
      </w:r>
      <w:r w:rsidR="0041095B" w:rsidRPr="00B71C19">
        <w:rPr>
          <w:rFonts w:eastAsia="Calibri" w:cs="Times New Roman"/>
          <w:bCs/>
          <w:sz w:val="24"/>
          <w:szCs w:val="24"/>
          <w:lang w:val="uz-Cyrl-UZ"/>
        </w:rPr>
        <w:t>, Toshkent, Oʻzbekiston</w:t>
      </w:r>
    </w:p>
    <w:p w14:paraId="642A9CE1" w14:textId="77777777" w:rsidR="0041095B" w:rsidRDefault="0041095B" w:rsidP="008475FD">
      <w:pPr>
        <w:spacing w:line="276" w:lineRule="auto"/>
        <w:ind w:left="4111"/>
        <w:contextualSpacing/>
        <w:jc w:val="both"/>
        <w:rPr>
          <w:rFonts w:eastAsia="Calibri" w:cs="Times New Roman"/>
          <w:b/>
          <w:sz w:val="24"/>
          <w:szCs w:val="24"/>
          <w:lang w:val="uz-Cyrl-UZ"/>
        </w:rPr>
      </w:pPr>
    </w:p>
    <w:p w14:paraId="53D471F1" w14:textId="65348D44" w:rsidR="0002083A" w:rsidRPr="0002083A" w:rsidRDefault="0002083A" w:rsidP="008475FD">
      <w:pPr>
        <w:spacing w:line="276" w:lineRule="auto"/>
        <w:ind w:firstLine="567"/>
        <w:contextualSpacing/>
        <w:jc w:val="both"/>
        <w:rPr>
          <w:rFonts w:eastAsia="Calibri" w:cs="Times New Roman"/>
          <w:i/>
          <w:iCs/>
          <w:sz w:val="24"/>
          <w:szCs w:val="24"/>
          <w:lang w:val="uz-Cyrl-UZ"/>
        </w:rPr>
      </w:pPr>
      <w:r w:rsidRPr="0002083A">
        <w:rPr>
          <w:rFonts w:eastAsia="Calibri" w:cs="Times New Roman"/>
          <w:b/>
          <w:i/>
          <w:iCs/>
          <w:sz w:val="24"/>
          <w:szCs w:val="24"/>
          <w:lang w:val="uz-Cyrl-UZ"/>
        </w:rPr>
        <w:t>Annotatsiya.</w:t>
      </w:r>
      <w:r w:rsidR="008475FD" w:rsidRPr="008475FD">
        <w:rPr>
          <w:rFonts w:eastAsia="Calibri" w:cs="Times New Roman"/>
          <w:b/>
          <w:i/>
          <w:iCs/>
          <w:sz w:val="24"/>
          <w:szCs w:val="24"/>
          <w:lang w:val="uz-Cyrl-UZ"/>
        </w:rPr>
        <w:t xml:space="preserve"> </w:t>
      </w:r>
      <w:r w:rsidRPr="0002083A">
        <w:rPr>
          <w:rFonts w:eastAsia="Calibri" w:cs="Times New Roman"/>
          <w:i/>
          <w:iCs/>
          <w:sz w:val="24"/>
          <w:szCs w:val="24"/>
          <w:lang w:val="uz-Cyrl-UZ"/>
        </w:rPr>
        <w:t xml:space="preserve">Maqolada ilmiy adabiyotlarni tahlil qilish asosida maktab o‘quvchilari mebellaridan foydalanish bilan bog‘liq gigiyenik muammolar keltirilgan: ish joyini to‘g‘ri tashkil qilish, maktab o‘quvchilari to‘g‘ri o‘tqazish, ish joyini noto‘g‘ri tashkil etish va maktab mebellarini </w:t>
      </w:r>
      <w:r w:rsidRPr="0002083A">
        <w:rPr>
          <w:rFonts w:eastAsia="Calibri" w:cs="Times New Roman"/>
          <w:i/>
          <w:iCs/>
          <w:sz w:val="24"/>
          <w:szCs w:val="24"/>
          <w:lang w:val="uz-Cyrl-UZ"/>
        </w:rPr>
        <w:lastRenderedPageBreak/>
        <w:t>tanlash natijasida kelib chiqadigan maktab o‘quvchilari sog‘lig‘iga noto‘g‘ri ish holatining zararli ta’siri yoritilgan.</w:t>
      </w:r>
    </w:p>
    <w:p w14:paraId="1824085E" w14:textId="77777777" w:rsidR="0002083A" w:rsidRPr="0002083A" w:rsidRDefault="0002083A" w:rsidP="008475FD">
      <w:pPr>
        <w:spacing w:line="276" w:lineRule="auto"/>
        <w:ind w:firstLine="567"/>
        <w:contextualSpacing/>
        <w:jc w:val="both"/>
        <w:rPr>
          <w:rFonts w:eastAsia="Calibri" w:cs="Times New Roman"/>
          <w:i/>
          <w:iCs/>
          <w:sz w:val="24"/>
          <w:szCs w:val="24"/>
          <w:lang w:val="uz-Cyrl-UZ"/>
        </w:rPr>
      </w:pPr>
      <w:r w:rsidRPr="0002083A">
        <w:rPr>
          <w:rFonts w:eastAsia="Calibri" w:cs="Times New Roman"/>
          <w:b/>
          <w:i/>
          <w:iCs/>
          <w:sz w:val="24"/>
          <w:szCs w:val="24"/>
          <w:lang w:val="uz-Cyrl-UZ"/>
        </w:rPr>
        <w:t>Kalit so‘zlar:</w:t>
      </w:r>
      <w:r w:rsidRPr="0002083A">
        <w:rPr>
          <w:rFonts w:eastAsia="Calibri" w:cs="Times New Roman"/>
          <w:i/>
          <w:iCs/>
          <w:sz w:val="24"/>
          <w:szCs w:val="24"/>
          <w:lang w:val="uz-Cyrl-UZ"/>
        </w:rPr>
        <w:t xml:space="preserve"> maktab o‘quvchilari salomatligi, maktab mebeli, o‘quvchilarni to‘g‘ri joylashtirish</w:t>
      </w:r>
    </w:p>
    <w:p w14:paraId="73FC37E4" w14:textId="77777777" w:rsidR="0002083A" w:rsidRPr="0002083A" w:rsidRDefault="0002083A" w:rsidP="008475FD">
      <w:pPr>
        <w:autoSpaceDE w:val="0"/>
        <w:autoSpaceDN w:val="0"/>
        <w:adjustRightInd w:val="0"/>
        <w:spacing w:line="276" w:lineRule="auto"/>
        <w:ind w:firstLine="567"/>
        <w:jc w:val="both"/>
        <w:rPr>
          <w:rFonts w:eastAsia="Calibri" w:cs="Times New Roman"/>
          <w:sz w:val="24"/>
          <w:szCs w:val="24"/>
          <w:lang w:val="uz-Cyrl-UZ"/>
        </w:rPr>
      </w:pPr>
    </w:p>
    <w:p w14:paraId="1D8E9DFA" w14:textId="77777777" w:rsidR="00F73F3C" w:rsidRPr="00F73F3C" w:rsidRDefault="00F73F3C" w:rsidP="008475FD">
      <w:pPr>
        <w:autoSpaceDE w:val="0"/>
        <w:autoSpaceDN w:val="0"/>
        <w:adjustRightInd w:val="0"/>
        <w:spacing w:line="276" w:lineRule="auto"/>
        <w:ind w:firstLine="567"/>
        <w:jc w:val="both"/>
        <w:rPr>
          <w:rFonts w:eastAsia="Calibri" w:cs="Times New Roman"/>
          <w:sz w:val="24"/>
          <w:szCs w:val="24"/>
          <w:lang w:val="uz-Cyrl-UZ"/>
        </w:rPr>
        <w:sectPr w:rsidR="00F73F3C" w:rsidRPr="00F73F3C" w:rsidSect="001B41EC">
          <w:type w:val="continuous"/>
          <w:pgSz w:w="11907" w:h="16840" w:code="9"/>
          <w:pgMar w:top="1418" w:right="1134" w:bottom="1134" w:left="1134" w:header="907" w:footer="794" w:gutter="0"/>
          <w:cols w:space="708"/>
          <w:docGrid w:linePitch="381"/>
        </w:sectPr>
      </w:pPr>
    </w:p>
    <w:p w14:paraId="2DF908BC" w14:textId="11C7B093"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The health status of schoolchildren is largely determined by the conditions of their education and upbringing [4,5]. Over the past decade, a generally recognized fact is the dete</w:t>
      </w:r>
      <w:r w:rsidR="00F73F3C">
        <w:rPr>
          <w:rFonts w:eastAsia="Calibri" w:cs="Times New Roman"/>
          <w:sz w:val="24"/>
          <w:szCs w:val="24"/>
        </w:rPr>
        <w:softHyphen/>
      </w:r>
      <w:r w:rsidRPr="0002083A">
        <w:rPr>
          <w:rFonts w:eastAsia="Calibri" w:cs="Times New Roman"/>
          <w:sz w:val="24"/>
          <w:szCs w:val="24"/>
        </w:rPr>
        <w:t xml:space="preserve">rioration in the health of children, especially of school age [2,9,4,13]. </w:t>
      </w:r>
      <w:r w:rsidRPr="0002083A">
        <w:rPr>
          <w:rFonts w:eastAsia="Calibri" w:cs="Times New Roman"/>
          <w:sz w:val="24"/>
          <w:szCs w:val="24"/>
          <w:shd w:val="clear" w:color="auto" w:fill="FFFFFF"/>
        </w:rPr>
        <w:t>Research evidence have shown that</w:t>
      </w:r>
      <w:r w:rsidRPr="0002083A">
        <w:rPr>
          <w:rFonts w:eastAsia="Calibri" w:cs="Times New Roman"/>
          <w:color w:val="4D5156"/>
          <w:sz w:val="24"/>
          <w:szCs w:val="24"/>
          <w:shd w:val="clear" w:color="auto" w:fill="FFFFFF"/>
        </w:rPr>
        <w:t> </w:t>
      </w:r>
      <w:r w:rsidRPr="0002083A">
        <w:rPr>
          <w:rFonts w:eastAsia="Calibri" w:cs="Times New Roman"/>
          <w:sz w:val="24"/>
          <w:szCs w:val="24"/>
        </w:rPr>
        <w:t>among the main factors determin</w:t>
      </w:r>
      <w:r w:rsidR="00F73F3C">
        <w:rPr>
          <w:rFonts w:eastAsia="Calibri" w:cs="Times New Roman"/>
          <w:sz w:val="24"/>
          <w:szCs w:val="24"/>
        </w:rPr>
        <w:softHyphen/>
      </w:r>
      <w:r w:rsidRPr="0002083A">
        <w:rPr>
          <w:rFonts w:eastAsia="Calibri" w:cs="Times New Roman"/>
          <w:sz w:val="24"/>
          <w:szCs w:val="24"/>
        </w:rPr>
        <w:t>ing the health of schoolchildren, 20% are the factors of the school environment [14].</w:t>
      </w:r>
    </w:p>
    <w:p w14:paraId="45D0E525" w14:textId="3D74F2E9"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Currently, the problem of creating opti</w:t>
      </w:r>
      <w:r w:rsidR="00F73F3C">
        <w:rPr>
          <w:rFonts w:eastAsia="Calibri" w:cs="Times New Roman"/>
          <w:sz w:val="24"/>
          <w:szCs w:val="24"/>
        </w:rPr>
        <w:softHyphen/>
      </w:r>
      <w:r w:rsidRPr="0002083A">
        <w:rPr>
          <w:rFonts w:eastAsia="Calibri" w:cs="Times New Roman"/>
          <w:sz w:val="24"/>
          <w:szCs w:val="24"/>
        </w:rPr>
        <w:t>mal hygienic conditions for learning has ac</w:t>
      </w:r>
      <w:r w:rsidR="00F73F3C">
        <w:rPr>
          <w:rFonts w:eastAsia="Calibri" w:cs="Times New Roman"/>
          <w:sz w:val="24"/>
          <w:szCs w:val="24"/>
        </w:rPr>
        <w:softHyphen/>
      </w:r>
      <w:r w:rsidRPr="0002083A">
        <w:rPr>
          <w:rFonts w:eastAsia="Calibri" w:cs="Times New Roman"/>
          <w:sz w:val="24"/>
          <w:szCs w:val="24"/>
        </w:rPr>
        <w:t>quired particular importance due to negative trends in the health of secondary school chil</w:t>
      </w:r>
      <w:r w:rsidR="00F73F3C">
        <w:rPr>
          <w:rFonts w:eastAsia="Calibri" w:cs="Times New Roman"/>
          <w:sz w:val="24"/>
          <w:szCs w:val="24"/>
        </w:rPr>
        <w:softHyphen/>
      </w:r>
      <w:r w:rsidRPr="0002083A">
        <w:rPr>
          <w:rFonts w:eastAsia="Calibri" w:cs="Times New Roman"/>
          <w:sz w:val="24"/>
          <w:szCs w:val="24"/>
        </w:rPr>
        <w:t>dren, as well as due to changes that have oc</w:t>
      </w:r>
      <w:r w:rsidR="00F73F3C">
        <w:rPr>
          <w:rFonts w:eastAsia="Calibri" w:cs="Times New Roman"/>
          <w:sz w:val="24"/>
          <w:szCs w:val="24"/>
        </w:rPr>
        <w:softHyphen/>
      </w:r>
      <w:r w:rsidRPr="0002083A">
        <w:rPr>
          <w:rFonts w:eastAsia="Calibri" w:cs="Times New Roman"/>
          <w:sz w:val="24"/>
          <w:szCs w:val="24"/>
        </w:rPr>
        <w:t>curred in school education in recent years [3,4]. Statistical data on the health indicators of pupils in general education schools in the Rus</w:t>
      </w:r>
      <w:r w:rsidR="00F73F3C">
        <w:rPr>
          <w:rFonts w:eastAsia="Calibri" w:cs="Times New Roman"/>
          <w:sz w:val="24"/>
          <w:szCs w:val="24"/>
        </w:rPr>
        <w:softHyphen/>
      </w:r>
      <w:r w:rsidRPr="0002083A">
        <w:rPr>
          <w:rFonts w:eastAsia="Calibri" w:cs="Times New Roman"/>
          <w:sz w:val="24"/>
          <w:szCs w:val="24"/>
        </w:rPr>
        <w:t>sian Federation indicate an increase in the in</w:t>
      </w:r>
      <w:r w:rsidR="00F73F3C">
        <w:rPr>
          <w:rFonts w:eastAsia="Calibri" w:cs="Times New Roman"/>
          <w:sz w:val="24"/>
          <w:szCs w:val="24"/>
        </w:rPr>
        <w:softHyphen/>
      </w:r>
      <w:r w:rsidRPr="0002083A">
        <w:rPr>
          <w:rFonts w:eastAsia="Calibri" w:cs="Times New Roman"/>
          <w:sz w:val="24"/>
          <w:szCs w:val="24"/>
        </w:rPr>
        <w:t>cidence of schoolchildren in all classes of dis</w:t>
      </w:r>
      <w:r w:rsidR="00F73F3C">
        <w:rPr>
          <w:rFonts w:eastAsia="Calibri" w:cs="Times New Roman"/>
          <w:sz w:val="24"/>
          <w:szCs w:val="24"/>
        </w:rPr>
        <w:softHyphen/>
      </w:r>
      <w:r w:rsidRPr="0002083A">
        <w:rPr>
          <w:rFonts w:eastAsia="Calibri" w:cs="Times New Roman"/>
          <w:sz w:val="24"/>
          <w:szCs w:val="24"/>
        </w:rPr>
        <w:t xml:space="preserve">eases. The leading position among </w:t>
      </w:r>
      <w:r w:rsidR="00F44A75">
        <w:rPr>
          <w:rFonts w:eastAsia="Calibri" w:cs="Times New Roman"/>
          <w:sz w:val="24"/>
          <w:szCs w:val="24"/>
        </w:rPr>
        <w:pgNum/>
      </w:r>
      <w:r w:rsidR="00F44A75">
        <w:rPr>
          <w:rFonts w:eastAsia="Calibri" w:cs="Times New Roman"/>
          <w:sz w:val="24"/>
          <w:szCs w:val="24"/>
        </w:rPr>
        <w:t>utria</w:t>
      </w:r>
      <w:r w:rsidR="00F44A75">
        <w:rPr>
          <w:rFonts w:eastAsia="Calibri" w:cs="Times New Roman"/>
          <w:sz w:val="24"/>
          <w:szCs w:val="24"/>
        </w:rPr>
        <w:pgNum/>
      </w:r>
      <w:r w:rsidR="00F44A75">
        <w:rPr>
          <w:rFonts w:eastAsia="Calibri" w:cs="Times New Roman"/>
          <w:sz w:val="24"/>
          <w:szCs w:val="24"/>
        </w:rPr>
        <w:t>ning</w:t>
      </w:r>
      <w:r w:rsidR="00F73F3C">
        <w:rPr>
          <w:rFonts w:eastAsia="Calibri" w:cs="Times New Roman"/>
          <w:sz w:val="24"/>
          <w:szCs w:val="24"/>
        </w:rPr>
        <w:softHyphen/>
      </w:r>
      <w:r w:rsidRPr="0002083A">
        <w:rPr>
          <w:rFonts w:eastAsia="Calibri" w:cs="Times New Roman"/>
          <w:sz w:val="24"/>
          <w:szCs w:val="24"/>
        </w:rPr>
        <w:t>dren is occupied by morphofunctional disor</w:t>
      </w:r>
      <w:r w:rsidR="00F73F3C">
        <w:rPr>
          <w:rFonts w:eastAsia="Calibri" w:cs="Times New Roman"/>
          <w:sz w:val="24"/>
          <w:szCs w:val="24"/>
        </w:rPr>
        <w:softHyphen/>
      </w:r>
      <w:r w:rsidRPr="0002083A">
        <w:rPr>
          <w:rFonts w:eastAsia="Calibri" w:cs="Times New Roman"/>
          <w:sz w:val="24"/>
          <w:szCs w:val="24"/>
        </w:rPr>
        <w:t>ders of the musculoskeletal system, accounting for 46.5% [8, 11]. According to WHO, out of every 100 pupils at school, 50 inevitably ac</w:t>
      </w:r>
      <w:r w:rsidR="00F73F3C">
        <w:rPr>
          <w:rFonts w:eastAsia="Calibri" w:cs="Times New Roman"/>
          <w:sz w:val="24"/>
          <w:szCs w:val="24"/>
        </w:rPr>
        <w:softHyphen/>
      </w:r>
      <w:r w:rsidRPr="0002083A">
        <w:rPr>
          <w:rFonts w:eastAsia="Calibri" w:cs="Times New Roman"/>
          <w:sz w:val="24"/>
          <w:szCs w:val="24"/>
        </w:rPr>
        <w:t xml:space="preserve">quire scoliosis, 30-40 </w:t>
      </w:r>
      <w:r w:rsidR="00F44A75">
        <w:rPr>
          <w:rFonts w:eastAsia="Calibri" w:cs="Times New Roman"/>
          <w:sz w:val="24"/>
          <w:szCs w:val="24"/>
        </w:rPr>
        <w:t>–</w:t>
      </w:r>
      <w:r w:rsidRPr="0002083A">
        <w:rPr>
          <w:rFonts w:eastAsia="Calibri" w:cs="Times New Roman"/>
          <w:sz w:val="24"/>
          <w:szCs w:val="24"/>
        </w:rPr>
        <w:t xml:space="preserve"> functional deviations in the cardiovascular system, 20-40 </w:t>
      </w:r>
      <w:r w:rsidR="00F44A75">
        <w:rPr>
          <w:rFonts w:eastAsia="Calibri" w:cs="Times New Roman"/>
          <w:sz w:val="24"/>
          <w:szCs w:val="24"/>
        </w:rPr>
        <w:t>–</w:t>
      </w:r>
      <w:r w:rsidRPr="0002083A">
        <w:rPr>
          <w:rFonts w:eastAsia="Calibri" w:cs="Times New Roman"/>
          <w:sz w:val="24"/>
          <w:szCs w:val="24"/>
        </w:rPr>
        <w:t xml:space="preserve"> myopia, 20-30 </w:t>
      </w:r>
      <w:r w:rsidR="00F44A75">
        <w:rPr>
          <w:rFonts w:eastAsia="Calibri" w:cs="Times New Roman"/>
          <w:sz w:val="24"/>
          <w:szCs w:val="24"/>
        </w:rPr>
        <w:t>–</w:t>
      </w:r>
      <w:r w:rsidRPr="0002083A">
        <w:rPr>
          <w:rFonts w:eastAsia="Calibri" w:cs="Times New Roman"/>
          <w:sz w:val="24"/>
          <w:szCs w:val="24"/>
        </w:rPr>
        <w:t xml:space="preserve"> suffer from neuropsychic dysfunctions. It turns out that there are practically no healthy children among those finishing school. Vari</w:t>
      </w:r>
      <w:r w:rsidR="00F73F3C">
        <w:rPr>
          <w:rFonts w:eastAsia="Calibri" w:cs="Times New Roman"/>
          <w:sz w:val="24"/>
          <w:szCs w:val="24"/>
        </w:rPr>
        <w:softHyphen/>
      </w:r>
      <w:r w:rsidRPr="0002083A">
        <w:rPr>
          <w:rFonts w:eastAsia="Calibri" w:cs="Times New Roman"/>
          <w:sz w:val="24"/>
          <w:szCs w:val="24"/>
        </w:rPr>
        <w:t>ous posture disorders adversely affect to the functioning of the heart and lungs and other vi</w:t>
      </w:r>
      <w:r w:rsidR="00F73F3C">
        <w:rPr>
          <w:rFonts w:eastAsia="Calibri" w:cs="Times New Roman"/>
          <w:sz w:val="24"/>
          <w:szCs w:val="24"/>
        </w:rPr>
        <w:softHyphen/>
      </w:r>
      <w:r w:rsidRPr="0002083A">
        <w:rPr>
          <w:rFonts w:eastAsia="Calibri" w:cs="Times New Roman"/>
          <w:sz w:val="24"/>
          <w:szCs w:val="24"/>
        </w:rPr>
        <w:t xml:space="preserve">tal organs, as well as distort the shape of the body and impair metabolism.  </w:t>
      </w:r>
    </w:p>
    <w:p w14:paraId="79F395E7" w14:textId="158DD6A6"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 xml:space="preserve">Violations and diseases of the </w:t>
      </w:r>
      <w:r w:rsidR="00F44A75">
        <w:rPr>
          <w:rFonts w:eastAsia="Calibri" w:cs="Times New Roman"/>
          <w:sz w:val="24"/>
          <w:szCs w:val="24"/>
        </w:rPr>
        <w:pgNum/>
      </w:r>
      <w:r w:rsidR="00F44A75">
        <w:rPr>
          <w:rFonts w:eastAsia="Calibri" w:cs="Times New Roman"/>
          <w:sz w:val="24"/>
          <w:szCs w:val="24"/>
        </w:rPr>
        <w:t>utria</w:t>
      </w:r>
      <w:r w:rsidR="00F44A75">
        <w:rPr>
          <w:rFonts w:eastAsia="Calibri" w:cs="Times New Roman"/>
          <w:sz w:val="24"/>
          <w:szCs w:val="24"/>
        </w:rPr>
        <w:pgNum/>
      </w:r>
      <w:r w:rsidR="00F73F3C">
        <w:rPr>
          <w:rFonts w:eastAsia="Calibri" w:cs="Times New Roman"/>
          <w:sz w:val="24"/>
          <w:szCs w:val="24"/>
        </w:rPr>
        <w:softHyphen/>
      </w:r>
      <w:r w:rsidRPr="0002083A">
        <w:rPr>
          <w:rFonts w:eastAsia="Calibri" w:cs="Times New Roman"/>
          <w:sz w:val="24"/>
          <w:szCs w:val="24"/>
        </w:rPr>
        <w:t>skeletal system of children further lead to the limitation of their life and social insufficiency, restrictions to entry into the occupation, con</w:t>
      </w:r>
      <w:r w:rsidR="00F73F3C">
        <w:rPr>
          <w:rFonts w:eastAsia="Calibri" w:cs="Times New Roman"/>
          <w:sz w:val="24"/>
          <w:szCs w:val="24"/>
        </w:rPr>
        <w:softHyphen/>
      </w:r>
      <w:r w:rsidRPr="0002083A">
        <w:rPr>
          <w:rFonts w:eastAsia="Calibri" w:cs="Times New Roman"/>
          <w:sz w:val="24"/>
          <w:szCs w:val="24"/>
        </w:rPr>
        <w:t xml:space="preserve">traindications for military service, a negative impact on reproductive health and significantly </w:t>
      </w:r>
      <w:r w:rsidRPr="0002083A">
        <w:rPr>
          <w:rFonts w:eastAsia="Calibri" w:cs="Times New Roman"/>
          <w:sz w:val="24"/>
          <w:szCs w:val="24"/>
        </w:rPr>
        <w:t>reduce the quality of human life. Based on this, the problem of disorders of the musculoskele</w:t>
      </w:r>
      <w:r w:rsidR="00F73F3C">
        <w:rPr>
          <w:rFonts w:eastAsia="Calibri" w:cs="Times New Roman"/>
          <w:sz w:val="24"/>
          <w:szCs w:val="24"/>
        </w:rPr>
        <w:softHyphen/>
      </w:r>
      <w:r w:rsidRPr="0002083A">
        <w:rPr>
          <w:rFonts w:eastAsia="Calibri" w:cs="Times New Roman"/>
          <w:sz w:val="24"/>
          <w:szCs w:val="24"/>
        </w:rPr>
        <w:t>tal system goes beyond the scope of only med</w:t>
      </w:r>
      <w:r w:rsidR="00F73F3C">
        <w:rPr>
          <w:rFonts w:eastAsia="Calibri" w:cs="Times New Roman"/>
          <w:sz w:val="24"/>
          <w:szCs w:val="24"/>
        </w:rPr>
        <w:softHyphen/>
      </w:r>
      <w:r w:rsidRPr="0002083A">
        <w:rPr>
          <w:rFonts w:eastAsia="Calibri" w:cs="Times New Roman"/>
          <w:sz w:val="24"/>
          <w:szCs w:val="24"/>
        </w:rPr>
        <w:t>ical and acquires a high medical and social sig</w:t>
      </w:r>
      <w:r w:rsidR="00F73F3C">
        <w:rPr>
          <w:rFonts w:eastAsia="Calibri" w:cs="Times New Roman"/>
          <w:sz w:val="24"/>
          <w:szCs w:val="24"/>
        </w:rPr>
        <w:softHyphen/>
      </w:r>
      <w:r w:rsidRPr="0002083A">
        <w:rPr>
          <w:rFonts w:eastAsia="Calibri" w:cs="Times New Roman"/>
          <w:sz w:val="24"/>
          <w:szCs w:val="24"/>
        </w:rPr>
        <w:t>nificance. The formation of the child</w:t>
      </w:r>
      <w:r w:rsidR="00F44A75">
        <w:rPr>
          <w:rFonts w:eastAsia="Calibri" w:cs="Times New Roman"/>
          <w:sz w:val="24"/>
          <w:szCs w:val="24"/>
        </w:rPr>
        <w:t>’</w:t>
      </w:r>
      <w:r w:rsidRPr="0002083A">
        <w:rPr>
          <w:rFonts w:eastAsia="Calibri" w:cs="Times New Roman"/>
          <w:sz w:val="24"/>
          <w:szCs w:val="24"/>
        </w:rPr>
        <w:t>s muscu</w:t>
      </w:r>
      <w:r w:rsidR="00F73F3C">
        <w:rPr>
          <w:rFonts w:eastAsia="Calibri" w:cs="Times New Roman"/>
          <w:sz w:val="24"/>
          <w:szCs w:val="24"/>
        </w:rPr>
        <w:softHyphen/>
      </w:r>
      <w:r w:rsidRPr="0002083A">
        <w:rPr>
          <w:rFonts w:eastAsia="Calibri" w:cs="Times New Roman"/>
          <w:sz w:val="24"/>
          <w:szCs w:val="24"/>
        </w:rPr>
        <w:t>loskeletal system is significantly influenced by children</w:t>
      </w:r>
      <w:r w:rsidR="00F44A75">
        <w:rPr>
          <w:rFonts w:eastAsia="Calibri" w:cs="Times New Roman"/>
          <w:sz w:val="24"/>
          <w:szCs w:val="24"/>
        </w:rPr>
        <w:t>’</w:t>
      </w:r>
      <w:r w:rsidRPr="0002083A">
        <w:rPr>
          <w:rFonts w:eastAsia="Calibri" w:cs="Times New Roman"/>
          <w:sz w:val="24"/>
          <w:szCs w:val="24"/>
        </w:rPr>
        <w:t>s furniture [17, 16]. One of the im</w:t>
      </w:r>
      <w:r w:rsidR="00F73F3C">
        <w:rPr>
          <w:rFonts w:eastAsia="Calibri" w:cs="Times New Roman"/>
          <w:sz w:val="24"/>
          <w:szCs w:val="24"/>
        </w:rPr>
        <w:softHyphen/>
      </w:r>
      <w:r w:rsidRPr="0002083A">
        <w:rPr>
          <w:rFonts w:eastAsia="Calibri" w:cs="Times New Roman"/>
          <w:sz w:val="24"/>
          <w:szCs w:val="24"/>
        </w:rPr>
        <w:t>portant reasons for the development of school pathology may be the prolonged presence of pupils in a static tense sitting position with their heads bowed low behind furniture that does not meet the hygienic requirements and physiological characteristics of the child</w:t>
      </w:r>
      <w:r w:rsidR="00F44A75">
        <w:rPr>
          <w:rFonts w:eastAsia="Calibri" w:cs="Times New Roman"/>
          <w:sz w:val="24"/>
          <w:szCs w:val="24"/>
        </w:rPr>
        <w:t>’</w:t>
      </w:r>
      <w:r w:rsidRPr="0002083A">
        <w:rPr>
          <w:rFonts w:eastAsia="Calibri" w:cs="Times New Roman"/>
          <w:sz w:val="24"/>
          <w:szCs w:val="24"/>
        </w:rPr>
        <w:t xml:space="preserve">s body. The working posture of a pupil is one of the </w:t>
      </w:r>
      <w:r w:rsidR="00F44A75">
        <w:rPr>
          <w:rFonts w:eastAsia="Calibri" w:cs="Times New Roman"/>
          <w:sz w:val="24"/>
          <w:szCs w:val="24"/>
        </w:rPr>
        <w:t>I</w:t>
      </w:r>
      <w:r w:rsidRPr="0002083A">
        <w:rPr>
          <w:rFonts w:eastAsia="Calibri" w:cs="Times New Roman"/>
          <w:sz w:val="24"/>
          <w:szCs w:val="24"/>
        </w:rPr>
        <w:t>mportant hygienic factors. One of the im</w:t>
      </w:r>
      <w:r w:rsidR="00F73F3C">
        <w:rPr>
          <w:rFonts w:eastAsia="Calibri" w:cs="Times New Roman"/>
          <w:sz w:val="24"/>
          <w:szCs w:val="24"/>
        </w:rPr>
        <w:softHyphen/>
      </w:r>
      <w:r w:rsidRPr="0002083A">
        <w:rPr>
          <w:rFonts w:eastAsia="Calibri" w:cs="Times New Roman"/>
          <w:sz w:val="24"/>
          <w:szCs w:val="24"/>
        </w:rPr>
        <w:t>portant school factors influencing the for</w:t>
      </w:r>
      <w:r w:rsidR="00F73F3C">
        <w:rPr>
          <w:rFonts w:eastAsia="Calibri" w:cs="Times New Roman"/>
          <w:sz w:val="24"/>
          <w:szCs w:val="24"/>
        </w:rPr>
        <w:softHyphen/>
      </w:r>
      <w:r w:rsidRPr="0002083A">
        <w:rPr>
          <w:rFonts w:eastAsia="Calibri" w:cs="Times New Roman"/>
          <w:sz w:val="24"/>
          <w:szCs w:val="24"/>
        </w:rPr>
        <w:t>mation of the musculoskeletal system, the veg</w:t>
      </w:r>
      <w:r w:rsidR="00F73F3C">
        <w:rPr>
          <w:rFonts w:eastAsia="Calibri" w:cs="Times New Roman"/>
          <w:sz w:val="24"/>
          <w:szCs w:val="24"/>
        </w:rPr>
        <w:softHyphen/>
      </w:r>
      <w:r w:rsidRPr="0002083A">
        <w:rPr>
          <w:rFonts w:eastAsia="Calibri" w:cs="Times New Roman"/>
          <w:sz w:val="24"/>
          <w:szCs w:val="24"/>
        </w:rPr>
        <w:t>etative support of educational activities and maintaining the optimal level of mental perfor</w:t>
      </w:r>
      <w:r w:rsidR="00F73F3C">
        <w:rPr>
          <w:rFonts w:eastAsia="Calibri" w:cs="Times New Roman"/>
          <w:sz w:val="24"/>
          <w:szCs w:val="24"/>
        </w:rPr>
        <w:softHyphen/>
      </w:r>
      <w:r w:rsidRPr="0002083A">
        <w:rPr>
          <w:rFonts w:eastAsia="Calibri" w:cs="Times New Roman"/>
          <w:sz w:val="24"/>
          <w:szCs w:val="24"/>
        </w:rPr>
        <w:t xml:space="preserve">mance of students is the organization of the workplace, which depends on the type of school furniture and options for its use. </w:t>
      </w:r>
    </w:p>
    <w:p w14:paraId="10CABA7A" w14:textId="2F016BB6"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The use of such furniture requires an er</w:t>
      </w:r>
      <w:r w:rsidR="00F73F3C">
        <w:rPr>
          <w:rFonts w:eastAsia="Calibri" w:cs="Times New Roman"/>
          <w:sz w:val="24"/>
          <w:szCs w:val="24"/>
        </w:rPr>
        <w:softHyphen/>
      </w:r>
      <w:r w:rsidRPr="0002083A">
        <w:rPr>
          <w:rFonts w:eastAsia="Calibri" w:cs="Times New Roman"/>
          <w:sz w:val="24"/>
          <w:szCs w:val="24"/>
        </w:rPr>
        <w:t xml:space="preserve">gonomic and hygienic assessment of its design features. </w:t>
      </w:r>
    </w:p>
    <w:p w14:paraId="4C60A207" w14:textId="58E7385D" w:rsidR="0002083A" w:rsidRPr="0002083A" w:rsidRDefault="0002083A" w:rsidP="008475FD">
      <w:pPr>
        <w:spacing w:line="276" w:lineRule="auto"/>
        <w:ind w:firstLine="567"/>
        <w:jc w:val="both"/>
        <w:rPr>
          <w:rFonts w:eastAsia="Times New Roman" w:cs="Times New Roman"/>
          <w:color w:val="202124"/>
          <w:sz w:val="24"/>
          <w:szCs w:val="24"/>
          <w:lang w:eastAsia="ru-RU"/>
        </w:rPr>
      </w:pPr>
      <w:r w:rsidRPr="0002083A">
        <w:rPr>
          <w:rFonts w:eastAsia="Calibri" w:cs="Times New Roman"/>
          <w:sz w:val="24"/>
          <w:szCs w:val="24"/>
        </w:rPr>
        <w:t>Violations of the requirements of sani</w:t>
      </w:r>
      <w:r w:rsidR="00F73F3C">
        <w:rPr>
          <w:rFonts w:eastAsia="Calibri" w:cs="Times New Roman"/>
          <w:sz w:val="24"/>
          <w:szCs w:val="24"/>
        </w:rPr>
        <w:softHyphen/>
      </w:r>
      <w:r w:rsidRPr="0002083A">
        <w:rPr>
          <w:rFonts w:eastAsia="Calibri" w:cs="Times New Roman"/>
          <w:sz w:val="24"/>
          <w:szCs w:val="24"/>
        </w:rPr>
        <w:t>tary rules for providing pupils with furniture corresponding to their body length in general educational schools are among the most fre</w:t>
      </w:r>
      <w:r w:rsidR="00F73F3C">
        <w:rPr>
          <w:rFonts w:eastAsia="Calibri" w:cs="Times New Roman"/>
          <w:sz w:val="24"/>
          <w:szCs w:val="24"/>
        </w:rPr>
        <w:softHyphen/>
      </w:r>
      <w:r w:rsidRPr="0002083A">
        <w:rPr>
          <w:rFonts w:eastAsia="Calibri" w:cs="Times New Roman"/>
          <w:sz w:val="24"/>
          <w:szCs w:val="24"/>
        </w:rPr>
        <w:t xml:space="preserve">quently detected by specialists during control and supervision activities. Among the possible reasons noted are the lack of modern data on the distribution of educational sets in primary classes, low awareness of teachers about the effect of furniture on the health of </w:t>
      </w:r>
      <w:r w:rsidR="00F44A75">
        <w:rPr>
          <w:rFonts w:eastAsia="Calibri" w:cs="Times New Roman"/>
          <w:sz w:val="24"/>
          <w:szCs w:val="24"/>
        </w:rPr>
        <w:pgNum/>
      </w:r>
      <w:r w:rsidR="00F44A75">
        <w:rPr>
          <w:rFonts w:eastAsia="Calibri" w:cs="Times New Roman"/>
          <w:sz w:val="24"/>
          <w:szCs w:val="24"/>
        </w:rPr>
        <w:t>utria</w:t>
      </w:r>
      <w:r w:rsidR="00F44A75">
        <w:rPr>
          <w:rFonts w:eastAsia="Calibri" w:cs="Times New Roman"/>
          <w:sz w:val="24"/>
          <w:szCs w:val="24"/>
        </w:rPr>
        <w:pgNum/>
      </w:r>
      <w:r w:rsidR="00F44A75">
        <w:rPr>
          <w:rFonts w:eastAsia="Calibri" w:cs="Times New Roman"/>
          <w:sz w:val="24"/>
          <w:szCs w:val="24"/>
        </w:rPr>
        <w:t>ning</w:t>
      </w:r>
      <w:r w:rsidR="00F73F3C">
        <w:rPr>
          <w:rFonts w:eastAsia="Calibri" w:cs="Times New Roman"/>
          <w:sz w:val="24"/>
          <w:szCs w:val="24"/>
        </w:rPr>
        <w:softHyphen/>
      </w:r>
      <w:r w:rsidRPr="0002083A">
        <w:rPr>
          <w:rFonts w:eastAsia="Calibri" w:cs="Times New Roman"/>
          <w:sz w:val="24"/>
          <w:szCs w:val="24"/>
        </w:rPr>
        <w:t>dren [12, 13]. The organization of the work</w:t>
      </w:r>
      <w:r w:rsidR="00F73F3C">
        <w:rPr>
          <w:rFonts w:eastAsia="Calibri" w:cs="Times New Roman"/>
          <w:sz w:val="24"/>
          <w:szCs w:val="24"/>
        </w:rPr>
        <w:softHyphen/>
      </w:r>
      <w:r w:rsidRPr="0002083A">
        <w:rPr>
          <w:rFonts w:eastAsia="Calibri" w:cs="Times New Roman"/>
          <w:sz w:val="24"/>
          <w:szCs w:val="24"/>
        </w:rPr>
        <w:t>place, the student largely depends on the func</w:t>
      </w:r>
      <w:r w:rsidR="00F73F3C">
        <w:rPr>
          <w:rFonts w:eastAsia="Calibri" w:cs="Times New Roman"/>
          <w:sz w:val="24"/>
          <w:szCs w:val="24"/>
        </w:rPr>
        <w:softHyphen/>
      </w:r>
      <w:r w:rsidRPr="0002083A">
        <w:rPr>
          <w:rFonts w:eastAsia="Calibri" w:cs="Times New Roman"/>
          <w:sz w:val="24"/>
          <w:szCs w:val="24"/>
        </w:rPr>
        <w:t>tional dimensions of school furniture, the val</w:t>
      </w:r>
      <w:r w:rsidR="00F73F3C">
        <w:rPr>
          <w:rFonts w:eastAsia="Calibri" w:cs="Times New Roman"/>
          <w:sz w:val="24"/>
          <w:szCs w:val="24"/>
        </w:rPr>
        <w:softHyphen/>
      </w:r>
      <w:r w:rsidRPr="0002083A">
        <w:rPr>
          <w:rFonts w:eastAsia="Calibri" w:cs="Times New Roman"/>
          <w:sz w:val="24"/>
          <w:szCs w:val="24"/>
        </w:rPr>
        <w:t>ues of which are recorded in the relevant regu</w:t>
      </w:r>
      <w:r w:rsidR="00F73F3C">
        <w:rPr>
          <w:rFonts w:eastAsia="Calibri" w:cs="Times New Roman"/>
          <w:sz w:val="24"/>
          <w:szCs w:val="24"/>
        </w:rPr>
        <w:softHyphen/>
      </w:r>
      <w:r w:rsidRPr="0002083A">
        <w:rPr>
          <w:rFonts w:eastAsia="Calibri" w:cs="Times New Roman"/>
          <w:sz w:val="24"/>
          <w:szCs w:val="24"/>
        </w:rPr>
        <w:t xml:space="preserve">latory documents (state </w:t>
      </w:r>
      <w:r w:rsidRPr="0002083A">
        <w:rPr>
          <w:rFonts w:eastAsia="Calibri" w:cs="Times New Roman"/>
          <w:sz w:val="24"/>
          <w:szCs w:val="24"/>
        </w:rPr>
        <w:lastRenderedPageBreak/>
        <w:t xml:space="preserve">standard and SanRandN). There are 5 groups of furniture, which have different seat heights above the floor, depending on the height of the student. </w:t>
      </w:r>
    </w:p>
    <w:p w14:paraId="3234B9DD" w14:textId="1795B61E" w:rsidR="0002083A" w:rsidRPr="0002083A" w:rsidRDefault="0002083A" w:rsidP="008475FD">
      <w:pPr>
        <w:spacing w:line="276" w:lineRule="auto"/>
        <w:ind w:firstLine="567"/>
        <w:jc w:val="both"/>
        <w:rPr>
          <w:rFonts w:eastAsia="Times New Roman" w:cs="Times New Roman"/>
          <w:color w:val="202124"/>
          <w:sz w:val="24"/>
          <w:szCs w:val="24"/>
          <w:lang w:eastAsia="ru-RU"/>
        </w:rPr>
      </w:pPr>
      <w:r w:rsidRPr="0002083A">
        <w:rPr>
          <w:rFonts w:eastAsia="Times New Roman" w:cs="Times New Roman"/>
          <w:color w:val="202124"/>
          <w:sz w:val="24"/>
          <w:szCs w:val="24"/>
          <w:lang w:eastAsia="ru-RU"/>
        </w:rPr>
        <w:t>Posture is the position in which you hold your body while standing, sitting or lying down. It is formed in the process of growth, de</w:t>
      </w:r>
      <w:r w:rsidR="00F73F3C">
        <w:rPr>
          <w:rFonts w:eastAsia="Times New Roman" w:cs="Times New Roman"/>
          <w:color w:val="202124"/>
          <w:sz w:val="24"/>
          <w:szCs w:val="24"/>
          <w:lang w:eastAsia="ru-RU"/>
        </w:rPr>
        <w:softHyphen/>
      </w:r>
      <w:r w:rsidRPr="0002083A">
        <w:rPr>
          <w:rFonts w:eastAsia="Times New Roman" w:cs="Times New Roman"/>
          <w:color w:val="202124"/>
          <w:sz w:val="24"/>
          <w:szCs w:val="24"/>
          <w:lang w:eastAsia="ru-RU"/>
        </w:rPr>
        <w:t>velopment and education.</w:t>
      </w:r>
    </w:p>
    <w:p w14:paraId="2BCB2C87" w14:textId="36BE52A0" w:rsidR="0002083A" w:rsidRPr="0002083A" w:rsidRDefault="0002083A" w:rsidP="008475FD">
      <w:pPr>
        <w:autoSpaceDE w:val="0"/>
        <w:autoSpaceDN w:val="0"/>
        <w:adjustRightInd w:val="0"/>
        <w:spacing w:line="276" w:lineRule="auto"/>
        <w:ind w:firstLine="567"/>
        <w:jc w:val="both"/>
        <w:rPr>
          <w:rFonts w:eastAsia="TimesNewRomanPSMT-Identity-H" w:cs="Times New Roman"/>
          <w:sz w:val="24"/>
          <w:szCs w:val="24"/>
        </w:rPr>
      </w:pPr>
      <w:r w:rsidRPr="0002083A">
        <w:rPr>
          <w:rFonts w:eastAsia="TimesNewRomanPSMT-Identity-H" w:cs="Times New Roman"/>
          <w:sz w:val="24"/>
          <w:szCs w:val="24"/>
        </w:rPr>
        <w:t>Posture is an important indicator of health and harmonious physical development, since correct posture provides optimal condi</w:t>
      </w:r>
      <w:r w:rsidR="00F73F3C">
        <w:rPr>
          <w:rFonts w:eastAsia="TimesNewRomanPSMT-Identity-H" w:cs="Times New Roman"/>
          <w:sz w:val="24"/>
          <w:szCs w:val="24"/>
        </w:rPr>
        <w:softHyphen/>
      </w:r>
      <w:r w:rsidRPr="0002083A">
        <w:rPr>
          <w:rFonts w:eastAsia="TimesNewRomanPSMT-Identity-H" w:cs="Times New Roman"/>
          <w:sz w:val="24"/>
          <w:szCs w:val="24"/>
        </w:rPr>
        <w:t>tions for the functioning of all organs and body systems. And severe postural disorders, on the contrary, significantly reduce the level of vital</w:t>
      </w:r>
      <w:r w:rsidR="00F73F3C">
        <w:rPr>
          <w:rFonts w:eastAsia="TimesNewRomanPSMT-Identity-H" w:cs="Times New Roman"/>
          <w:sz w:val="24"/>
          <w:szCs w:val="24"/>
        </w:rPr>
        <w:softHyphen/>
      </w:r>
      <w:r w:rsidRPr="0002083A">
        <w:rPr>
          <w:rFonts w:eastAsia="TimesNewRomanPSMT-Identity-H" w:cs="Times New Roman"/>
          <w:sz w:val="24"/>
          <w:szCs w:val="24"/>
        </w:rPr>
        <w:t>ity and the degree of endurance of a person of any age, so the problem under consideration is relevant. The child</w:t>
      </w:r>
      <w:r w:rsidR="00F44A75">
        <w:rPr>
          <w:rFonts w:eastAsia="TimesNewRomanPSMT-Identity-H" w:cs="Times New Roman"/>
          <w:sz w:val="24"/>
          <w:szCs w:val="24"/>
        </w:rPr>
        <w:t>’</w:t>
      </w:r>
      <w:r w:rsidRPr="0002083A">
        <w:rPr>
          <w:rFonts w:eastAsia="TimesNewRomanPSMT-Identity-H" w:cs="Times New Roman"/>
          <w:sz w:val="24"/>
          <w:szCs w:val="24"/>
        </w:rPr>
        <w:t>s posture is a dynamic ste</w:t>
      </w:r>
      <w:r w:rsidR="00F73F3C">
        <w:rPr>
          <w:rFonts w:eastAsia="TimesNewRomanPSMT-Identity-H" w:cs="Times New Roman"/>
          <w:sz w:val="24"/>
          <w:szCs w:val="24"/>
        </w:rPr>
        <w:softHyphen/>
      </w:r>
      <w:r w:rsidRPr="0002083A">
        <w:rPr>
          <w:rFonts w:eastAsia="TimesNewRomanPSMT-Identity-H" w:cs="Times New Roman"/>
          <w:sz w:val="24"/>
          <w:szCs w:val="24"/>
        </w:rPr>
        <w:t>reotype and is unstable at preschool age, easily changing under the influence of positive or negative factors. Posture depends on the state of the neuromuscular apparatus and the human psyche. Weakness of the muscular corset, in</w:t>
      </w:r>
      <w:r w:rsidR="00F73F3C">
        <w:rPr>
          <w:rFonts w:eastAsia="TimesNewRomanPSMT-Identity-H" w:cs="Times New Roman"/>
          <w:sz w:val="24"/>
          <w:szCs w:val="24"/>
        </w:rPr>
        <w:softHyphen/>
      </w:r>
      <w:r w:rsidRPr="0002083A">
        <w:rPr>
          <w:rFonts w:eastAsia="TimesNewRomanPSMT-Identity-H" w:cs="Times New Roman"/>
          <w:sz w:val="24"/>
          <w:szCs w:val="24"/>
        </w:rPr>
        <w:t>correct postures that the child takes while sit</w:t>
      </w:r>
      <w:r w:rsidR="00F73F3C">
        <w:rPr>
          <w:rFonts w:eastAsia="TimesNewRomanPSMT-Identity-H" w:cs="Times New Roman"/>
          <w:sz w:val="24"/>
          <w:szCs w:val="24"/>
        </w:rPr>
        <w:softHyphen/>
      </w:r>
      <w:r w:rsidRPr="0002083A">
        <w:rPr>
          <w:rFonts w:eastAsia="TimesNewRomanPSMT-Identity-H" w:cs="Times New Roman"/>
          <w:sz w:val="24"/>
          <w:szCs w:val="24"/>
        </w:rPr>
        <w:t>ting, standing, lying, walking, playing, sleep</w:t>
      </w:r>
      <w:r w:rsidR="00F73F3C">
        <w:rPr>
          <w:rFonts w:eastAsia="TimesNewRomanPSMT-Identity-H" w:cs="Times New Roman"/>
          <w:sz w:val="24"/>
          <w:szCs w:val="24"/>
        </w:rPr>
        <w:softHyphen/>
      </w:r>
      <w:r w:rsidRPr="0002083A">
        <w:rPr>
          <w:rFonts w:eastAsia="TimesNewRomanPSMT-Identity-H" w:cs="Times New Roman"/>
          <w:sz w:val="24"/>
          <w:szCs w:val="24"/>
        </w:rPr>
        <w:t>ing; congenital anomalies in the development of the ribs, chest, vertebrae, and lower extrem</w:t>
      </w:r>
      <w:r w:rsidR="00F73F3C">
        <w:rPr>
          <w:rFonts w:eastAsia="TimesNewRomanPSMT-Identity-H" w:cs="Times New Roman"/>
          <w:sz w:val="24"/>
          <w:szCs w:val="24"/>
        </w:rPr>
        <w:softHyphen/>
      </w:r>
      <w:r w:rsidRPr="0002083A">
        <w:rPr>
          <w:rFonts w:eastAsia="TimesNewRomanPSMT-Identity-H" w:cs="Times New Roman"/>
          <w:sz w:val="24"/>
          <w:szCs w:val="24"/>
        </w:rPr>
        <w:t>ities cause the development of posture disor</w:t>
      </w:r>
      <w:r w:rsidR="00F73F3C">
        <w:rPr>
          <w:rFonts w:eastAsia="TimesNewRomanPSMT-Identity-H" w:cs="Times New Roman"/>
          <w:sz w:val="24"/>
          <w:szCs w:val="24"/>
        </w:rPr>
        <w:softHyphen/>
      </w:r>
      <w:r w:rsidRPr="0002083A">
        <w:rPr>
          <w:rFonts w:eastAsia="TimesNewRomanPSMT-Identity-H" w:cs="Times New Roman"/>
          <w:sz w:val="24"/>
          <w:szCs w:val="24"/>
        </w:rPr>
        <w:t>ders [10].</w:t>
      </w:r>
    </w:p>
    <w:p w14:paraId="2C77F755" w14:textId="1BBD1451"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 xml:space="preserve">Posture disorders </w:t>
      </w:r>
      <w:r w:rsidR="00F44A75">
        <w:rPr>
          <w:rFonts w:eastAsia="Calibri" w:cs="Times New Roman"/>
          <w:sz w:val="24"/>
          <w:szCs w:val="24"/>
        </w:rPr>
        <w:t>–</w:t>
      </w:r>
      <w:r w:rsidRPr="0002083A">
        <w:rPr>
          <w:rFonts w:eastAsia="Calibri" w:cs="Times New Roman"/>
          <w:sz w:val="24"/>
          <w:szCs w:val="24"/>
        </w:rPr>
        <w:t xml:space="preserve"> deviations of the spi</w:t>
      </w:r>
      <w:r w:rsidR="00F73F3C">
        <w:rPr>
          <w:rFonts w:eastAsia="Calibri" w:cs="Times New Roman"/>
          <w:sz w:val="24"/>
          <w:szCs w:val="24"/>
        </w:rPr>
        <w:softHyphen/>
      </w:r>
      <w:r w:rsidRPr="0002083A">
        <w:rPr>
          <w:rFonts w:eastAsia="Calibri" w:cs="Times New Roman"/>
          <w:sz w:val="24"/>
          <w:szCs w:val="24"/>
        </w:rPr>
        <w:t>nal column from the anatomical norm in the anteroposterior or transverse planes are accom</w:t>
      </w:r>
      <w:r w:rsidR="00F73F3C">
        <w:rPr>
          <w:rFonts w:eastAsia="Calibri" w:cs="Times New Roman"/>
          <w:sz w:val="24"/>
          <w:szCs w:val="24"/>
        </w:rPr>
        <w:softHyphen/>
      </w:r>
      <w:r w:rsidRPr="0002083A">
        <w:rPr>
          <w:rFonts w:eastAsia="Calibri" w:cs="Times New Roman"/>
          <w:sz w:val="24"/>
          <w:szCs w:val="24"/>
        </w:rPr>
        <w:t>panied by a change in the shape of the body, the relative position of the head, trunk, pelvis, arms and legs.</w:t>
      </w:r>
    </w:p>
    <w:p w14:paraId="11584BE0" w14:textId="59C0E48B" w:rsidR="0002083A" w:rsidRPr="0002083A" w:rsidRDefault="0002083A" w:rsidP="008475FD">
      <w:pPr>
        <w:spacing w:line="276" w:lineRule="auto"/>
        <w:ind w:firstLine="567"/>
        <w:jc w:val="both"/>
        <w:rPr>
          <w:rFonts w:eastAsia="Calibri" w:cs="Times New Roman"/>
          <w:sz w:val="24"/>
          <w:szCs w:val="24"/>
        </w:rPr>
      </w:pPr>
      <w:r w:rsidRPr="0002083A">
        <w:rPr>
          <w:rFonts w:eastAsia="Calibri" w:cs="Times New Roman"/>
          <w:sz w:val="24"/>
          <w:szCs w:val="24"/>
        </w:rPr>
        <w:t>One of the main tasks of physical educa</w:t>
      </w:r>
      <w:r w:rsidR="00F73F3C">
        <w:rPr>
          <w:rFonts w:eastAsia="Calibri" w:cs="Times New Roman"/>
          <w:sz w:val="24"/>
          <w:szCs w:val="24"/>
        </w:rPr>
        <w:softHyphen/>
      </w:r>
      <w:r w:rsidRPr="0002083A">
        <w:rPr>
          <w:rFonts w:eastAsia="Calibri" w:cs="Times New Roman"/>
          <w:sz w:val="24"/>
          <w:szCs w:val="24"/>
        </w:rPr>
        <w:t>tion at school should be to control not only the physical fitness of students, but also the basics of theoretical knowledge, the ability to inde</w:t>
      </w:r>
      <w:r w:rsidR="00F73F3C">
        <w:rPr>
          <w:rFonts w:eastAsia="Calibri" w:cs="Times New Roman"/>
          <w:sz w:val="24"/>
          <w:szCs w:val="24"/>
        </w:rPr>
        <w:softHyphen/>
      </w:r>
      <w:r w:rsidRPr="0002083A">
        <w:rPr>
          <w:rFonts w:eastAsia="Calibri" w:cs="Times New Roman"/>
          <w:sz w:val="24"/>
          <w:szCs w:val="24"/>
        </w:rPr>
        <w:t xml:space="preserve">pendently use developmental, rehabilitation complexes and exercises, as well as the ability to maintain the correct working posture. </w:t>
      </w:r>
    </w:p>
    <w:p w14:paraId="03639B9B" w14:textId="775DF972" w:rsidR="0002083A" w:rsidRPr="0002083A" w:rsidRDefault="0002083A" w:rsidP="008475FD">
      <w:pPr>
        <w:spacing w:line="276" w:lineRule="auto"/>
        <w:ind w:firstLine="567"/>
        <w:jc w:val="both"/>
        <w:rPr>
          <w:rFonts w:eastAsia="Times New Roman" w:cs="Times New Roman"/>
          <w:sz w:val="24"/>
          <w:szCs w:val="24"/>
          <w:lang w:eastAsia="ru-RU"/>
        </w:rPr>
      </w:pPr>
      <w:r w:rsidRPr="0002083A">
        <w:rPr>
          <w:rFonts w:eastAsia="Times New Roman" w:cs="Times New Roman"/>
          <w:iCs/>
          <w:sz w:val="24"/>
          <w:szCs w:val="24"/>
          <w:lang w:eastAsia="ru-RU"/>
        </w:rPr>
        <w:t>The educational process is associated with great mental and physical stress. Classes at a desk, drawing board, standing at a work</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bench are associated with a certain, predomi</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nantly static position of the body, causing ten</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sion in the muscles of the back, neck, abdo</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men, upper and lower extremities. The posture control system includes the central nervous system (corresponding segments of the spinal cord) and peripheral receptors in the muscles; posture control is carried out through the mus</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 xml:space="preserve">cular apparatus, thanks to tremor </w:t>
      </w:r>
      <w:r w:rsidR="00F44A75">
        <w:rPr>
          <w:rFonts w:eastAsia="Times New Roman" w:cs="Times New Roman"/>
          <w:iCs/>
          <w:sz w:val="24"/>
          <w:szCs w:val="24"/>
          <w:lang w:eastAsia="ru-RU"/>
        </w:rPr>
        <w:t>–</w:t>
      </w:r>
      <w:r w:rsidRPr="0002083A">
        <w:rPr>
          <w:rFonts w:eastAsia="Times New Roman" w:cs="Times New Roman"/>
          <w:iCs/>
          <w:sz w:val="24"/>
          <w:szCs w:val="24"/>
          <w:lang w:eastAsia="ru-RU"/>
        </w:rPr>
        <w:t xml:space="preserve"> a slight trembling of the muscles. Postures with a slight slope are more beneficial from the point of view of statics and biomechanics </w:t>
      </w:r>
      <w:r w:rsidR="00F44A75">
        <w:rPr>
          <w:rFonts w:eastAsia="Times New Roman" w:cs="Times New Roman"/>
          <w:iCs/>
          <w:sz w:val="24"/>
          <w:szCs w:val="24"/>
          <w:lang w:eastAsia="ru-RU"/>
        </w:rPr>
        <w:t>–</w:t>
      </w:r>
      <w:r w:rsidRPr="0002083A">
        <w:rPr>
          <w:rFonts w:eastAsia="Times New Roman" w:cs="Times New Roman"/>
          <w:iCs/>
          <w:sz w:val="24"/>
          <w:szCs w:val="24"/>
          <w:lang w:eastAsia="ru-RU"/>
        </w:rPr>
        <w:t xml:space="preserve"> less fluctu</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ation of the center of gravity. Additional motor units are involved in the work of large inclina</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tions, the pulse quickens and the amplitude of breathing decreases. Furthermore,</w:t>
      </w:r>
      <w:r w:rsidRPr="0002083A">
        <w:rPr>
          <w:rFonts w:eastAsia="Calibri" w:cs="Times New Roman"/>
          <w:sz w:val="24"/>
          <w:szCs w:val="24"/>
        </w:rPr>
        <w:t xml:space="preserve"> </w:t>
      </w:r>
      <w:r w:rsidRPr="0002083A">
        <w:rPr>
          <w:rFonts w:eastAsia="Times New Roman" w:cs="Times New Roman"/>
          <w:iCs/>
          <w:sz w:val="24"/>
          <w:szCs w:val="24"/>
          <w:lang w:eastAsia="ru-RU"/>
        </w:rPr>
        <w:t>visual dis</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turbances are possible, stagnation occurs in the bloodstream of the legs and small pelvis, com</w:t>
      </w:r>
      <w:r w:rsidR="00F73F3C">
        <w:rPr>
          <w:rFonts w:eastAsia="Times New Roman" w:cs="Times New Roman"/>
          <w:iCs/>
          <w:sz w:val="24"/>
          <w:szCs w:val="24"/>
          <w:lang w:eastAsia="ru-RU"/>
        </w:rPr>
        <w:softHyphen/>
      </w:r>
      <w:r w:rsidRPr="0002083A">
        <w:rPr>
          <w:rFonts w:eastAsia="Times New Roman" w:cs="Times New Roman"/>
          <w:iCs/>
          <w:sz w:val="24"/>
          <w:szCs w:val="24"/>
          <w:lang w:eastAsia="ru-RU"/>
        </w:rPr>
        <w:t>pression of the vertebral discs occurs.</w:t>
      </w:r>
    </w:p>
    <w:p w14:paraId="1F554AE0" w14:textId="028C6E0F"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Static stress is a significant part of the to</w:t>
      </w:r>
      <w:r w:rsidR="00F73F3C">
        <w:rPr>
          <w:rFonts w:eastAsia="Calibri" w:cs="Times New Roman"/>
          <w:sz w:val="24"/>
          <w:szCs w:val="24"/>
        </w:rPr>
        <w:softHyphen/>
      </w:r>
      <w:r w:rsidRPr="0002083A">
        <w:rPr>
          <w:rFonts w:eastAsia="Calibri" w:cs="Times New Roman"/>
          <w:sz w:val="24"/>
          <w:szCs w:val="24"/>
        </w:rPr>
        <w:t>tal school load of children. It occurs as a result of a forced immobile position of the body throughout most of the lesson. Pupils spend 4-6 hours at their desks in the lower grades and 8-10 hours in the upper grades. At the same time, static endurance in children and adoles</w:t>
      </w:r>
      <w:r w:rsidR="00F73F3C">
        <w:rPr>
          <w:rFonts w:eastAsia="Calibri" w:cs="Times New Roman"/>
          <w:sz w:val="24"/>
          <w:szCs w:val="24"/>
        </w:rPr>
        <w:softHyphen/>
      </w:r>
      <w:r w:rsidRPr="0002083A">
        <w:rPr>
          <w:rFonts w:eastAsia="Calibri" w:cs="Times New Roman"/>
          <w:sz w:val="24"/>
          <w:szCs w:val="24"/>
        </w:rPr>
        <w:t>cents is low, body fatigue develops relatively quickly, which is associated with the age-re</w:t>
      </w:r>
      <w:r w:rsidR="00F73F3C">
        <w:rPr>
          <w:rFonts w:eastAsia="Calibri" w:cs="Times New Roman"/>
          <w:sz w:val="24"/>
          <w:szCs w:val="24"/>
        </w:rPr>
        <w:softHyphen/>
      </w:r>
      <w:r w:rsidRPr="0002083A">
        <w:rPr>
          <w:rFonts w:eastAsia="Calibri" w:cs="Times New Roman"/>
          <w:sz w:val="24"/>
          <w:szCs w:val="24"/>
        </w:rPr>
        <w:t>lated characteristics of the motor analyzer. So, in first-graders after 5-7 minutes, and in sec</w:t>
      </w:r>
      <w:r w:rsidR="00F73F3C">
        <w:rPr>
          <w:rFonts w:eastAsia="Calibri" w:cs="Times New Roman"/>
          <w:sz w:val="24"/>
          <w:szCs w:val="24"/>
        </w:rPr>
        <w:softHyphen/>
      </w:r>
      <w:r w:rsidRPr="0002083A">
        <w:rPr>
          <w:rFonts w:eastAsia="Calibri" w:cs="Times New Roman"/>
          <w:sz w:val="24"/>
          <w:szCs w:val="24"/>
        </w:rPr>
        <w:t>ond-graders after 9-10 minutes, contracted muscles pass from a state of tension to a state of relaxation. Externally, this is manifested in a change in posture, motor anxiety.</w:t>
      </w:r>
    </w:p>
    <w:p w14:paraId="26262461" w14:textId="77777777" w:rsidR="0002083A" w:rsidRPr="0002083A" w:rsidRDefault="0002083A" w:rsidP="008475FD">
      <w:pPr>
        <w:spacing w:line="276" w:lineRule="auto"/>
        <w:ind w:firstLine="567"/>
        <w:jc w:val="both"/>
        <w:rPr>
          <w:rFonts w:eastAsia="Times New Roman" w:cs="Times New Roman"/>
          <w:sz w:val="24"/>
          <w:szCs w:val="24"/>
          <w:lang w:eastAsia="ru-RU"/>
        </w:rPr>
      </w:pPr>
      <w:r w:rsidRPr="0002083A">
        <w:rPr>
          <w:rFonts w:eastAsia="Calibri" w:cs="Times New Roman"/>
          <w:sz w:val="24"/>
          <w:szCs w:val="24"/>
        </w:rPr>
        <w:t xml:space="preserve">A large static load increases even more if the pupil sits behind furniture of an irregular design or that does not correspond to the length and proportions of the body. In these cases, the pupil also cannot maintain the correct working posture, as a result of which the posture is also disturbed. </w:t>
      </w:r>
      <w:r w:rsidRPr="0002083A">
        <w:rPr>
          <w:rFonts w:eastAsia="Times New Roman" w:cs="Times New Roman"/>
          <w:sz w:val="24"/>
          <w:szCs w:val="24"/>
          <w:lang w:eastAsia="ru-RU"/>
        </w:rPr>
        <w:t xml:space="preserve">Reducing static stress can be achieved by maintaining the correct working posture. It depends on the appropriate selection of furniture. </w:t>
      </w:r>
    </w:p>
    <w:p w14:paraId="204E6F23" w14:textId="5AB334DE" w:rsidR="0002083A" w:rsidRPr="0002083A" w:rsidRDefault="0002083A" w:rsidP="008475FD">
      <w:pPr>
        <w:spacing w:line="276" w:lineRule="auto"/>
        <w:ind w:firstLine="567"/>
        <w:jc w:val="both"/>
        <w:rPr>
          <w:rFonts w:eastAsia="Times New Roman" w:cs="Times New Roman"/>
          <w:sz w:val="24"/>
          <w:szCs w:val="24"/>
          <w:lang w:eastAsia="ru-RU"/>
        </w:rPr>
      </w:pPr>
      <w:r w:rsidRPr="0002083A">
        <w:rPr>
          <w:rFonts w:eastAsia="Times New Roman" w:cs="Times New Roman"/>
          <w:sz w:val="24"/>
          <w:szCs w:val="24"/>
          <w:lang w:eastAsia="ru-RU"/>
        </w:rPr>
        <w:t>Inconsistency of furniture with the growth of children, a change in the ratio be</w:t>
      </w:r>
      <w:r w:rsidR="00F73F3C">
        <w:rPr>
          <w:rFonts w:eastAsia="Times New Roman" w:cs="Times New Roman"/>
          <w:sz w:val="24"/>
          <w:szCs w:val="24"/>
          <w:lang w:eastAsia="ru-RU"/>
        </w:rPr>
        <w:softHyphen/>
      </w:r>
      <w:r w:rsidRPr="0002083A">
        <w:rPr>
          <w:rFonts w:eastAsia="Times New Roman" w:cs="Times New Roman"/>
          <w:sz w:val="24"/>
          <w:szCs w:val="24"/>
          <w:lang w:eastAsia="ru-RU"/>
        </w:rPr>
        <w:lastRenderedPageBreak/>
        <w:t>tween the table and the chair can lead to une</w:t>
      </w:r>
      <w:r w:rsidR="00F73F3C">
        <w:rPr>
          <w:rFonts w:eastAsia="Times New Roman" w:cs="Times New Roman"/>
          <w:sz w:val="24"/>
          <w:szCs w:val="24"/>
          <w:lang w:eastAsia="ru-RU"/>
        </w:rPr>
        <w:softHyphen/>
      </w:r>
      <w:r w:rsidRPr="0002083A">
        <w:rPr>
          <w:rFonts w:eastAsia="Times New Roman" w:cs="Times New Roman"/>
          <w:sz w:val="24"/>
          <w:szCs w:val="24"/>
          <w:lang w:eastAsia="ru-RU"/>
        </w:rPr>
        <w:t>ven loading and non-simultaneous fatigue of various muscle groups. There is a muscular asymmetry, which is one of the causes of vari</w:t>
      </w:r>
      <w:r w:rsidR="00F73F3C">
        <w:rPr>
          <w:rFonts w:eastAsia="Times New Roman" w:cs="Times New Roman"/>
          <w:sz w:val="24"/>
          <w:szCs w:val="24"/>
          <w:lang w:eastAsia="ru-RU"/>
        </w:rPr>
        <w:softHyphen/>
      </w:r>
      <w:r w:rsidRPr="0002083A">
        <w:rPr>
          <w:rFonts w:eastAsia="Times New Roman" w:cs="Times New Roman"/>
          <w:sz w:val="24"/>
          <w:szCs w:val="24"/>
          <w:lang w:eastAsia="ru-RU"/>
        </w:rPr>
        <w:t>ous kinds of posture disorders. Incorrect land</w:t>
      </w:r>
      <w:r w:rsidR="00F73F3C">
        <w:rPr>
          <w:rFonts w:eastAsia="Times New Roman" w:cs="Times New Roman"/>
          <w:sz w:val="24"/>
          <w:szCs w:val="24"/>
          <w:lang w:eastAsia="ru-RU"/>
        </w:rPr>
        <w:softHyphen/>
      </w:r>
      <w:r w:rsidRPr="0002083A">
        <w:rPr>
          <w:rFonts w:eastAsia="Times New Roman" w:cs="Times New Roman"/>
          <w:sz w:val="24"/>
          <w:szCs w:val="24"/>
          <w:lang w:eastAsia="ru-RU"/>
        </w:rPr>
        <w:t xml:space="preserve">ing causes faster fatigue of learners, a decrease in attention and performance. It contributes to the development of myopia as a result of non-observance of the optimal distance from the book to the eyes. </w:t>
      </w:r>
    </w:p>
    <w:p w14:paraId="7C0A59A5" w14:textId="048D1C6C" w:rsidR="0002083A" w:rsidRPr="0002083A" w:rsidRDefault="0002083A" w:rsidP="008475FD">
      <w:pPr>
        <w:spacing w:line="276" w:lineRule="auto"/>
        <w:ind w:firstLine="567"/>
        <w:jc w:val="both"/>
        <w:rPr>
          <w:rFonts w:eastAsia="Times New Roman" w:cs="Times New Roman"/>
          <w:sz w:val="24"/>
          <w:szCs w:val="24"/>
          <w:lang w:eastAsia="ru-RU"/>
        </w:rPr>
      </w:pPr>
      <w:r w:rsidRPr="0002083A">
        <w:rPr>
          <w:rFonts w:eastAsia="Times New Roman" w:cs="Times New Roman"/>
          <w:sz w:val="24"/>
          <w:szCs w:val="24"/>
          <w:lang w:eastAsia="ru-RU"/>
        </w:rPr>
        <w:t>The correct position is one in which the scholar sits straight with a slight lean forward. So, the notebook and the book are at a distance of 25-35 cm. Noticeably, the hand passes freely between the chest and the table, how</w:t>
      </w:r>
      <w:r w:rsidR="00F73F3C">
        <w:rPr>
          <w:rFonts w:eastAsia="Times New Roman" w:cs="Times New Roman"/>
          <w:sz w:val="24"/>
          <w:szCs w:val="24"/>
          <w:lang w:eastAsia="ru-RU"/>
        </w:rPr>
        <w:softHyphen/>
      </w:r>
      <w:r w:rsidRPr="0002083A">
        <w:rPr>
          <w:rFonts w:eastAsia="Times New Roman" w:cs="Times New Roman"/>
          <w:sz w:val="24"/>
          <w:szCs w:val="24"/>
          <w:lang w:eastAsia="ru-RU"/>
        </w:rPr>
        <w:t>ever, the back rests on the back of a chair or bench at the level of the waist. Thus, the legs are bent at the hip and knee joints at a right or obtuse angle and the entire foot rests on a stand or floor. Therefore, both hands lie freely on the table, shoulders are at the same height, parallel to the edge of the table. The organs of the chest and abdominal cavity are not constrained and breathing is free with proper fit. On this ac</w:t>
      </w:r>
      <w:r w:rsidR="00F73F3C">
        <w:rPr>
          <w:rFonts w:eastAsia="Times New Roman" w:cs="Times New Roman"/>
          <w:sz w:val="24"/>
          <w:szCs w:val="24"/>
          <w:lang w:eastAsia="ru-RU"/>
        </w:rPr>
        <w:softHyphen/>
      </w:r>
      <w:r w:rsidRPr="0002083A">
        <w:rPr>
          <w:rFonts w:eastAsia="Times New Roman" w:cs="Times New Roman"/>
          <w:sz w:val="24"/>
          <w:szCs w:val="24"/>
          <w:lang w:eastAsia="ru-RU"/>
        </w:rPr>
        <w:t>count, the load on the musculoskeletal system is minimal and vision is not strained.</w:t>
      </w:r>
    </w:p>
    <w:p w14:paraId="341DF72B" w14:textId="4DD05581" w:rsidR="0002083A" w:rsidRPr="0002083A" w:rsidRDefault="0002083A" w:rsidP="008475FD">
      <w:pPr>
        <w:spacing w:line="276" w:lineRule="auto"/>
        <w:ind w:firstLine="567"/>
        <w:jc w:val="both"/>
        <w:rPr>
          <w:rFonts w:eastAsia="Times New Roman" w:cs="Times New Roman"/>
          <w:sz w:val="24"/>
          <w:szCs w:val="24"/>
          <w:lang w:eastAsia="ru-RU"/>
        </w:rPr>
      </w:pPr>
      <w:r w:rsidRPr="0002083A">
        <w:rPr>
          <w:rFonts w:eastAsia="Times New Roman" w:cs="Times New Roman"/>
          <w:sz w:val="24"/>
          <w:szCs w:val="24"/>
          <w:lang w:eastAsia="ru-RU"/>
        </w:rPr>
        <w:t>Proper fit is possible if the furniture matches the height and size of the child</w:t>
      </w:r>
      <w:r w:rsidR="00F44A75">
        <w:rPr>
          <w:rFonts w:eastAsia="Times New Roman" w:cs="Times New Roman"/>
          <w:sz w:val="24"/>
          <w:szCs w:val="24"/>
          <w:lang w:eastAsia="ru-RU"/>
        </w:rPr>
        <w:t>’</w:t>
      </w:r>
      <w:r w:rsidRPr="0002083A">
        <w:rPr>
          <w:rFonts w:eastAsia="Times New Roman" w:cs="Times New Roman"/>
          <w:sz w:val="24"/>
          <w:szCs w:val="24"/>
          <w:lang w:eastAsia="ru-RU"/>
        </w:rPr>
        <w:t>s body. The height of the seat should correspond to the length of the lower leg together with the foot, with the addition of 1.5-2 cm to the height of the heel. It is necessary that the relief of the seat matches the shape of the thigh and but</w:t>
      </w:r>
      <w:r w:rsidR="00F73F3C">
        <w:rPr>
          <w:rFonts w:eastAsia="Times New Roman" w:cs="Times New Roman"/>
          <w:sz w:val="24"/>
          <w:szCs w:val="24"/>
          <w:lang w:eastAsia="ru-RU"/>
        </w:rPr>
        <w:softHyphen/>
      </w:r>
      <w:r w:rsidRPr="0002083A">
        <w:rPr>
          <w:rFonts w:eastAsia="Times New Roman" w:cs="Times New Roman"/>
          <w:sz w:val="24"/>
          <w:szCs w:val="24"/>
          <w:lang w:eastAsia="ru-RU"/>
        </w:rPr>
        <w:t>tocks, and the seat itself has a slight tilt back. The seat depth is within 1/2—3/4 of the thigh length, with a lower seat depth, the support area decreases. Correspondingly, landing be</w:t>
      </w:r>
      <w:r w:rsidR="00F73F3C">
        <w:rPr>
          <w:rFonts w:eastAsia="Times New Roman" w:cs="Times New Roman"/>
          <w:sz w:val="24"/>
          <w:szCs w:val="24"/>
          <w:lang w:eastAsia="ru-RU"/>
        </w:rPr>
        <w:softHyphen/>
      </w:r>
      <w:r w:rsidRPr="0002083A">
        <w:rPr>
          <w:rFonts w:eastAsia="Times New Roman" w:cs="Times New Roman"/>
          <w:sz w:val="24"/>
          <w:szCs w:val="24"/>
          <w:lang w:eastAsia="ru-RU"/>
        </w:rPr>
        <w:t>comes more tiring and less stable. At greater depths, the edge of the seat compresses the neurovascular bundle in the popliteal fossa.</w:t>
      </w:r>
    </w:p>
    <w:p w14:paraId="7C9FF992" w14:textId="5878373E"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Times New Roman" w:cs="Times New Roman"/>
          <w:sz w:val="24"/>
          <w:szCs w:val="24"/>
          <w:lang w:eastAsia="ru-RU"/>
        </w:rPr>
        <w:t xml:space="preserve">Correct seating is ensured by the rational design of the table and the ratio between the table and the seat. The inclined position of the table top facilitates the accommodation work of the eyes when writing and reading. With a </w:t>
      </w:r>
      <w:r w:rsidRPr="0002083A">
        <w:rPr>
          <w:rFonts w:eastAsia="Times New Roman" w:cs="Times New Roman"/>
          <w:sz w:val="24"/>
          <w:szCs w:val="24"/>
          <w:lang w:eastAsia="ru-RU"/>
        </w:rPr>
        <w:t>low table and a high chair, the pupil is forced to lean forward strongly and lean on the table. This leads to compression of the chest and ab</w:t>
      </w:r>
      <w:r w:rsidR="00F73F3C">
        <w:rPr>
          <w:rFonts w:eastAsia="Times New Roman" w:cs="Times New Roman"/>
          <w:sz w:val="24"/>
          <w:szCs w:val="24"/>
          <w:lang w:eastAsia="ru-RU"/>
        </w:rPr>
        <w:softHyphen/>
      </w:r>
      <w:r w:rsidRPr="0002083A">
        <w:rPr>
          <w:rFonts w:eastAsia="Times New Roman" w:cs="Times New Roman"/>
          <w:sz w:val="24"/>
          <w:szCs w:val="24"/>
          <w:lang w:eastAsia="ru-RU"/>
        </w:rPr>
        <w:t>dominal organs. The right shoulder drops, which contributes to the appearance of left-sided scoliosis. With a high table and a low chair, the right shoulder is raised, the muscles of the shoulder girdle are tense. This contrib</w:t>
      </w:r>
      <w:r w:rsidR="00F73F3C">
        <w:rPr>
          <w:rFonts w:eastAsia="Times New Roman" w:cs="Times New Roman"/>
          <w:sz w:val="24"/>
          <w:szCs w:val="24"/>
          <w:lang w:eastAsia="ru-RU"/>
        </w:rPr>
        <w:softHyphen/>
      </w:r>
      <w:r w:rsidRPr="0002083A">
        <w:rPr>
          <w:rFonts w:eastAsia="Times New Roman" w:cs="Times New Roman"/>
          <w:sz w:val="24"/>
          <w:szCs w:val="24"/>
          <w:lang w:eastAsia="ru-RU"/>
        </w:rPr>
        <w:t>utes to the formation of right-sided scoliosis.</w:t>
      </w:r>
      <w:r w:rsidRPr="0002083A">
        <w:rPr>
          <w:rFonts w:eastAsia="Calibri" w:cs="Times New Roman"/>
          <w:sz w:val="24"/>
          <w:szCs w:val="24"/>
        </w:rPr>
        <w:t xml:space="preserve"> </w:t>
      </w:r>
    </w:p>
    <w:p w14:paraId="203644C9" w14:textId="77777777" w:rsidR="0002083A" w:rsidRPr="0002083A" w:rsidRDefault="0002083A" w:rsidP="008475FD">
      <w:pPr>
        <w:autoSpaceDE w:val="0"/>
        <w:autoSpaceDN w:val="0"/>
        <w:adjustRightInd w:val="0"/>
        <w:spacing w:line="276" w:lineRule="auto"/>
        <w:ind w:firstLine="567"/>
        <w:jc w:val="both"/>
        <w:rPr>
          <w:rFonts w:eastAsia="Times New Roman" w:cs="Times New Roman"/>
          <w:sz w:val="24"/>
          <w:szCs w:val="24"/>
          <w:lang w:eastAsia="ru-RU"/>
        </w:rPr>
      </w:pPr>
      <w:r w:rsidRPr="0002083A">
        <w:rPr>
          <w:rFonts w:eastAsia="Times New Roman" w:cs="Times New Roman"/>
          <w:sz w:val="24"/>
          <w:szCs w:val="24"/>
          <w:lang w:eastAsia="ru-RU"/>
        </w:rPr>
        <w:t>Very often in children, scoliosis is also combined with kyphosis. And if scoliosis is a curvature in the lateral plane, then kyphosis is in the anterior. That is, in addition to the fact that the child develops an asymmetric posture, he also stoops.</w:t>
      </w:r>
    </w:p>
    <w:p w14:paraId="5CF9987A" w14:textId="11E5DCB3" w:rsidR="0002083A" w:rsidRPr="0002083A" w:rsidRDefault="0002083A" w:rsidP="008475FD">
      <w:pPr>
        <w:autoSpaceDE w:val="0"/>
        <w:autoSpaceDN w:val="0"/>
        <w:adjustRightInd w:val="0"/>
        <w:spacing w:line="276" w:lineRule="auto"/>
        <w:ind w:firstLine="567"/>
        <w:jc w:val="both"/>
        <w:rPr>
          <w:rFonts w:eastAsia="TimesNewRomanPSMT-Identity-H" w:cs="Times New Roman"/>
          <w:sz w:val="24"/>
          <w:szCs w:val="24"/>
        </w:rPr>
      </w:pPr>
      <w:r w:rsidRPr="0002083A">
        <w:rPr>
          <w:rFonts w:eastAsia="Calibri" w:cs="Times New Roman"/>
          <w:color w:val="202124"/>
          <w:sz w:val="24"/>
          <w:szCs w:val="24"/>
          <w:shd w:val="clear" w:color="auto" w:fill="FFFFFF"/>
        </w:rPr>
        <w:t>Scoliosis is a sideways curvature of the spine that most often is diagnosed in adoles</w:t>
      </w:r>
      <w:r w:rsidR="00F73F3C">
        <w:rPr>
          <w:rFonts w:eastAsia="Calibri" w:cs="Times New Roman"/>
          <w:color w:val="202124"/>
          <w:sz w:val="24"/>
          <w:szCs w:val="24"/>
          <w:shd w:val="clear" w:color="auto" w:fill="FFFFFF"/>
        </w:rPr>
        <w:softHyphen/>
      </w:r>
      <w:r w:rsidRPr="0002083A">
        <w:rPr>
          <w:rFonts w:eastAsia="Calibri" w:cs="Times New Roman"/>
          <w:color w:val="202124"/>
          <w:sz w:val="24"/>
          <w:szCs w:val="24"/>
          <w:shd w:val="clear" w:color="auto" w:fill="FFFFFF"/>
        </w:rPr>
        <w:t>cents. It can also be combined with kyphosis, though the conditions may be similar, they aren</w:t>
      </w:r>
      <w:r w:rsidR="00F44A75">
        <w:rPr>
          <w:rFonts w:eastAsia="Calibri" w:cs="Times New Roman"/>
          <w:color w:val="202124"/>
          <w:sz w:val="24"/>
          <w:szCs w:val="24"/>
          <w:shd w:val="clear" w:color="auto" w:fill="FFFFFF"/>
        </w:rPr>
        <w:t>’</w:t>
      </w:r>
      <w:r w:rsidRPr="0002083A">
        <w:rPr>
          <w:rFonts w:eastAsia="Calibri" w:cs="Times New Roman"/>
          <w:color w:val="202124"/>
          <w:sz w:val="24"/>
          <w:szCs w:val="24"/>
          <w:shd w:val="clear" w:color="auto" w:fill="FFFFFF"/>
        </w:rPr>
        <w:t>t exactly the same. Scoliosis is a sideways curve of your spine, kyphosis is more of a for</w:t>
      </w:r>
      <w:r w:rsidR="00F73F3C">
        <w:rPr>
          <w:rFonts w:eastAsia="Calibri" w:cs="Times New Roman"/>
          <w:color w:val="202124"/>
          <w:sz w:val="24"/>
          <w:szCs w:val="24"/>
          <w:shd w:val="clear" w:color="auto" w:fill="FFFFFF"/>
        </w:rPr>
        <w:softHyphen/>
      </w:r>
      <w:r w:rsidRPr="0002083A">
        <w:rPr>
          <w:rFonts w:eastAsia="Calibri" w:cs="Times New Roman"/>
          <w:color w:val="202124"/>
          <w:sz w:val="24"/>
          <w:szCs w:val="24"/>
          <w:shd w:val="clear" w:color="auto" w:fill="FFFFFF"/>
        </w:rPr>
        <w:t>ward rounding of the back, which leads to a hunchback or slouching posture.</w:t>
      </w:r>
    </w:p>
    <w:p w14:paraId="6E5B68C5" w14:textId="77777777" w:rsidR="0002083A" w:rsidRPr="0002083A" w:rsidRDefault="0002083A" w:rsidP="008475FD">
      <w:pPr>
        <w:autoSpaceDE w:val="0"/>
        <w:autoSpaceDN w:val="0"/>
        <w:adjustRightInd w:val="0"/>
        <w:spacing w:line="276" w:lineRule="auto"/>
        <w:ind w:firstLine="567"/>
        <w:jc w:val="both"/>
        <w:rPr>
          <w:rFonts w:eastAsia="TimesNewRomanPSMT-Identity-H" w:cs="Times New Roman"/>
          <w:sz w:val="24"/>
          <w:szCs w:val="24"/>
        </w:rPr>
      </w:pPr>
      <w:r w:rsidRPr="0002083A">
        <w:rPr>
          <w:rFonts w:eastAsia="TimesNewRomanPSMT-Identity-H" w:cs="Times New Roman"/>
          <w:sz w:val="24"/>
          <w:szCs w:val="24"/>
        </w:rPr>
        <w:t>Scoliosis refers to very common diseases of the musculoskeletal system of childhood and adolescence. Data on the prevalence of scoliosis are contradictory and range from 1% to 53% [1, 7].</w:t>
      </w:r>
    </w:p>
    <w:p w14:paraId="43CF2F59" w14:textId="4FB81587"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In connection with the above data, the or</w:t>
      </w:r>
      <w:r w:rsidR="00F73F3C">
        <w:rPr>
          <w:rFonts w:eastAsia="Calibri" w:cs="Times New Roman"/>
          <w:sz w:val="24"/>
          <w:szCs w:val="24"/>
        </w:rPr>
        <w:softHyphen/>
      </w:r>
      <w:r w:rsidRPr="0002083A">
        <w:rPr>
          <w:rFonts w:eastAsia="Calibri" w:cs="Times New Roman"/>
          <w:sz w:val="24"/>
          <w:szCs w:val="24"/>
        </w:rPr>
        <w:t>ganization of the workplace with the selection of school furniture has a huge impact on the health of schoolchildren.</w:t>
      </w:r>
    </w:p>
    <w:p w14:paraId="7E5844D1" w14:textId="1C47BCE6" w:rsidR="0002083A" w:rsidRPr="0002083A" w:rsidRDefault="0002083A" w:rsidP="008475FD">
      <w:pPr>
        <w:autoSpaceDE w:val="0"/>
        <w:autoSpaceDN w:val="0"/>
        <w:adjustRightInd w:val="0"/>
        <w:spacing w:line="276" w:lineRule="auto"/>
        <w:ind w:firstLine="567"/>
        <w:jc w:val="both"/>
        <w:rPr>
          <w:rFonts w:eastAsia="Calibri" w:cs="Times New Roman"/>
          <w:sz w:val="24"/>
          <w:szCs w:val="24"/>
        </w:rPr>
      </w:pPr>
      <w:r w:rsidRPr="0002083A">
        <w:rPr>
          <w:rFonts w:eastAsia="Calibri" w:cs="Times New Roman"/>
          <w:sz w:val="24"/>
          <w:szCs w:val="24"/>
        </w:rPr>
        <w:t>In conclusion, we emphasize that in or</w:t>
      </w:r>
      <w:r w:rsidR="00F73F3C">
        <w:rPr>
          <w:rFonts w:eastAsia="Calibri" w:cs="Times New Roman"/>
          <w:sz w:val="24"/>
          <w:szCs w:val="24"/>
        </w:rPr>
        <w:softHyphen/>
      </w:r>
      <w:r w:rsidRPr="0002083A">
        <w:rPr>
          <w:rFonts w:eastAsia="Calibri" w:cs="Times New Roman"/>
          <w:sz w:val="24"/>
          <w:szCs w:val="24"/>
        </w:rPr>
        <w:t>der to maintain the correct posture of school</w:t>
      </w:r>
      <w:r w:rsidR="00F73F3C">
        <w:rPr>
          <w:rFonts w:eastAsia="Calibri" w:cs="Times New Roman"/>
          <w:sz w:val="24"/>
          <w:szCs w:val="24"/>
        </w:rPr>
        <w:softHyphen/>
      </w:r>
      <w:r w:rsidRPr="0002083A">
        <w:rPr>
          <w:rFonts w:eastAsia="Calibri" w:cs="Times New Roman"/>
          <w:sz w:val="24"/>
          <w:szCs w:val="24"/>
        </w:rPr>
        <w:t>children, it is necessary to select appropriate furniture for the growth of children, carry out the correct seating of pupils and monitor the maintenance of the correct working posture, and to reduce static stress, it is necessary to or</w:t>
      </w:r>
      <w:r w:rsidR="00F73F3C">
        <w:rPr>
          <w:rFonts w:eastAsia="Calibri" w:cs="Times New Roman"/>
          <w:sz w:val="24"/>
          <w:szCs w:val="24"/>
        </w:rPr>
        <w:softHyphen/>
      </w:r>
      <w:r w:rsidRPr="0002083A">
        <w:rPr>
          <w:rFonts w:eastAsia="Calibri" w:cs="Times New Roman"/>
          <w:sz w:val="24"/>
          <w:szCs w:val="24"/>
        </w:rPr>
        <w:t>ganize physical education breaks.</w:t>
      </w:r>
    </w:p>
    <w:p w14:paraId="034F8471" w14:textId="77777777" w:rsidR="00CD3673" w:rsidRDefault="00CD3673" w:rsidP="00F73F3C">
      <w:pPr>
        <w:spacing w:line="276" w:lineRule="auto"/>
        <w:jc w:val="center"/>
        <w:rPr>
          <w:rFonts w:eastAsia="Calibri" w:cs="Times New Roman"/>
          <w:b/>
          <w:sz w:val="24"/>
          <w:szCs w:val="24"/>
        </w:rPr>
      </w:pPr>
    </w:p>
    <w:p w14:paraId="2699E004" w14:textId="105E0E19" w:rsidR="0002083A" w:rsidRDefault="00F73F3C" w:rsidP="00F73F3C">
      <w:pPr>
        <w:spacing w:line="276" w:lineRule="auto"/>
        <w:jc w:val="center"/>
        <w:rPr>
          <w:rFonts w:eastAsia="Calibri" w:cs="Times New Roman"/>
          <w:b/>
          <w:sz w:val="24"/>
          <w:szCs w:val="24"/>
        </w:rPr>
      </w:pPr>
      <w:r w:rsidRPr="0002083A">
        <w:rPr>
          <w:rFonts w:eastAsia="Calibri" w:cs="Times New Roman"/>
          <w:b/>
          <w:sz w:val="24"/>
          <w:szCs w:val="24"/>
        </w:rPr>
        <w:t>REFERENCES</w:t>
      </w:r>
    </w:p>
    <w:p w14:paraId="4FFCFFF8" w14:textId="77777777" w:rsidR="00F73F3C" w:rsidRPr="0002083A" w:rsidRDefault="00F73F3C" w:rsidP="00F73F3C">
      <w:pPr>
        <w:spacing w:line="276" w:lineRule="auto"/>
        <w:jc w:val="center"/>
        <w:rPr>
          <w:rFonts w:eastAsia="Calibri" w:cs="Times New Roman"/>
          <w:b/>
          <w:sz w:val="24"/>
          <w:szCs w:val="24"/>
        </w:rPr>
      </w:pPr>
    </w:p>
    <w:p w14:paraId="09D349CC" w14:textId="0D431C83"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 xml:space="preserve">1. Abalmasova E.A., Khodzhaev R.P. Scoliosis.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Tashkent, 1995.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200 p.</w:t>
      </w:r>
    </w:p>
    <w:p w14:paraId="09C2D707" w14:textId="1996C54E"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lastRenderedPageBreak/>
        <w:t xml:space="preserve">2. Avertisyan L.P. Study of the influence of increased study load on the health status of students /L.R. Avertisyan, S.G. Kocharova // Hygiene and sanitation.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2001.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No. 6.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S. 48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49.</w:t>
      </w:r>
    </w:p>
    <w:p w14:paraId="12BFD8B3" w14:textId="77777777"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3. Baranov A.A. The state of health of children and adolescents in modern conditions: Problems and solutions //Ros. pediatrician, journal-1998. -No. 1. -S. 5-8.</w:t>
      </w:r>
    </w:p>
    <w:p w14:paraId="64E9047F" w14:textId="6E303277"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4. Baranov A.A., Kuchma V.R., Sukha</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reva L.M. Evaluation of the health of children and adolescents during preventive examina</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tions (guidelines for doctors). M.: Dynasty, 2004.-168 p.</w:t>
      </w:r>
    </w:p>
    <w:p w14:paraId="5A5E6230" w14:textId="1C74DA95"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5. Baranov A.A., Kuchma V.R., Tutelyan V.A., Velichkovsky B.T. New possi</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 xml:space="preserve">bilities of preventive medicine in solving the health problems of children and adolescents in Russia. M.: Publishing group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GEOTAR-Me</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dia</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2006. -118 p.</w:t>
      </w:r>
    </w:p>
    <w:p w14:paraId="71E9B469" w14:textId="6C5C63B2"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6. Baranov A.A., Scheplyagina T.A. Physiology of growth and development of chil</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 xml:space="preserve">dren and adolescents (theoretical and clinical issues). M., 2000.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584 p.</w:t>
      </w:r>
    </w:p>
    <w:p w14:paraId="2DBB0C58" w14:textId="664F48B6"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7. Batrshin I. T. The structure of posture disorders in schoolchildren // Genius of Ortho</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pedics. Nizhnevartovsk, 2010, No. 3, pp. 60–64.</w:t>
      </w:r>
    </w:p>
    <w:p w14:paraId="7BD54A88" w14:textId="7E67DF5E"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8. Bogomolova E.S., Kuzmichev Yu.G., Chekalova S.A. Assessment of the physical de</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velopment of children and adolescents using standards of different territorial levels // Pro</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ceedings of the X All-Russian Congress of Hy</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 xml:space="preserve">gienists and Sanitary Doctors. M., 2007.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S. 474-478.</w:t>
      </w:r>
    </w:p>
    <w:p w14:paraId="409936F2" w14:textId="7F5C4062"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 xml:space="preserve">9. Kalinchenko E.I. Characteristics of the organization of the educational process in the lower grades of the gymnasium // Health and education of the child: Proceedings. doc. I All-Russian scientific-practical. conf. Perm: GOU VPO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PGMA of the Ministry of Health of Rus</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sia</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2002. -S. 30-31.</w:t>
      </w:r>
    </w:p>
    <w:p w14:paraId="50DDBF59" w14:textId="77777777"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10. Kashin, A.D. Scoliosis and posture disorder / A.D. Kashin // Minsk: NM Center, 1998. -240 p.</w:t>
      </w:r>
    </w:p>
    <w:p w14:paraId="6602A693" w14:textId="5817C587"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11. Kashin A. D. Scoliosis and posture disorders: therapeutic culture in the system of medical rehabilitation: educational method. manual for doctors and instructors of physio</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therapy exercises. Minsk, 2000. 240 p.</w:t>
      </w:r>
    </w:p>
    <w:p w14:paraId="0EBD4F2A" w14:textId="448294E9"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12. Kuznetsova N.N., Nepomilueva O.P. Dependence of the growth of functional disor</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ders during the period of study on the organi</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zation of the workplace of schoolchildren / Ed</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ucation and upbringing of children and adoles</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cents: hygiene problems. -M., 2002. -p. 155-157</w:t>
      </w:r>
    </w:p>
    <w:p w14:paraId="0F92B81B" w14:textId="77777777"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13. Kuchma V.R. Theory and practice of hygiene for children and adolescents at the turn of the millennium. M.: NTsZD RAMN, 2001. -376 p.</w:t>
      </w:r>
    </w:p>
    <w:p w14:paraId="0AAD9FFB" w14:textId="1A819E6A"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 xml:space="preserve">14. Sidorenko G.I. The role of social and hygienic factors in the development of diseases among the population / G.I. Sidorenko, E.N. Kutepov // Hygiene and sanitation. No. 1997.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No. 1.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S. 3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6.</w:t>
      </w:r>
    </w:p>
    <w:p w14:paraId="41DF0E31" w14:textId="191A61D2"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15. Sukharev A.G. Posture as an indica</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tor of the state of health of children / Diagno</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sis, prevention and correction of disorders of the musculoskeletal system in children and ad</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olescents: Proceedings of the All-Russian Con</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ference with international participation. Mos</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 xml:space="preserve">cow, 2002.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p. 180-181.</w:t>
      </w:r>
    </w:p>
    <w:p w14:paraId="25303582" w14:textId="697B752E" w:rsidR="00CD3673" w:rsidRPr="00CD3673" w:rsidRDefault="00CD3673" w:rsidP="00CD3673">
      <w:pPr>
        <w:spacing w:line="276" w:lineRule="auto"/>
        <w:ind w:firstLine="567"/>
        <w:jc w:val="both"/>
        <w:rPr>
          <w:rFonts w:eastAsia="TimesNewRomanPSMT-Identity-H" w:cs="Times New Roman"/>
          <w:sz w:val="24"/>
          <w:szCs w:val="24"/>
          <w:lang w:eastAsia="ru-RU"/>
        </w:rPr>
      </w:pPr>
      <w:r w:rsidRPr="00CD3673">
        <w:rPr>
          <w:rFonts w:eastAsia="TimesNewRomanPSMT-Identity-H" w:cs="Times New Roman"/>
          <w:sz w:val="24"/>
          <w:szCs w:val="24"/>
          <w:lang w:eastAsia="ru-RU"/>
        </w:rPr>
        <w:t>16. Khramtsov P.I. Modern school furni</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ture: hygienic aspects / Materials of the All-Russian Conference with international partici</w:t>
      </w:r>
      <w:r>
        <w:rPr>
          <w:rFonts w:eastAsia="TimesNewRomanPSMT-Identity-H" w:cs="Times New Roman"/>
          <w:sz w:val="24"/>
          <w:szCs w:val="24"/>
          <w:lang w:eastAsia="ru-RU"/>
        </w:rPr>
        <w:softHyphen/>
      </w:r>
      <w:r w:rsidRPr="00CD3673">
        <w:rPr>
          <w:rFonts w:eastAsia="TimesNewRomanPSMT-Identity-H" w:cs="Times New Roman"/>
          <w:sz w:val="24"/>
          <w:szCs w:val="24"/>
          <w:lang w:eastAsia="ru-RU"/>
        </w:rPr>
        <w:t xml:space="preserve">pation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Healthy educational environment for a healthy child</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Ar-khangelsk, 2003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p. 326-328</w:t>
      </w:r>
    </w:p>
    <w:p w14:paraId="034F2F2E" w14:textId="072B9AF2" w:rsidR="00F73F3C" w:rsidRPr="00D27CEF" w:rsidRDefault="00CD3673" w:rsidP="00CD3673">
      <w:pPr>
        <w:spacing w:line="276" w:lineRule="auto"/>
        <w:ind w:firstLine="567"/>
        <w:jc w:val="both"/>
        <w:rPr>
          <w:rFonts w:eastAsia="Times New Roman" w:cs="Times New Roman"/>
          <w:sz w:val="24"/>
          <w:szCs w:val="24"/>
          <w:lang w:eastAsia="ru-RU"/>
        </w:rPr>
        <w:sectPr w:rsidR="00F73F3C" w:rsidRPr="00D27CEF" w:rsidSect="00F73F3C">
          <w:type w:val="continuous"/>
          <w:pgSz w:w="11907" w:h="16840" w:code="9"/>
          <w:pgMar w:top="1418" w:right="1134" w:bottom="1134" w:left="1134" w:header="907" w:footer="794" w:gutter="0"/>
          <w:cols w:num="2" w:space="708"/>
          <w:docGrid w:linePitch="381"/>
        </w:sectPr>
      </w:pPr>
      <w:r w:rsidRPr="00CD3673">
        <w:rPr>
          <w:rFonts w:eastAsia="TimesNewRomanPSMT-Identity-H" w:cs="Times New Roman"/>
          <w:sz w:val="24"/>
          <w:szCs w:val="24"/>
          <w:lang w:eastAsia="ru-RU"/>
        </w:rPr>
        <w:t xml:space="preserve">17. Khramtsov P.I., Sotnikova E.N. School furniture and variable approaches to its use / Health, education, upbringing of children and youth in the XXI century: Proceedings of the international congress.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Moscow, 2004. Part III </w:t>
      </w:r>
      <w:r w:rsidR="00F44A75">
        <w:rPr>
          <w:rFonts w:eastAsia="TimesNewRomanPSMT-Identity-H" w:cs="Times New Roman"/>
          <w:sz w:val="24"/>
          <w:szCs w:val="24"/>
          <w:lang w:eastAsia="ru-RU"/>
        </w:rPr>
        <w:t>–</w:t>
      </w:r>
      <w:r w:rsidRPr="00CD3673">
        <w:rPr>
          <w:rFonts w:eastAsia="TimesNewRomanPSMT-Identity-H" w:cs="Times New Roman"/>
          <w:sz w:val="24"/>
          <w:szCs w:val="24"/>
          <w:lang w:eastAsia="ru-RU"/>
        </w:rPr>
        <w:t xml:space="preserve"> p. 281-282.</w:t>
      </w:r>
    </w:p>
    <w:p w14:paraId="06FD5399" w14:textId="59EDAB0B" w:rsidR="0002083A" w:rsidRPr="00D27CEF" w:rsidRDefault="0002083A" w:rsidP="008475FD">
      <w:pPr>
        <w:spacing w:line="276" w:lineRule="auto"/>
        <w:ind w:firstLine="567"/>
        <w:jc w:val="both"/>
        <w:rPr>
          <w:rFonts w:eastAsia="Times New Roman" w:cs="Times New Roman"/>
          <w:sz w:val="24"/>
          <w:szCs w:val="24"/>
          <w:lang w:eastAsia="ru-RU"/>
        </w:rPr>
      </w:pPr>
    </w:p>
    <w:p w14:paraId="0DC7ACA0" w14:textId="4036319E" w:rsidR="0041095B" w:rsidRPr="00D27CEF" w:rsidRDefault="0041095B" w:rsidP="008475FD">
      <w:pPr>
        <w:spacing w:line="276" w:lineRule="auto"/>
        <w:ind w:firstLine="567"/>
        <w:jc w:val="both"/>
        <w:rPr>
          <w:rFonts w:eastAsia="Times New Roman" w:cs="Times New Roman"/>
          <w:sz w:val="24"/>
          <w:szCs w:val="24"/>
          <w:lang w:eastAsia="ru-RU"/>
        </w:rPr>
      </w:pPr>
    </w:p>
    <w:p w14:paraId="44856F53" w14:textId="433D3A82" w:rsidR="00F73F3C" w:rsidRPr="0060464D" w:rsidRDefault="00F73F3C" w:rsidP="008475FD">
      <w:pPr>
        <w:spacing w:line="276" w:lineRule="auto"/>
        <w:ind w:firstLine="567"/>
        <w:jc w:val="both"/>
        <w:rPr>
          <w:rFonts w:eastAsia="TimesNewRomanPSMT-Identity-H" w:cs="Times New Roman"/>
          <w:sz w:val="24"/>
          <w:szCs w:val="24"/>
          <w:lang w:eastAsia="ru-RU"/>
        </w:rPr>
        <w:sectPr w:rsidR="00F73F3C" w:rsidRPr="0060464D" w:rsidSect="00F73F3C">
          <w:type w:val="continuous"/>
          <w:pgSz w:w="11907" w:h="16840" w:code="9"/>
          <w:pgMar w:top="1418" w:right="1134" w:bottom="1134" w:left="1134" w:header="907" w:footer="794" w:gutter="0"/>
          <w:cols w:num="2" w:space="708"/>
          <w:docGrid w:linePitch="381"/>
        </w:sectPr>
      </w:pPr>
    </w:p>
    <w:p w14:paraId="3F07B777" w14:textId="77777777" w:rsidR="0002083A" w:rsidRPr="0002083A" w:rsidRDefault="0002083A" w:rsidP="008475FD">
      <w:pPr>
        <w:spacing w:line="276" w:lineRule="auto"/>
        <w:ind w:firstLine="567"/>
        <w:jc w:val="both"/>
        <w:rPr>
          <w:rFonts w:eastAsia="TimesNewRomanPSMT-Identity-H" w:cs="Times New Roman"/>
          <w:sz w:val="24"/>
          <w:szCs w:val="24"/>
          <w:lang w:eastAsia="ru-RU"/>
        </w:rPr>
      </w:pPr>
    </w:p>
    <w:p w14:paraId="6EDA04BB" w14:textId="5F1FD94F" w:rsidR="0060464D" w:rsidRPr="00EC7FF5" w:rsidRDefault="0060464D" w:rsidP="00752EAA">
      <w:pPr>
        <w:pStyle w:val="1"/>
      </w:pPr>
      <w:bookmarkStart w:id="18" w:name="_Toc104745739"/>
      <w:r w:rsidRPr="00EC7FF5">
        <w:lastRenderedPageBreak/>
        <w:t>DISEASES OF MODERN CITIES AND POPULATION</w:t>
      </w:r>
      <w:bookmarkEnd w:id="18"/>
    </w:p>
    <w:p w14:paraId="3CF471AB" w14:textId="77777777" w:rsidR="0060464D" w:rsidRPr="0097118A" w:rsidRDefault="0060464D" w:rsidP="00FF1068">
      <w:pPr>
        <w:spacing w:line="300" w:lineRule="auto"/>
        <w:ind w:firstLine="567"/>
        <w:jc w:val="both"/>
        <w:rPr>
          <w:rFonts w:cs="Times New Roman"/>
          <w:sz w:val="24"/>
          <w:szCs w:val="24"/>
          <w:lang w:val="uz-Cyrl-UZ"/>
        </w:rPr>
      </w:pPr>
    </w:p>
    <w:p w14:paraId="52024B73" w14:textId="77777777" w:rsidR="0060464D" w:rsidRPr="00EC7FF5" w:rsidRDefault="0060464D" w:rsidP="00FF1068">
      <w:pPr>
        <w:tabs>
          <w:tab w:val="left" w:pos="90"/>
        </w:tabs>
        <w:spacing w:line="300" w:lineRule="auto"/>
        <w:jc w:val="center"/>
        <w:rPr>
          <w:rFonts w:cs="Times New Roman"/>
          <w:b/>
          <w:bCs/>
          <w:sz w:val="24"/>
          <w:szCs w:val="24"/>
          <w:lang w:val="uz-Cyrl-UZ"/>
        </w:rPr>
      </w:pPr>
      <w:r w:rsidRPr="00EC7FF5">
        <w:rPr>
          <w:rFonts w:cs="Times New Roman"/>
          <w:b/>
          <w:bCs/>
          <w:sz w:val="24"/>
          <w:szCs w:val="24"/>
          <w:lang w:val="uz-Cyrl-UZ"/>
        </w:rPr>
        <w:t>Sadullayeva Khosiyat Abdurakhmonovna,</w:t>
      </w:r>
      <w:r w:rsidRPr="0097118A">
        <w:rPr>
          <w:rFonts w:cs="Times New Roman"/>
          <w:b/>
          <w:bCs/>
          <w:sz w:val="24"/>
          <w:szCs w:val="24"/>
          <w:vertAlign w:val="superscript"/>
          <w:lang w:val="uz-Cyrl-UZ"/>
        </w:rPr>
        <w:t xml:space="preserve"> </w:t>
      </w:r>
      <w:r w:rsidRPr="0097118A">
        <w:rPr>
          <w:rFonts w:cs="Times New Roman"/>
          <w:b/>
          <w:bCs/>
          <w:sz w:val="24"/>
          <w:szCs w:val="24"/>
          <w:lang w:val="uz-Cyrl-UZ"/>
        </w:rPr>
        <w:t xml:space="preserve">associate professor </w:t>
      </w:r>
      <w:r w:rsidRPr="00EC7FF5">
        <w:rPr>
          <w:rFonts w:cs="Times New Roman"/>
          <w:b/>
          <w:bCs/>
          <w:sz w:val="24"/>
          <w:szCs w:val="24"/>
          <w:lang w:val="uz-Cyrl-UZ"/>
        </w:rPr>
        <w:t>(PhD)</w:t>
      </w:r>
    </w:p>
    <w:p w14:paraId="3D156327" w14:textId="702FCC0F" w:rsidR="0060464D" w:rsidRDefault="0060464D" w:rsidP="00FF1068">
      <w:pPr>
        <w:tabs>
          <w:tab w:val="left" w:pos="90"/>
        </w:tabs>
        <w:spacing w:line="300" w:lineRule="auto"/>
        <w:jc w:val="center"/>
        <w:rPr>
          <w:rFonts w:cs="Times New Roman"/>
          <w:b/>
          <w:bCs/>
          <w:sz w:val="24"/>
          <w:szCs w:val="24"/>
          <w:lang w:val="it-IT"/>
        </w:rPr>
      </w:pPr>
      <w:r w:rsidRPr="00EC7FF5">
        <w:rPr>
          <w:rFonts w:cs="Times New Roman"/>
          <w:b/>
          <w:bCs/>
          <w:sz w:val="24"/>
          <w:szCs w:val="24"/>
          <w:lang w:val="uz-Cyrl-UZ"/>
        </w:rPr>
        <w:t>Salomova Feruza Ibodullayevna</w:t>
      </w:r>
      <w:r w:rsidRPr="0097118A">
        <w:rPr>
          <w:rFonts w:cs="Times New Roman"/>
          <w:b/>
          <w:bCs/>
          <w:sz w:val="24"/>
          <w:szCs w:val="24"/>
          <w:lang w:val="uz-Cyrl-UZ"/>
        </w:rPr>
        <w:t xml:space="preserve">, аssociate </w:t>
      </w:r>
      <w:r w:rsidRPr="0097118A">
        <w:rPr>
          <w:rFonts w:cs="Times New Roman"/>
          <w:b/>
          <w:bCs/>
          <w:sz w:val="24"/>
          <w:szCs w:val="24"/>
          <w:lang w:val="it-IT"/>
        </w:rPr>
        <w:t xml:space="preserve">professor </w:t>
      </w:r>
      <w:r w:rsidRPr="00EC7FF5">
        <w:rPr>
          <w:rFonts w:cs="Times New Roman"/>
          <w:b/>
          <w:bCs/>
          <w:sz w:val="24"/>
          <w:szCs w:val="24"/>
          <w:lang w:val="it-IT"/>
        </w:rPr>
        <w:t>(DSc)</w:t>
      </w:r>
    </w:p>
    <w:p w14:paraId="403D6511" w14:textId="77777777" w:rsidR="00FF1068" w:rsidRPr="00FF1068" w:rsidRDefault="00FF1068" w:rsidP="00FF1068">
      <w:pPr>
        <w:spacing w:line="300" w:lineRule="auto"/>
        <w:jc w:val="center"/>
        <w:rPr>
          <w:rFonts w:cs="Times New Roman"/>
          <w:sz w:val="24"/>
          <w:szCs w:val="24"/>
        </w:rPr>
      </w:pPr>
      <w:r w:rsidRPr="00EC7FF5">
        <w:rPr>
          <w:rFonts w:cs="Times New Roman"/>
          <w:sz w:val="24"/>
          <w:szCs w:val="24"/>
        </w:rPr>
        <w:t xml:space="preserve">Department of environmental hygiene </w:t>
      </w:r>
    </w:p>
    <w:p w14:paraId="450A948D" w14:textId="682B6F53" w:rsidR="00FF1068" w:rsidRPr="00EC7FF5" w:rsidRDefault="00FF1068" w:rsidP="00FF1068">
      <w:pPr>
        <w:spacing w:line="300" w:lineRule="auto"/>
        <w:jc w:val="center"/>
        <w:rPr>
          <w:rFonts w:cs="Times New Roman"/>
          <w:sz w:val="24"/>
          <w:szCs w:val="24"/>
        </w:rPr>
      </w:pPr>
      <w:r w:rsidRPr="00EC7FF5">
        <w:rPr>
          <w:rFonts w:cs="Times New Roman"/>
          <w:sz w:val="24"/>
          <w:szCs w:val="24"/>
        </w:rPr>
        <w:t xml:space="preserve">Tashkent Medical Academy, </w:t>
      </w:r>
      <w:r w:rsidRPr="00FF1068">
        <w:rPr>
          <w:rFonts w:cs="Times New Roman"/>
          <w:sz w:val="24"/>
          <w:szCs w:val="24"/>
        </w:rPr>
        <w:t>Tashkent, Uzbekistan</w:t>
      </w:r>
    </w:p>
    <w:p w14:paraId="74B45415" w14:textId="77777777" w:rsidR="00FF1068" w:rsidRPr="00EC7FF5" w:rsidRDefault="00FF1068" w:rsidP="00FF1068">
      <w:pPr>
        <w:tabs>
          <w:tab w:val="left" w:pos="90"/>
        </w:tabs>
        <w:spacing w:line="300" w:lineRule="auto"/>
        <w:jc w:val="center"/>
        <w:rPr>
          <w:rFonts w:cs="Times New Roman"/>
          <w:b/>
          <w:bCs/>
          <w:sz w:val="24"/>
          <w:szCs w:val="24"/>
          <w:vertAlign w:val="superscript"/>
        </w:rPr>
      </w:pPr>
    </w:p>
    <w:p w14:paraId="544AE1B7" w14:textId="77777777" w:rsidR="0060464D" w:rsidRPr="00EC7FF5" w:rsidRDefault="0060464D" w:rsidP="00FF1068">
      <w:pPr>
        <w:spacing w:line="300" w:lineRule="auto"/>
        <w:ind w:firstLine="567"/>
        <w:jc w:val="both"/>
        <w:rPr>
          <w:rFonts w:cs="Times New Roman"/>
          <w:i/>
          <w:iCs/>
          <w:sz w:val="24"/>
          <w:szCs w:val="24"/>
        </w:rPr>
      </w:pPr>
      <w:r w:rsidRPr="00EC7FF5">
        <w:rPr>
          <w:rFonts w:eastAsia="Times New Roman" w:cs="Times New Roman"/>
          <w:b/>
          <w:bCs/>
          <w:i/>
          <w:iCs/>
          <w:sz w:val="24"/>
          <w:szCs w:val="24"/>
          <w:lang w:eastAsia="ru-RU"/>
        </w:rPr>
        <w:t>Abstract</w:t>
      </w:r>
      <w:r w:rsidRPr="0097118A">
        <w:rPr>
          <w:rFonts w:eastAsia="Times New Roman" w:cs="Times New Roman"/>
          <w:b/>
          <w:bCs/>
          <w:i/>
          <w:iCs/>
          <w:sz w:val="24"/>
          <w:szCs w:val="24"/>
          <w:lang w:eastAsia="ru-RU"/>
        </w:rPr>
        <w:t xml:space="preserve">. </w:t>
      </w:r>
      <w:r w:rsidRPr="00EC7FF5">
        <w:rPr>
          <w:rFonts w:cs="Times New Roman"/>
          <w:i/>
          <w:iCs/>
          <w:sz w:val="24"/>
          <w:szCs w:val="24"/>
        </w:rPr>
        <w:t>At present, the number of cities in the world is growing, and this process has been going on since the industrial revolution of the XVIII century. According to the calculations of the United Nations, 3,9 billion people live in urban centers. However, the rate of urbanization is not the same in different countries, and developed countries are already an indicator of cities, but it is expected that the urban population will increase in Asia and Africa in the next 30 years. Urbanization brings many challenges to the epidemiology of Health and Infectious Diseases on a global scale. New megapolises can become incubators of new epidemics, and Zoonoses can spread more quickly and threaten the whole world. Rational planning and epidemic control of cities can be powerful tools to improve health globally and reduce the burden of infectious diseases.</w:t>
      </w:r>
    </w:p>
    <w:p w14:paraId="3AC0BA8E" w14:textId="57C21A19" w:rsidR="0060464D" w:rsidRDefault="0060464D" w:rsidP="00FF1068">
      <w:pPr>
        <w:spacing w:line="300" w:lineRule="auto"/>
        <w:ind w:firstLine="567"/>
        <w:rPr>
          <w:rFonts w:cs="Times New Roman"/>
          <w:b/>
          <w:sz w:val="24"/>
          <w:szCs w:val="24"/>
          <w:lang w:val="uz-Cyrl-UZ"/>
        </w:rPr>
      </w:pPr>
      <w:r w:rsidRPr="00EC7FF5">
        <w:rPr>
          <w:rFonts w:cs="Times New Roman"/>
          <w:b/>
          <w:bCs/>
          <w:i/>
          <w:iCs/>
          <w:sz w:val="24"/>
          <w:szCs w:val="24"/>
        </w:rPr>
        <w:t>Key words:</w:t>
      </w:r>
      <w:r w:rsidRPr="00EC7FF5">
        <w:rPr>
          <w:rFonts w:cs="Times New Roman"/>
          <w:i/>
          <w:iCs/>
          <w:sz w:val="24"/>
          <w:szCs w:val="24"/>
        </w:rPr>
        <w:t xml:space="preserve"> cities, urbanization, diseases, infectious diseases caused by it.</w:t>
      </w:r>
    </w:p>
    <w:p w14:paraId="36FEFA6D" w14:textId="77777777" w:rsidR="0060464D" w:rsidRDefault="0060464D" w:rsidP="00FF1068">
      <w:pPr>
        <w:spacing w:line="300" w:lineRule="auto"/>
        <w:jc w:val="center"/>
        <w:rPr>
          <w:rFonts w:cs="Times New Roman"/>
          <w:b/>
          <w:sz w:val="24"/>
          <w:szCs w:val="24"/>
          <w:lang w:val="uz-Cyrl-UZ"/>
        </w:rPr>
      </w:pPr>
    </w:p>
    <w:p w14:paraId="01687106" w14:textId="77777777" w:rsidR="0060464D" w:rsidRDefault="0060464D" w:rsidP="00FF1068">
      <w:pPr>
        <w:spacing w:line="300" w:lineRule="auto"/>
        <w:jc w:val="center"/>
        <w:rPr>
          <w:rFonts w:cs="Times New Roman"/>
          <w:b/>
          <w:sz w:val="24"/>
          <w:szCs w:val="24"/>
          <w:lang w:val="uz-Cyrl-UZ"/>
        </w:rPr>
      </w:pPr>
    </w:p>
    <w:p w14:paraId="1A555B88" w14:textId="4C700B25" w:rsidR="00EC7FF5" w:rsidRDefault="00EC7FF5" w:rsidP="00FF1068">
      <w:pPr>
        <w:spacing w:line="300" w:lineRule="auto"/>
        <w:jc w:val="center"/>
        <w:rPr>
          <w:rFonts w:cs="Times New Roman"/>
          <w:b/>
          <w:sz w:val="24"/>
          <w:szCs w:val="24"/>
          <w:lang w:val="uz-Cyrl-UZ"/>
        </w:rPr>
      </w:pPr>
      <w:r w:rsidRPr="00EC7FF5">
        <w:rPr>
          <w:rFonts w:cs="Times New Roman"/>
          <w:b/>
          <w:sz w:val="24"/>
          <w:szCs w:val="24"/>
          <w:lang w:val="uz-Cyrl-UZ"/>
        </w:rPr>
        <w:t xml:space="preserve">ЗАМОНАВИЙ </w:t>
      </w:r>
      <w:r w:rsidRPr="00EC7FF5">
        <w:rPr>
          <w:rFonts w:cs="Times New Roman"/>
          <w:b/>
          <w:sz w:val="24"/>
          <w:szCs w:val="24"/>
          <w:lang w:val="ru-RU"/>
        </w:rPr>
        <w:t>ШАҲАР</w:t>
      </w:r>
      <w:r w:rsidRPr="00EC7FF5">
        <w:rPr>
          <w:rFonts w:cs="Times New Roman"/>
          <w:b/>
          <w:sz w:val="24"/>
          <w:szCs w:val="24"/>
          <w:lang w:val="uz-Cyrl-UZ"/>
        </w:rPr>
        <w:t xml:space="preserve">ЛАР ВА </w:t>
      </w:r>
      <w:r w:rsidRPr="00EC7FF5">
        <w:rPr>
          <w:rFonts w:cs="Times New Roman"/>
          <w:b/>
          <w:sz w:val="24"/>
          <w:szCs w:val="24"/>
          <w:lang w:val="ru-RU"/>
        </w:rPr>
        <w:t xml:space="preserve"> АҲОЛИ</w:t>
      </w:r>
      <w:r w:rsidRPr="00EC7FF5">
        <w:rPr>
          <w:rFonts w:cs="Times New Roman"/>
          <w:b/>
          <w:sz w:val="24"/>
          <w:szCs w:val="24"/>
          <w:lang w:val="uz-Cyrl-UZ"/>
        </w:rPr>
        <w:t xml:space="preserve"> </w:t>
      </w:r>
      <w:r w:rsidRPr="00EC7FF5">
        <w:rPr>
          <w:rFonts w:cs="Times New Roman"/>
          <w:b/>
          <w:sz w:val="24"/>
          <w:szCs w:val="24"/>
          <w:lang w:val="ru-RU"/>
        </w:rPr>
        <w:t>КАСАЛЛ</w:t>
      </w:r>
      <w:r w:rsidRPr="00EC7FF5">
        <w:rPr>
          <w:rFonts w:cs="Times New Roman"/>
          <w:b/>
          <w:sz w:val="24"/>
          <w:szCs w:val="24"/>
          <w:lang w:val="uz-Cyrl-UZ"/>
        </w:rPr>
        <w:t>АНИШИ</w:t>
      </w:r>
      <w:r>
        <w:rPr>
          <w:rFonts w:cs="Times New Roman"/>
          <w:b/>
          <w:sz w:val="24"/>
          <w:szCs w:val="24"/>
          <w:lang w:val="uz-Cyrl-UZ"/>
        </w:rPr>
        <w:t xml:space="preserve"> </w:t>
      </w:r>
    </w:p>
    <w:p w14:paraId="77B16C00" w14:textId="77777777" w:rsidR="00EC7FF5" w:rsidRDefault="00EC7FF5" w:rsidP="00FF1068">
      <w:pPr>
        <w:spacing w:line="300" w:lineRule="auto"/>
        <w:jc w:val="center"/>
        <w:rPr>
          <w:rFonts w:cs="Times New Roman"/>
          <w:b/>
          <w:sz w:val="24"/>
          <w:szCs w:val="24"/>
          <w:lang w:val="uz-Cyrl-UZ"/>
        </w:rPr>
      </w:pPr>
    </w:p>
    <w:p w14:paraId="207552A3" w14:textId="3E7511CC" w:rsidR="00EC7FF5" w:rsidRPr="00EC7FF5" w:rsidRDefault="00EC7FF5" w:rsidP="00FF1068">
      <w:pPr>
        <w:spacing w:line="300" w:lineRule="auto"/>
        <w:jc w:val="center"/>
        <w:rPr>
          <w:rFonts w:cs="Times New Roman"/>
          <w:b/>
          <w:bCs/>
          <w:sz w:val="24"/>
          <w:szCs w:val="24"/>
          <w:lang w:val="uz-Cyrl-UZ"/>
        </w:rPr>
      </w:pPr>
      <w:r w:rsidRPr="00EC7FF5">
        <w:rPr>
          <w:rFonts w:cs="Times New Roman"/>
          <w:b/>
          <w:bCs/>
          <w:sz w:val="24"/>
          <w:szCs w:val="24"/>
          <w:lang w:val="ru-RU"/>
        </w:rPr>
        <w:t>Садуллаева Х</w:t>
      </w:r>
      <w:r w:rsidRPr="00EC7FF5">
        <w:rPr>
          <w:rFonts w:cs="Times New Roman"/>
          <w:b/>
          <w:bCs/>
          <w:sz w:val="24"/>
          <w:szCs w:val="24"/>
          <w:lang w:val="uz-Cyrl-UZ"/>
        </w:rPr>
        <w:t xml:space="preserve">осият </w:t>
      </w:r>
      <w:r w:rsidRPr="00EC7FF5">
        <w:rPr>
          <w:rFonts w:cs="Times New Roman"/>
          <w:b/>
          <w:bCs/>
          <w:sz w:val="24"/>
          <w:szCs w:val="24"/>
          <w:lang w:val="ru-RU"/>
        </w:rPr>
        <w:t>А</w:t>
      </w:r>
      <w:r w:rsidRPr="00EC7FF5">
        <w:rPr>
          <w:rFonts w:cs="Times New Roman"/>
          <w:b/>
          <w:bCs/>
          <w:sz w:val="24"/>
          <w:szCs w:val="24"/>
          <w:lang w:val="uz-Cyrl-UZ"/>
        </w:rPr>
        <w:t>бдурахмоновна</w:t>
      </w:r>
      <w:r w:rsidR="0097118A" w:rsidRPr="00EC7FF5">
        <w:rPr>
          <w:rFonts w:cs="Times New Roman"/>
          <w:b/>
          <w:bCs/>
          <w:sz w:val="24"/>
          <w:szCs w:val="24"/>
          <w:lang w:val="uz-Cyrl-UZ"/>
        </w:rPr>
        <w:t>,</w:t>
      </w:r>
      <w:r w:rsidR="0097118A" w:rsidRPr="0097118A">
        <w:rPr>
          <w:rFonts w:cs="Times New Roman"/>
          <w:b/>
          <w:bCs/>
          <w:sz w:val="24"/>
          <w:szCs w:val="24"/>
          <w:vertAlign w:val="superscript"/>
          <w:lang w:val="uz-Cyrl-UZ"/>
        </w:rPr>
        <w:t xml:space="preserve"> </w:t>
      </w:r>
      <w:r w:rsidR="0097118A" w:rsidRPr="0097118A">
        <w:rPr>
          <w:rFonts w:cs="Times New Roman"/>
          <w:b/>
          <w:bCs/>
          <w:sz w:val="24"/>
          <w:szCs w:val="24"/>
          <w:lang w:val="uz-Cyrl-UZ"/>
        </w:rPr>
        <w:t xml:space="preserve">доцент </w:t>
      </w:r>
      <w:r w:rsidR="0097118A" w:rsidRPr="00EC7FF5">
        <w:rPr>
          <w:rFonts w:cs="Times New Roman"/>
          <w:b/>
          <w:bCs/>
          <w:sz w:val="24"/>
          <w:szCs w:val="24"/>
          <w:lang w:val="uz-Cyrl-UZ"/>
        </w:rPr>
        <w:t>(PhD)</w:t>
      </w:r>
    </w:p>
    <w:p w14:paraId="4FEFEDE9" w14:textId="40531E33" w:rsidR="00EC7FF5" w:rsidRDefault="00EC7FF5" w:rsidP="00FF1068">
      <w:pPr>
        <w:spacing w:line="300" w:lineRule="auto"/>
        <w:jc w:val="center"/>
        <w:rPr>
          <w:rFonts w:cs="Times New Roman"/>
          <w:b/>
          <w:bCs/>
          <w:sz w:val="24"/>
          <w:szCs w:val="24"/>
          <w:lang w:val="uz-Cyrl-UZ"/>
        </w:rPr>
      </w:pPr>
      <w:r w:rsidRPr="00EC7FF5">
        <w:rPr>
          <w:rFonts w:cs="Times New Roman"/>
          <w:b/>
          <w:bCs/>
          <w:sz w:val="24"/>
          <w:szCs w:val="24"/>
          <w:lang w:val="uz-Cyrl-UZ"/>
        </w:rPr>
        <w:t>Саломова Феруза Ибодуллаевна</w:t>
      </w:r>
      <w:r w:rsidR="0097118A" w:rsidRPr="0097118A">
        <w:rPr>
          <w:rFonts w:cs="Times New Roman"/>
          <w:b/>
          <w:bCs/>
          <w:sz w:val="24"/>
          <w:szCs w:val="24"/>
          <w:lang w:val="uz-Cyrl-UZ"/>
        </w:rPr>
        <w:t xml:space="preserve">, доцент </w:t>
      </w:r>
      <w:r w:rsidR="0097118A" w:rsidRPr="00EC7FF5">
        <w:rPr>
          <w:rFonts w:cs="Times New Roman"/>
          <w:b/>
          <w:bCs/>
          <w:sz w:val="24"/>
          <w:szCs w:val="24"/>
          <w:lang w:val="uz-Cyrl-UZ"/>
        </w:rPr>
        <w:t>(DSc)</w:t>
      </w:r>
    </w:p>
    <w:p w14:paraId="3EB46449" w14:textId="51C5250D" w:rsidR="00FF1068" w:rsidRPr="00EC7FF5" w:rsidRDefault="00FF1068" w:rsidP="00FF1068">
      <w:pPr>
        <w:spacing w:line="300" w:lineRule="auto"/>
        <w:jc w:val="center"/>
        <w:rPr>
          <w:rFonts w:cs="Times New Roman"/>
          <w:sz w:val="24"/>
          <w:szCs w:val="24"/>
          <w:lang w:val="uz-Cyrl-UZ"/>
        </w:rPr>
      </w:pPr>
      <w:r w:rsidRPr="00EC7FF5">
        <w:rPr>
          <w:rFonts w:cs="Times New Roman"/>
          <w:sz w:val="24"/>
          <w:szCs w:val="24"/>
          <w:lang w:val="uz-Cyrl-UZ"/>
        </w:rPr>
        <w:t>Атроф муҳит гигиенаси кафедраси</w:t>
      </w:r>
    </w:p>
    <w:p w14:paraId="4FBA7201" w14:textId="3AD986FE" w:rsidR="00FF1068" w:rsidRPr="00EC7FF5" w:rsidRDefault="00FF1068" w:rsidP="00FF1068">
      <w:pPr>
        <w:spacing w:line="300" w:lineRule="auto"/>
        <w:jc w:val="center"/>
        <w:rPr>
          <w:rFonts w:cs="Times New Roman"/>
          <w:sz w:val="24"/>
          <w:szCs w:val="24"/>
          <w:lang w:val="uz-Cyrl-UZ"/>
        </w:rPr>
      </w:pPr>
      <w:r w:rsidRPr="00EC7FF5">
        <w:rPr>
          <w:rFonts w:cs="Times New Roman"/>
          <w:sz w:val="24"/>
          <w:szCs w:val="24"/>
          <w:lang w:val="uz-Cyrl-UZ"/>
        </w:rPr>
        <w:t>Тошкент тиббиёт Академияси</w:t>
      </w:r>
      <w:r w:rsidRPr="00B71C19">
        <w:rPr>
          <w:rFonts w:cs="Times New Roman"/>
          <w:sz w:val="24"/>
          <w:szCs w:val="24"/>
          <w:lang w:val="uz-Cyrl-UZ"/>
        </w:rPr>
        <w:t>,</w:t>
      </w:r>
      <w:r w:rsidRPr="00FF1068">
        <w:rPr>
          <w:rFonts w:cs="Times New Roman"/>
          <w:sz w:val="24"/>
          <w:szCs w:val="24"/>
          <w:lang w:val="uz-Cyrl-UZ"/>
        </w:rPr>
        <w:t xml:space="preserve"> Тошкент, Ўзбекистан</w:t>
      </w:r>
    </w:p>
    <w:p w14:paraId="4AEA4F4F" w14:textId="77777777" w:rsidR="0097118A" w:rsidRDefault="0097118A" w:rsidP="00FF1068">
      <w:pPr>
        <w:spacing w:line="300" w:lineRule="auto"/>
        <w:ind w:firstLine="567"/>
        <w:jc w:val="both"/>
        <w:rPr>
          <w:rFonts w:cs="Times New Roman"/>
          <w:sz w:val="24"/>
          <w:szCs w:val="24"/>
          <w:lang w:val="uz-Cyrl-UZ"/>
        </w:rPr>
      </w:pPr>
    </w:p>
    <w:p w14:paraId="40164F0C" w14:textId="4FA2F53C" w:rsidR="00EC7FF5" w:rsidRPr="00EC7FF5" w:rsidRDefault="00EC7FF5" w:rsidP="00FF1068">
      <w:pPr>
        <w:spacing w:line="300" w:lineRule="auto"/>
        <w:ind w:firstLine="567"/>
        <w:jc w:val="both"/>
        <w:rPr>
          <w:rFonts w:cs="Times New Roman"/>
          <w:i/>
          <w:iCs/>
          <w:sz w:val="24"/>
          <w:szCs w:val="24"/>
          <w:lang w:val="ru-RU"/>
        </w:rPr>
      </w:pPr>
      <w:r w:rsidRPr="00EC7FF5">
        <w:rPr>
          <w:rFonts w:cs="Times New Roman"/>
          <w:b/>
          <w:i/>
          <w:iCs/>
          <w:sz w:val="24"/>
          <w:szCs w:val="24"/>
          <w:lang w:val="uz-Cyrl-UZ"/>
        </w:rPr>
        <w:t>Аннотация</w:t>
      </w:r>
      <w:r w:rsidR="0097118A" w:rsidRPr="0097118A">
        <w:rPr>
          <w:rFonts w:cs="Times New Roman"/>
          <w:b/>
          <w:i/>
          <w:iCs/>
          <w:sz w:val="24"/>
          <w:szCs w:val="24"/>
          <w:lang w:val="uz-Cyrl-UZ"/>
        </w:rPr>
        <w:t xml:space="preserve">. </w:t>
      </w:r>
      <w:r w:rsidRPr="00EC7FF5">
        <w:rPr>
          <w:rFonts w:cs="Times New Roman"/>
          <w:i/>
          <w:iCs/>
          <w:sz w:val="24"/>
          <w:szCs w:val="24"/>
          <w:lang w:val="uz-Cyrl-UZ"/>
        </w:rPr>
        <w:t xml:space="preserve">Ҳозирги даврда дунёда шаҳарлар сони ортиб бормоқда ва бу жараён XVIII асрнинг саноат инқилобидан бери давом этмоқда. </w:t>
      </w:r>
      <w:r w:rsidRPr="00EC7FF5">
        <w:rPr>
          <w:rFonts w:cs="Times New Roman"/>
          <w:i/>
          <w:iCs/>
          <w:sz w:val="24"/>
          <w:szCs w:val="24"/>
          <w:lang w:val="ru-RU"/>
        </w:rPr>
        <w:t>Бирлашган Миллатлар ташкилоти</w:t>
      </w:r>
      <w:r w:rsidRPr="00EC7FF5">
        <w:rPr>
          <w:rFonts w:cs="Times New Roman"/>
          <w:i/>
          <w:iCs/>
          <w:sz w:val="24"/>
          <w:szCs w:val="24"/>
          <w:lang w:val="uz-Cyrl-UZ"/>
        </w:rPr>
        <w:t>нинг</w:t>
      </w:r>
      <w:r w:rsidRPr="00EC7FF5">
        <w:rPr>
          <w:rFonts w:cs="Times New Roman"/>
          <w:i/>
          <w:iCs/>
          <w:sz w:val="24"/>
          <w:szCs w:val="24"/>
          <w:lang w:val="ru-RU"/>
        </w:rPr>
        <w:t xml:space="preserve"> ҳисоб-китоб</w:t>
      </w:r>
      <w:r w:rsidRPr="00EC7FF5">
        <w:rPr>
          <w:rFonts w:cs="Times New Roman"/>
          <w:i/>
          <w:iCs/>
          <w:sz w:val="24"/>
          <w:szCs w:val="24"/>
          <w:lang w:val="uz-Cyrl-UZ"/>
        </w:rPr>
        <w:t>ларига кўра</w:t>
      </w:r>
      <w:r w:rsidRPr="00EC7FF5">
        <w:rPr>
          <w:rFonts w:cs="Times New Roman"/>
          <w:i/>
          <w:iCs/>
          <w:sz w:val="24"/>
          <w:szCs w:val="24"/>
          <w:lang w:val="ru-RU"/>
        </w:rPr>
        <w:t xml:space="preserve">, шаҳар марказларида 3,9 миллиард одам яшайди. Бироқ, </w:t>
      </w:r>
      <w:r w:rsidRPr="00EC7FF5">
        <w:rPr>
          <w:rFonts w:cs="Times New Roman"/>
          <w:i/>
          <w:iCs/>
          <w:sz w:val="24"/>
          <w:szCs w:val="24"/>
          <w:lang w:val="uz-Cyrl-UZ"/>
        </w:rPr>
        <w:t>шаҳарлашиш тезлиги турли давлатларда бир хилда э</w:t>
      </w:r>
      <w:r w:rsidRPr="00EC7FF5">
        <w:rPr>
          <w:rFonts w:cs="Times New Roman"/>
          <w:i/>
          <w:iCs/>
          <w:sz w:val="24"/>
          <w:szCs w:val="24"/>
          <w:lang w:val="ru-RU"/>
        </w:rPr>
        <w:t>мас ва ривожланган мамлакатлар аллақачон шаҳарлар</w:t>
      </w:r>
      <w:r w:rsidRPr="00EC7FF5">
        <w:rPr>
          <w:rFonts w:cs="Times New Roman"/>
          <w:i/>
          <w:iCs/>
          <w:sz w:val="24"/>
          <w:szCs w:val="24"/>
          <w:lang w:val="uz-Cyrl-UZ"/>
        </w:rPr>
        <w:t>дан иборат</w:t>
      </w:r>
      <w:r w:rsidRPr="00EC7FF5">
        <w:rPr>
          <w:rFonts w:cs="Times New Roman"/>
          <w:i/>
          <w:iCs/>
          <w:sz w:val="24"/>
          <w:szCs w:val="24"/>
          <w:lang w:val="ru-RU"/>
        </w:rPr>
        <w:t xml:space="preserve">дир, аммо келгуси 30 йил ичида Осиё ва Африкада шаҳар аҳолисининг кўпайиши кутилмоқда. Урбанизация </w:t>
      </w:r>
      <w:r w:rsidRPr="00EC7FF5">
        <w:rPr>
          <w:rFonts w:cs="Times New Roman"/>
          <w:i/>
          <w:iCs/>
          <w:sz w:val="24"/>
          <w:szCs w:val="24"/>
          <w:lang w:val="uz-Cyrl-UZ"/>
        </w:rPr>
        <w:t>глобал миқёсда</w:t>
      </w:r>
      <w:r w:rsidRPr="00EC7FF5">
        <w:rPr>
          <w:rFonts w:cs="Times New Roman"/>
          <w:i/>
          <w:iCs/>
          <w:sz w:val="24"/>
          <w:szCs w:val="24"/>
          <w:lang w:val="ru-RU"/>
        </w:rPr>
        <w:t xml:space="preserve"> саломатлик ва юқумли касалликлар </w:t>
      </w:r>
      <w:r w:rsidRPr="00EC7FF5">
        <w:rPr>
          <w:rFonts w:cs="Times New Roman"/>
          <w:i/>
          <w:iCs/>
          <w:sz w:val="24"/>
          <w:szCs w:val="24"/>
          <w:lang w:val="uz-Cyrl-UZ"/>
        </w:rPr>
        <w:t>э</w:t>
      </w:r>
      <w:r w:rsidRPr="00EC7FF5">
        <w:rPr>
          <w:rFonts w:cs="Times New Roman"/>
          <w:i/>
          <w:iCs/>
          <w:sz w:val="24"/>
          <w:szCs w:val="24"/>
          <w:lang w:val="ru-RU"/>
        </w:rPr>
        <w:t xml:space="preserve">пидемиологияси учун кўплаб муаммоларни келтириб чиқаради. Янги мегаполислар янги </w:t>
      </w:r>
      <w:r w:rsidRPr="00EC7FF5">
        <w:rPr>
          <w:rFonts w:cs="Times New Roman"/>
          <w:i/>
          <w:iCs/>
          <w:sz w:val="24"/>
          <w:szCs w:val="24"/>
          <w:lang w:val="uz-Cyrl-UZ"/>
        </w:rPr>
        <w:t>э</w:t>
      </w:r>
      <w:r w:rsidRPr="00EC7FF5">
        <w:rPr>
          <w:rFonts w:cs="Times New Roman"/>
          <w:i/>
          <w:iCs/>
          <w:sz w:val="24"/>
          <w:szCs w:val="24"/>
          <w:lang w:val="ru-RU"/>
        </w:rPr>
        <w:t xml:space="preserve">пидемияларнинг инкубаторларига айланиши мумкин ва зоонозлар </w:t>
      </w:r>
      <w:r w:rsidRPr="00EC7FF5">
        <w:rPr>
          <w:rFonts w:cs="Times New Roman"/>
          <w:i/>
          <w:iCs/>
          <w:sz w:val="24"/>
          <w:szCs w:val="24"/>
          <w:lang w:val="uz-Cyrl-UZ"/>
        </w:rPr>
        <w:t xml:space="preserve">эса </w:t>
      </w:r>
      <w:r w:rsidRPr="00EC7FF5">
        <w:rPr>
          <w:rFonts w:cs="Times New Roman"/>
          <w:i/>
          <w:iCs/>
          <w:sz w:val="24"/>
          <w:szCs w:val="24"/>
          <w:lang w:val="ru-RU"/>
        </w:rPr>
        <w:t xml:space="preserve">тезроқ тарқалиб, бутун дунёга таҳдид солиши мумкин. </w:t>
      </w:r>
      <w:r w:rsidRPr="00EC7FF5">
        <w:rPr>
          <w:rFonts w:cs="Times New Roman"/>
          <w:i/>
          <w:iCs/>
          <w:sz w:val="24"/>
          <w:szCs w:val="24"/>
          <w:lang w:val="uz-Cyrl-UZ"/>
        </w:rPr>
        <w:t>Ш</w:t>
      </w:r>
      <w:r w:rsidRPr="00EC7FF5">
        <w:rPr>
          <w:rFonts w:cs="Times New Roman"/>
          <w:i/>
          <w:iCs/>
          <w:sz w:val="24"/>
          <w:szCs w:val="24"/>
          <w:lang w:val="ru-RU"/>
        </w:rPr>
        <w:t xml:space="preserve">аҳарларни оқилона режалаштириш ва </w:t>
      </w:r>
      <w:r w:rsidRPr="00EC7FF5">
        <w:rPr>
          <w:rFonts w:cs="Times New Roman"/>
          <w:i/>
          <w:iCs/>
          <w:sz w:val="24"/>
          <w:szCs w:val="24"/>
          <w:lang w:val="uz-Cyrl-UZ"/>
        </w:rPr>
        <w:t xml:space="preserve">эпидемилогик </w:t>
      </w:r>
      <w:r w:rsidRPr="00EC7FF5">
        <w:rPr>
          <w:rFonts w:cs="Times New Roman"/>
          <w:i/>
          <w:iCs/>
          <w:sz w:val="24"/>
          <w:szCs w:val="24"/>
          <w:lang w:val="ru-RU"/>
        </w:rPr>
        <w:t xml:space="preserve">назорат </w:t>
      </w:r>
      <w:r w:rsidRPr="00EC7FF5">
        <w:rPr>
          <w:rFonts w:cs="Times New Roman"/>
          <w:i/>
          <w:iCs/>
          <w:sz w:val="24"/>
          <w:szCs w:val="24"/>
          <w:lang w:val="uz-Cyrl-UZ"/>
        </w:rPr>
        <w:t>глобал</w:t>
      </w:r>
      <w:r w:rsidRPr="00EC7FF5">
        <w:rPr>
          <w:rFonts w:cs="Times New Roman"/>
          <w:i/>
          <w:iCs/>
          <w:sz w:val="24"/>
          <w:szCs w:val="24"/>
          <w:lang w:val="ru-RU"/>
        </w:rPr>
        <w:t xml:space="preserve"> </w:t>
      </w:r>
      <w:r w:rsidRPr="00EC7FF5">
        <w:rPr>
          <w:rFonts w:cs="Times New Roman"/>
          <w:i/>
          <w:iCs/>
          <w:sz w:val="24"/>
          <w:szCs w:val="24"/>
          <w:lang w:val="uz-Cyrl-UZ"/>
        </w:rPr>
        <w:t xml:space="preserve">миқёсда </w:t>
      </w:r>
      <w:r w:rsidRPr="00EC7FF5">
        <w:rPr>
          <w:rFonts w:cs="Times New Roman"/>
          <w:i/>
          <w:iCs/>
          <w:sz w:val="24"/>
          <w:szCs w:val="24"/>
          <w:lang w:val="ru-RU"/>
        </w:rPr>
        <w:t>саломатли</w:t>
      </w:r>
      <w:r w:rsidRPr="00EC7FF5">
        <w:rPr>
          <w:rFonts w:cs="Times New Roman"/>
          <w:i/>
          <w:iCs/>
          <w:sz w:val="24"/>
          <w:szCs w:val="24"/>
          <w:lang w:val="uz-Cyrl-UZ"/>
        </w:rPr>
        <w:t>к</w:t>
      </w:r>
      <w:r w:rsidRPr="00EC7FF5">
        <w:rPr>
          <w:rFonts w:cs="Times New Roman"/>
          <w:i/>
          <w:iCs/>
          <w:sz w:val="24"/>
          <w:szCs w:val="24"/>
          <w:lang w:val="ru-RU"/>
        </w:rPr>
        <w:t>ни яхшилаш</w:t>
      </w:r>
      <w:r w:rsidRPr="00EC7FF5">
        <w:rPr>
          <w:rFonts w:cs="Times New Roman"/>
          <w:i/>
          <w:iCs/>
          <w:sz w:val="24"/>
          <w:szCs w:val="24"/>
          <w:lang w:val="uz-Cyrl-UZ"/>
        </w:rPr>
        <w:t>и</w:t>
      </w:r>
      <w:r w:rsidRPr="00EC7FF5">
        <w:rPr>
          <w:rFonts w:cs="Times New Roman"/>
          <w:i/>
          <w:iCs/>
          <w:sz w:val="24"/>
          <w:szCs w:val="24"/>
          <w:lang w:val="ru-RU"/>
        </w:rPr>
        <w:t xml:space="preserve"> ва юқумли касалликлар ю</w:t>
      </w:r>
      <w:r w:rsidRPr="00EC7FF5">
        <w:rPr>
          <w:rFonts w:cs="Times New Roman"/>
          <w:i/>
          <w:iCs/>
          <w:sz w:val="24"/>
          <w:szCs w:val="24"/>
          <w:lang w:val="uz-Cyrl-UZ"/>
        </w:rPr>
        <w:t>к</w:t>
      </w:r>
      <w:r w:rsidRPr="00EC7FF5">
        <w:rPr>
          <w:rFonts w:cs="Times New Roman"/>
          <w:i/>
          <w:iCs/>
          <w:sz w:val="24"/>
          <w:szCs w:val="24"/>
          <w:lang w:val="ru-RU"/>
        </w:rPr>
        <w:t>ини камайтириш учун кучли воситалар бўлиши мумкин.</w:t>
      </w:r>
    </w:p>
    <w:p w14:paraId="32E35D8C" w14:textId="77777777" w:rsidR="00EC7FF5" w:rsidRPr="00EC7FF5" w:rsidRDefault="00EC7FF5" w:rsidP="00FF1068">
      <w:pPr>
        <w:spacing w:line="300" w:lineRule="auto"/>
        <w:ind w:firstLine="567"/>
        <w:jc w:val="both"/>
        <w:rPr>
          <w:rFonts w:cs="Times New Roman"/>
          <w:i/>
          <w:iCs/>
          <w:sz w:val="24"/>
          <w:szCs w:val="24"/>
          <w:lang w:val="ru-RU"/>
        </w:rPr>
      </w:pPr>
      <w:r w:rsidRPr="00EC7FF5">
        <w:rPr>
          <w:rFonts w:cs="Times New Roman"/>
          <w:b/>
          <w:i/>
          <w:iCs/>
          <w:sz w:val="24"/>
          <w:szCs w:val="24"/>
          <w:lang w:val="ru-RU"/>
        </w:rPr>
        <w:t>К</w:t>
      </w:r>
      <w:r w:rsidRPr="00EC7FF5">
        <w:rPr>
          <w:rFonts w:cs="Times New Roman"/>
          <w:b/>
          <w:i/>
          <w:iCs/>
          <w:sz w:val="24"/>
          <w:szCs w:val="24"/>
          <w:lang w:val="uz-Cyrl-UZ"/>
        </w:rPr>
        <w:t>алит сўзлар</w:t>
      </w:r>
      <w:r w:rsidRPr="00EC7FF5">
        <w:rPr>
          <w:rFonts w:cs="Times New Roman"/>
          <w:b/>
          <w:i/>
          <w:iCs/>
          <w:sz w:val="24"/>
          <w:szCs w:val="24"/>
          <w:lang w:val="ru-RU"/>
        </w:rPr>
        <w:t>:</w:t>
      </w:r>
      <w:r w:rsidRPr="00EC7FF5">
        <w:rPr>
          <w:rFonts w:cs="Times New Roman"/>
          <w:i/>
          <w:iCs/>
          <w:sz w:val="24"/>
          <w:szCs w:val="24"/>
          <w:lang w:val="ru-RU"/>
        </w:rPr>
        <w:t xml:space="preserve"> </w:t>
      </w:r>
      <w:r w:rsidRPr="00EC7FF5">
        <w:rPr>
          <w:rFonts w:cs="Times New Roman"/>
          <w:i/>
          <w:iCs/>
          <w:sz w:val="24"/>
          <w:szCs w:val="24"/>
          <w:lang w:val="uz-Cyrl-UZ"/>
        </w:rPr>
        <w:t>шаҳарлар</w:t>
      </w:r>
      <w:r w:rsidRPr="00EC7FF5">
        <w:rPr>
          <w:rFonts w:cs="Times New Roman"/>
          <w:i/>
          <w:iCs/>
          <w:sz w:val="24"/>
          <w:szCs w:val="24"/>
          <w:lang w:val="ru-RU"/>
        </w:rPr>
        <w:t xml:space="preserve">, урбанизация, </w:t>
      </w:r>
      <w:r w:rsidRPr="00EC7FF5">
        <w:rPr>
          <w:rFonts w:cs="Times New Roman"/>
          <w:i/>
          <w:iCs/>
          <w:sz w:val="24"/>
          <w:szCs w:val="24"/>
          <w:lang w:val="uz-Cyrl-UZ"/>
        </w:rPr>
        <w:t>касалликлар</w:t>
      </w:r>
      <w:r w:rsidRPr="00EC7FF5">
        <w:rPr>
          <w:rFonts w:cs="Times New Roman"/>
          <w:i/>
          <w:iCs/>
          <w:sz w:val="24"/>
          <w:szCs w:val="24"/>
          <w:lang w:val="ru-RU"/>
        </w:rPr>
        <w:t xml:space="preserve">, </w:t>
      </w:r>
      <w:r w:rsidRPr="00EC7FF5">
        <w:rPr>
          <w:rFonts w:cs="Times New Roman"/>
          <w:i/>
          <w:iCs/>
          <w:sz w:val="24"/>
          <w:szCs w:val="24"/>
          <w:lang w:val="uz-Cyrl-UZ"/>
        </w:rPr>
        <w:t>келиб чиқадиган юқумли касалликлар</w:t>
      </w:r>
      <w:r w:rsidRPr="00EC7FF5">
        <w:rPr>
          <w:rFonts w:cs="Times New Roman"/>
          <w:i/>
          <w:iCs/>
          <w:sz w:val="24"/>
          <w:szCs w:val="24"/>
          <w:lang w:val="ru-RU"/>
        </w:rPr>
        <w:t>.</w:t>
      </w:r>
    </w:p>
    <w:p w14:paraId="32D64EA2" w14:textId="77777777" w:rsidR="00EC7FF5" w:rsidRPr="00D66461" w:rsidRDefault="00EC7FF5" w:rsidP="00D66461">
      <w:pPr>
        <w:spacing w:line="288" w:lineRule="auto"/>
        <w:ind w:firstLine="567"/>
        <w:jc w:val="both"/>
        <w:rPr>
          <w:rFonts w:eastAsia="Times New Roman" w:cs="Times New Roman"/>
          <w:b/>
          <w:bCs/>
          <w:sz w:val="24"/>
          <w:szCs w:val="24"/>
          <w:lang w:val="ru-RU" w:eastAsia="ru-RU"/>
        </w:rPr>
      </w:pPr>
    </w:p>
    <w:p w14:paraId="50D1B6E3" w14:textId="132B4B0D" w:rsidR="0097118A" w:rsidRDefault="0097118A" w:rsidP="00D66461">
      <w:pPr>
        <w:spacing w:line="288" w:lineRule="auto"/>
        <w:jc w:val="center"/>
        <w:rPr>
          <w:rFonts w:cs="Times New Roman"/>
          <w:b/>
          <w:sz w:val="24"/>
          <w:szCs w:val="24"/>
          <w:lang w:val="uz-Cyrl-UZ"/>
        </w:rPr>
      </w:pPr>
    </w:p>
    <w:p w14:paraId="4A40AED1" w14:textId="77777777" w:rsidR="0097118A" w:rsidRPr="00EC7FF5" w:rsidRDefault="0097118A" w:rsidP="0097118A">
      <w:pPr>
        <w:spacing w:line="276" w:lineRule="auto"/>
        <w:jc w:val="center"/>
        <w:rPr>
          <w:rFonts w:cs="Times New Roman"/>
          <w:b/>
          <w:sz w:val="24"/>
          <w:szCs w:val="24"/>
          <w:lang w:val="uz-Cyrl-UZ"/>
        </w:rPr>
      </w:pPr>
      <w:r w:rsidRPr="00EC7FF5">
        <w:rPr>
          <w:rFonts w:cs="Times New Roman"/>
          <w:b/>
          <w:sz w:val="24"/>
          <w:szCs w:val="24"/>
          <w:lang w:val="uz-Cyrl-UZ"/>
        </w:rPr>
        <w:lastRenderedPageBreak/>
        <w:t>СОВРЕМЕННЫЕ ГОРОДА И ЗАБОЛЕВАЕМОСТЬ НАСЕЛЕНИЯ</w:t>
      </w:r>
    </w:p>
    <w:p w14:paraId="4395E07C" w14:textId="46B6B1A3" w:rsidR="0097118A" w:rsidRDefault="0097118A" w:rsidP="00EC7FF5">
      <w:pPr>
        <w:spacing w:line="276" w:lineRule="auto"/>
        <w:ind w:firstLine="567"/>
        <w:jc w:val="both"/>
        <w:rPr>
          <w:rFonts w:cs="Times New Roman"/>
          <w:b/>
          <w:sz w:val="24"/>
          <w:szCs w:val="24"/>
          <w:lang w:val="ru-RU"/>
        </w:rPr>
      </w:pPr>
    </w:p>
    <w:p w14:paraId="603E68BA" w14:textId="77777777" w:rsidR="00D66461" w:rsidRPr="00D66461" w:rsidRDefault="00D66461" w:rsidP="00FF1068">
      <w:pPr>
        <w:spacing w:line="276" w:lineRule="auto"/>
        <w:jc w:val="center"/>
        <w:rPr>
          <w:rFonts w:cs="Times New Roman"/>
          <w:b/>
          <w:sz w:val="24"/>
          <w:szCs w:val="24"/>
          <w:lang w:val="ru-RU"/>
        </w:rPr>
      </w:pPr>
      <w:r w:rsidRPr="00D66461">
        <w:rPr>
          <w:rFonts w:cs="Times New Roman"/>
          <w:b/>
          <w:sz w:val="24"/>
          <w:szCs w:val="24"/>
          <w:lang w:val="ru-RU"/>
        </w:rPr>
        <w:t>Садуллаева Хосият Абдурахмоновна, доцент (PhD)</w:t>
      </w:r>
    </w:p>
    <w:p w14:paraId="69C98A50" w14:textId="558BFD2F" w:rsidR="00D66461" w:rsidRDefault="00D66461" w:rsidP="00FF1068">
      <w:pPr>
        <w:spacing w:line="276" w:lineRule="auto"/>
        <w:jc w:val="center"/>
        <w:rPr>
          <w:rFonts w:cs="Times New Roman"/>
          <w:b/>
          <w:sz w:val="24"/>
          <w:szCs w:val="24"/>
          <w:lang w:val="ru-RU"/>
        </w:rPr>
      </w:pPr>
      <w:r w:rsidRPr="00D66461">
        <w:rPr>
          <w:rFonts w:cs="Times New Roman"/>
          <w:b/>
          <w:sz w:val="24"/>
          <w:szCs w:val="24"/>
          <w:lang w:val="ru-RU"/>
        </w:rPr>
        <w:t>Саломова Феруза Ибодуллаевна, доцент (DSc)</w:t>
      </w:r>
    </w:p>
    <w:p w14:paraId="65033118" w14:textId="77777777" w:rsidR="00FF1068" w:rsidRPr="00FF1068" w:rsidRDefault="00FF1068" w:rsidP="00FF1068">
      <w:pPr>
        <w:spacing w:line="276" w:lineRule="auto"/>
        <w:jc w:val="center"/>
        <w:rPr>
          <w:rFonts w:cs="Times New Roman"/>
          <w:bCs/>
          <w:sz w:val="24"/>
          <w:szCs w:val="24"/>
          <w:lang w:val="ru-RU"/>
        </w:rPr>
      </w:pPr>
      <w:r w:rsidRPr="00FF1068">
        <w:rPr>
          <w:rFonts w:cs="Times New Roman"/>
          <w:bCs/>
          <w:sz w:val="24"/>
          <w:szCs w:val="24"/>
          <w:lang w:val="ru-RU"/>
        </w:rPr>
        <w:t xml:space="preserve">Кафедра гигиены окружающей среды, </w:t>
      </w:r>
    </w:p>
    <w:p w14:paraId="2F9D9D08" w14:textId="0A6311B5" w:rsidR="00FF1068" w:rsidRPr="00FF1068" w:rsidRDefault="00FF1068" w:rsidP="00FF1068">
      <w:pPr>
        <w:spacing w:line="276" w:lineRule="auto"/>
        <w:jc w:val="center"/>
        <w:rPr>
          <w:rFonts w:cs="Times New Roman"/>
          <w:bCs/>
          <w:sz w:val="24"/>
          <w:szCs w:val="24"/>
          <w:lang w:val="ru-RU"/>
        </w:rPr>
      </w:pPr>
      <w:r w:rsidRPr="00FF1068">
        <w:rPr>
          <w:rFonts w:cs="Times New Roman"/>
          <w:bCs/>
          <w:sz w:val="24"/>
          <w:szCs w:val="24"/>
          <w:lang w:val="ru-RU"/>
        </w:rPr>
        <w:t>Ташкентская медицинская академия, Ташкент, Узбекистан</w:t>
      </w:r>
    </w:p>
    <w:p w14:paraId="767CDFAB" w14:textId="77777777" w:rsidR="00FF1068" w:rsidRDefault="00FF1068" w:rsidP="00FF1068">
      <w:pPr>
        <w:spacing w:line="276" w:lineRule="auto"/>
        <w:jc w:val="center"/>
        <w:rPr>
          <w:rFonts w:cs="Times New Roman"/>
          <w:b/>
          <w:sz w:val="24"/>
          <w:szCs w:val="24"/>
          <w:lang w:val="ru-RU"/>
        </w:rPr>
      </w:pPr>
    </w:p>
    <w:p w14:paraId="737F066D" w14:textId="77777777" w:rsidR="0097118A" w:rsidRPr="0097118A" w:rsidRDefault="0097118A" w:rsidP="0097118A">
      <w:pPr>
        <w:spacing w:line="276" w:lineRule="auto"/>
        <w:ind w:firstLine="567"/>
        <w:jc w:val="both"/>
        <w:rPr>
          <w:rFonts w:cs="Times New Roman"/>
          <w:bCs/>
          <w:i/>
          <w:iCs/>
          <w:sz w:val="24"/>
          <w:szCs w:val="24"/>
          <w:lang w:val="ru-RU"/>
        </w:rPr>
      </w:pPr>
      <w:r w:rsidRPr="0097118A">
        <w:rPr>
          <w:rFonts w:cs="Times New Roman"/>
          <w:b/>
          <w:i/>
          <w:iCs/>
          <w:sz w:val="24"/>
          <w:szCs w:val="24"/>
          <w:lang w:val="ru-RU"/>
        </w:rPr>
        <w:t>Аннотация.</w:t>
      </w:r>
      <w:r w:rsidRPr="0097118A">
        <w:rPr>
          <w:rFonts w:cs="Times New Roman"/>
          <w:bCs/>
          <w:i/>
          <w:iCs/>
          <w:sz w:val="24"/>
          <w:szCs w:val="24"/>
          <w:lang w:val="ru-RU"/>
        </w:rPr>
        <w:t xml:space="preserve"> В настоящее время количество городов в мире растет, и этот процесс идет со времен промышленной революции 18 века. По подсчетам ООН, в городских центрах проживает 3,9 миллиарда человек. Однако темпы урбанизации неодинаковы в разных странах, и развитые страны уже являются индикатором городов, но ожидается, что в ближайшие 30 лет городское население Азии и Африки увеличится. Урбанизация создает множество проблем для эпидемиологии здоровья и инфекционных заболеваний в глобальном масштабе. Новые мегаполисы могут стать инкубатором новых эпидемий, а зоонозы могут распространяться быстрее и угрожать всему миру. Рациональное планирование и борьба с эпидемиями в городах могут стать мощными инструментами для улучшения здоровья во всем мире и снижения бремени инфекционных заболеваний.</w:t>
      </w:r>
    </w:p>
    <w:p w14:paraId="16342DB9" w14:textId="6B267E7A" w:rsidR="0097118A" w:rsidRPr="0097118A" w:rsidRDefault="0097118A" w:rsidP="0097118A">
      <w:pPr>
        <w:spacing w:line="276" w:lineRule="auto"/>
        <w:ind w:firstLine="567"/>
        <w:jc w:val="both"/>
        <w:rPr>
          <w:rFonts w:cs="Times New Roman"/>
          <w:bCs/>
          <w:i/>
          <w:iCs/>
          <w:sz w:val="24"/>
          <w:szCs w:val="24"/>
          <w:lang w:val="ru-RU"/>
        </w:rPr>
      </w:pPr>
      <w:r w:rsidRPr="0097118A">
        <w:rPr>
          <w:rFonts w:cs="Times New Roman"/>
          <w:b/>
          <w:i/>
          <w:iCs/>
          <w:sz w:val="24"/>
          <w:szCs w:val="24"/>
          <w:lang w:val="ru-RU"/>
        </w:rPr>
        <w:t>Ключевые слова:</w:t>
      </w:r>
      <w:r w:rsidRPr="0097118A">
        <w:rPr>
          <w:rFonts w:cs="Times New Roman"/>
          <w:bCs/>
          <w:i/>
          <w:iCs/>
          <w:sz w:val="24"/>
          <w:szCs w:val="24"/>
          <w:lang w:val="ru-RU"/>
        </w:rPr>
        <w:t xml:space="preserve"> города, урбанизация, болезни, вызываемые ею инфекционные заболевания.</w:t>
      </w:r>
    </w:p>
    <w:p w14:paraId="795EF096" w14:textId="77777777" w:rsidR="0097118A" w:rsidRPr="0097118A" w:rsidRDefault="0097118A" w:rsidP="00EC7FF5">
      <w:pPr>
        <w:spacing w:line="276" w:lineRule="auto"/>
        <w:ind w:firstLine="567"/>
        <w:jc w:val="both"/>
        <w:rPr>
          <w:rFonts w:cs="Times New Roman"/>
          <w:b/>
          <w:sz w:val="24"/>
          <w:szCs w:val="24"/>
          <w:lang w:val="ru-RU"/>
        </w:rPr>
      </w:pPr>
    </w:p>
    <w:p w14:paraId="2489C5EE" w14:textId="77777777" w:rsidR="00D66461" w:rsidRPr="00D66461" w:rsidRDefault="00D66461" w:rsidP="00EC7FF5">
      <w:pPr>
        <w:spacing w:line="276" w:lineRule="auto"/>
        <w:ind w:firstLine="567"/>
        <w:jc w:val="both"/>
        <w:rPr>
          <w:rFonts w:cs="Times New Roman"/>
          <w:b/>
          <w:sz w:val="24"/>
          <w:szCs w:val="24"/>
          <w:lang w:val="ru-RU"/>
        </w:rPr>
        <w:sectPr w:rsidR="00D66461" w:rsidRPr="00D66461" w:rsidSect="001B41EC">
          <w:type w:val="continuous"/>
          <w:pgSz w:w="11907" w:h="16840" w:code="9"/>
          <w:pgMar w:top="1418" w:right="1134" w:bottom="1134" w:left="1134" w:header="907" w:footer="794" w:gutter="0"/>
          <w:cols w:space="708"/>
          <w:docGrid w:linePitch="381"/>
        </w:sectPr>
      </w:pPr>
    </w:p>
    <w:p w14:paraId="2D2471BD" w14:textId="4D98F00D" w:rsidR="00EC7FF5" w:rsidRDefault="00EC7FF5" w:rsidP="00D66461">
      <w:pPr>
        <w:spacing w:line="276" w:lineRule="auto"/>
        <w:jc w:val="center"/>
        <w:rPr>
          <w:rFonts w:cs="Times New Roman"/>
          <w:b/>
          <w:sz w:val="24"/>
          <w:szCs w:val="24"/>
        </w:rPr>
      </w:pPr>
      <w:r w:rsidRPr="00EC7FF5">
        <w:rPr>
          <w:rFonts w:cs="Times New Roman"/>
          <w:b/>
          <w:sz w:val="24"/>
          <w:szCs w:val="24"/>
        </w:rPr>
        <w:t>MATERIALS AND METHODS</w:t>
      </w:r>
    </w:p>
    <w:p w14:paraId="7F3E0E2B" w14:textId="77777777" w:rsidR="00D66461" w:rsidRPr="00EC7FF5" w:rsidRDefault="00D66461" w:rsidP="00EC7FF5">
      <w:pPr>
        <w:spacing w:line="276" w:lineRule="auto"/>
        <w:ind w:firstLine="567"/>
        <w:jc w:val="both"/>
        <w:rPr>
          <w:rFonts w:cs="Times New Roman"/>
          <w:b/>
          <w:sz w:val="24"/>
          <w:szCs w:val="24"/>
        </w:rPr>
      </w:pPr>
    </w:p>
    <w:p w14:paraId="6A2C25CA" w14:textId="3C361DA1"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Literature sources were carried out using Web of Science, Scopus, DBLP, Medline bib</w:t>
      </w:r>
      <w:r w:rsidR="00D66461">
        <w:rPr>
          <w:rFonts w:cs="Times New Roman"/>
          <w:sz w:val="24"/>
          <w:szCs w:val="24"/>
        </w:rPr>
        <w:softHyphen/>
      </w:r>
      <w:r w:rsidRPr="00EC7FF5">
        <w:rPr>
          <w:rFonts w:cs="Times New Roman"/>
          <w:sz w:val="24"/>
          <w:szCs w:val="24"/>
        </w:rPr>
        <w:t>liographic databases. In the selection of sources, attention was paid to experimental ar</w:t>
      </w:r>
      <w:r w:rsidR="00D66461">
        <w:rPr>
          <w:rFonts w:cs="Times New Roman"/>
          <w:sz w:val="24"/>
          <w:szCs w:val="24"/>
        </w:rPr>
        <w:softHyphen/>
      </w:r>
      <w:r w:rsidRPr="00EC7FF5">
        <w:rPr>
          <w:rFonts w:cs="Times New Roman"/>
          <w:sz w:val="24"/>
          <w:szCs w:val="24"/>
        </w:rPr>
        <w:t>ticles, literary reviews and the number of their instructions for the past year.</w:t>
      </w:r>
    </w:p>
    <w:p w14:paraId="3AB2B72F" w14:textId="0A98C2E9"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The industrial revolution of the XVIII century led to the emergence of large cities with great potential for the growth and devel</w:t>
      </w:r>
      <w:r w:rsidR="00D66461">
        <w:rPr>
          <w:rFonts w:cs="Times New Roman"/>
          <w:sz w:val="24"/>
          <w:szCs w:val="24"/>
        </w:rPr>
        <w:softHyphen/>
      </w:r>
      <w:r w:rsidRPr="00EC7FF5">
        <w:rPr>
          <w:rFonts w:cs="Times New Roman"/>
          <w:sz w:val="24"/>
          <w:szCs w:val="24"/>
        </w:rPr>
        <w:t>opment of Man and society. Living in the city can give us several advantages, namely the op</w:t>
      </w:r>
      <w:r w:rsidR="00D66461">
        <w:rPr>
          <w:rFonts w:cs="Times New Roman"/>
          <w:sz w:val="24"/>
          <w:szCs w:val="24"/>
        </w:rPr>
        <w:softHyphen/>
      </w:r>
      <w:r w:rsidRPr="00EC7FF5">
        <w:rPr>
          <w:rFonts w:cs="Times New Roman"/>
          <w:sz w:val="24"/>
          <w:szCs w:val="24"/>
        </w:rPr>
        <w:t>portunity to get a higher education, find a new highly profitable job, the reliability of quality medical services and the safety of social ser</w:t>
      </w:r>
      <w:r w:rsidR="00D66461">
        <w:rPr>
          <w:rFonts w:cs="Times New Roman"/>
          <w:sz w:val="24"/>
          <w:szCs w:val="24"/>
        </w:rPr>
        <w:softHyphen/>
      </w:r>
      <w:r w:rsidRPr="00EC7FF5">
        <w:rPr>
          <w:rFonts w:cs="Times New Roman"/>
          <w:sz w:val="24"/>
          <w:szCs w:val="24"/>
        </w:rPr>
        <w:t>vices, etc.</w:t>
      </w:r>
    </w:p>
    <w:p w14:paraId="752A6920" w14:textId="75F98FF7"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According to UN estimates, in 2020, 54% of the world</w:t>
      </w:r>
      <w:r w:rsidR="00F44A75">
        <w:rPr>
          <w:rFonts w:cs="Times New Roman"/>
          <w:sz w:val="24"/>
          <w:szCs w:val="24"/>
        </w:rPr>
        <w:t>’</w:t>
      </w:r>
      <w:r w:rsidRPr="00EC7FF5">
        <w:rPr>
          <w:rFonts w:cs="Times New Roman"/>
          <w:sz w:val="24"/>
          <w:szCs w:val="24"/>
        </w:rPr>
        <w:t>s population, that is, 3.9 bil</w:t>
      </w:r>
      <w:r w:rsidR="00D66461">
        <w:rPr>
          <w:rFonts w:cs="Times New Roman"/>
          <w:sz w:val="24"/>
          <w:szCs w:val="24"/>
        </w:rPr>
        <w:softHyphen/>
      </w:r>
      <w:r w:rsidRPr="00EC7FF5">
        <w:rPr>
          <w:rFonts w:cs="Times New Roman"/>
          <w:sz w:val="24"/>
          <w:szCs w:val="24"/>
        </w:rPr>
        <w:t>lion. people lived in urban centers [</w:t>
      </w:r>
      <w:r w:rsidRPr="00EC7FF5">
        <w:rPr>
          <w:rFonts w:cs="Times New Roman"/>
          <w:sz w:val="24"/>
          <w:szCs w:val="24"/>
          <w:lang w:val="uz-Cyrl-UZ"/>
        </w:rPr>
        <w:t>6</w:t>
      </w:r>
      <w:r w:rsidRPr="00EC7FF5">
        <w:rPr>
          <w:rFonts w:cs="Times New Roman"/>
          <w:sz w:val="24"/>
          <w:szCs w:val="24"/>
        </w:rPr>
        <w:t>]. The eco</w:t>
      </w:r>
      <w:r w:rsidR="00D66461">
        <w:rPr>
          <w:rFonts w:cs="Times New Roman"/>
          <w:sz w:val="24"/>
          <w:szCs w:val="24"/>
        </w:rPr>
        <w:softHyphen/>
      </w:r>
      <w:r w:rsidRPr="00EC7FF5">
        <w:rPr>
          <w:rFonts w:cs="Times New Roman"/>
          <w:sz w:val="24"/>
          <w:szCs w:val="24"/>
        </w:rPr>
        <w:t>nomic growth of countries is associated with urbanization, and countries with high per cap</w:t>
      </w:r>
      <w:r w:rsidR="00D66461">
        <w:rPr>
          <w:rFonts w:cs="Times New Roman"/>
          <w:sz w:val="24"/>
          <w:szCs w:val="24"/>
        </w:rPr>
        <w:softHyphen/>
      </w:r>
      <w:r w:rsidRPr="00EC7FF5">
        <w:rPr>
          <w:rFonts w:cs="Times New Roman"/>
          <w:sz w:val="24"/>
          <w:szCs w:val="24"/>
        </w:rPr>
        <w:t>ita incomes are among the most urbanized countries [</w:t>
      </w:r>
      <w:r w:rsidRPr="00EC7FF5">
        <w:rPr>
          <w:rFonts w:cs="Times New Roman"/>
          <w:sz w:val="24"/>
          <w:szCs w:val="24"/>
          <w:lang w:val="uz-Cyrl-UZ"/>
        </w:rPr>
        <w:t>8</w:t>
      </w:r>
      <w:r w:rsidRPr="00EC7FF5">
        <w:rPr>
          <w:rFonts w:cs="Times New Roman"/>
          <w:sz w:val="24"/>
          <w:szCs w:val="24"/>
        </w:rPr>
        <w:t xml:space="preserve">]. Financial and political power is </w:t>
      </w:r>
      <w:r w:rsidRPr="00EC7FF5">
        <w:rPr>
          <w:rFonts w:cs="Times New Roman"/>
          <w:sz w:val="24"/>
          <w:szCs w:val="24"/>
        </w:rPr>
        <w:t>often concentrated in cities, opportunities for quick actions are created when necessary.</w:t>
      </w:r>
    </w:p>
    <w:p w14:paraId="770FF5C5" w14:textId="43491D87"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 xml:space="preserve">When we say the process of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w:t>
      </w:r>
      <w:r w:rsidR="00D66461">
        <w:rPr>
          <w:rFonts w:cs="Times New Roman"/>
          <w:sz w:val="24"/>
          <w:szCs w:val="24"/>
        </w:rPr>
        <w:softHyphen/>
      </w:r>
      <w:r w:rsidRPr="00EC7FF5">
        <w:rPr>
          <w:rFonts w:cs="Times New Roman"/>
          <w:sz w:val="24"/>
          <w:szCs w:val="24"/>
        </w:rPr>
        <w:t>tion, it is understood that in urban conditions people move and move from places. However, the meaning of the word</w:t>
      </w:r>
      <w:r w:rsidR="00F44A75">
        <w:rPr>
          <w:rFonts w:cs="Times New Roman"/>
          <w:sz w:val="24"/>
          <w:szCs w:val="24"/>
        </w:rPr>
        <w:t>”</w:t>
      </w:r>
      <w:r w:rsidRPr="00EC7FF5">
        <w:rPr>
          <w:rFonts w:cs="Times New Roman"/>
          <w:sz w:val="24"/>
          <w:szCs w:val="24"/>
        </w:rPr>
        <w:t xml:space="preserve"> city </w:t>
      </w:r>
      <w:r w:rsidR="00F44A75">
        <w:rPr>
          <w:rFonts w:cs="Times New Roman"/>
          <w:sz w:val="24"/>
          <w:szCs w:val="24"/>
        </w:rPr>
        <w:t>“</w:t>
      </w:r>
      <w:r w:rsidRPr="00EC7FF5">
        <w:rPr>
          <w:rFonts w:cs="Times New Roman"/>
          <w:sz w:val="24"/>
          <w:szCs w:val="24"/>
        </w:rPr>
        <w:t xml:space="preserve"> does not have a universal definition. In different countries, many different interpretations can be seen, and they often do not give the same concept. There are different options: living in the capital, eco</w:t>
      </w:r>
      <w:r w:rsidR="00D66461">
        <w:rPr>
          <w:rFonts w:cs="Times New Roman"/>
          <w:sz w:val="24"/>
          <w:szCs w:val="24"/>
        </w:rPr>
        <w:softHyphen/>
      </w:r>
      <w:r w:rsidRPr="00EC7FF5">
        <w:rPr>
          <w:rFonts w:cs="Times New Roman"/>
          <w:sz w:val="24"/>
          <w:szCs w:val="24"/>
        </w:rPr>
        <w:t>nomic activity in the region, population or even population density. The non-availability of the universal definition makes it difficult to compare different countries and cities in terms of population health, as well as the burden and impact of infectious diseases [</w:t>
      </w:r>
      <w:r w:rsidRPr="00EC7FF5">
        <w:rPr>
          <w:rFonts w:cs="Times New Roman"/>
          <w:sz w:val="24"/>
          <w:szCs w:val="24"/>
          <w:lang w:val="uz-Cyrl-UZ"/>
        </w:rPr>
        <w:t>3</w:t>
      </w:r>
      <w:r w:rsidRPr="00EC7FF5">
        <w:rPr>
          <w:rFonts w:cs="Times New Roman"/>
          <w:sz w:val="24"/>
          <w:szCs w:val="24"/>
        </w:rPr>
        <w:t>].</w:t>
      </w:r>
    </w:p>
    <w:p w14:paraId="3A547E3A" w14:textId="39D5FA7C"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In most of the studies conducted, the dif</w:t>
      </w:r>
      <w:r w:rsidR="00D66461">
        <w:rPr>
          <w:rFonts w:cs="Times New Roman"/>
          <w:sz w:val="24"/>
          <w:szCs w:val="24"/>
        </w:rPr>
        <w:softHyphen/>
      </w:r>
      <w:r w:rsidRPr="00EC7FF5">
        <w:rPr>
          <w:rFonts w:cs="Times New Roman"/>
          <w:sz w:val="24"/>
          <w:szCs w:val="24"/>
        </w:rPr>
        <w:t>ferences between urban and rural areas were examined and different urban conditions were not compared. In this particular environment, it can be difficult to get a full understanding from a global perspective and better under</w:t>
      </w:r>
      <w:r w:rsidR="00D66461">
        <w:rPr>
          <w:rFonts w:cs="Times New Roman"/>
          <w:sz w:val="24"/>
          <w:szCs w:val="24"/>
        </w:rPr>
        <w:softHyphen/>
      </w:r>
      <w:r w:rsidRPr="00EC7FF5">
        <w:rPr>
          <w:rFonts w:cs="Times New Roman"/>
          <w:sz w:val="24"/>
          <w:szCs w:val="24"/>
        </w:rPr>
        <w:t>stand the burden of infectious diseases. Cities in the world can be very diverse, and even very large differences can be observed in local dis</w:t>
      </w:r>
      <w:r w:rsidR="00D66461">
        <w:rPr>
          <w:rFonts w:cs="Times New Roman"/>
          <w:sz w:val="24"/>
          <w:szCs w:val="24"/>
        </w:rPr>
        <w:softHyphen/>
      </w:r>
      <w:r w:rsidRPr="00EC7FF5">
        <w:rPr>
          <w:rFonts w:cs="Times New Roman"/>
          <w:sz w:val="24"/>
          <w:szCs w:val="24"/>
        </w:rPr>
        <w:lastRenderedPageBreak/>
        <w:t>eases and health problems. Problems for one city can be completely unusual for another.</w:t>
      </w:r>
    </w:p>
    <w:p w14:paraId="567B540E" w14:textId="13289DF3"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Urbanization is one of the leading secu</w:t>
      </w:r>
      <w:r w:rsidR="00D66461">
        <w:rPr>
          <w:rFonts w:cs="Times New Roman"/>
          <w:sz w:val="24"/>
          <w:szCs w:val="24"/>
        </w:rPr>
        <w:softHyphen/>
      </w:r>
      <w:r w:rsidRPr="00EC7FF5">
        <w:rPr>
          <w:rFonts w:cs="Times New Roman"/>
          <w:sz w:val="24"/>
          <w:szCs w:val="24"/>
        </w:rPr>
        <w:t>lar trends of the 21</w:t>
      </w:r>
      <w:r w:rsidRPr="00F44A75">
        <w:rPr>
          <w:rFonts w:cs="Times New Roman"/>
          <w:sz w:val="24"/>
          <w:szCs w:val="24"/>
          <w:vertAlign w:val="superscript"/>
        </w:rPr>
        <w:t>st</w:t>
      </w:r>
      <w:r w:rsidRPr="00EC7FF5">
        <w:rPr>
          <w:rFonts w:cs="Times New Roman"/>
          <w:sz w:val="24"/>
          <w:szCs w:val="24"/>
        </w:rPr>
        <w:t xml:space="preserve"> century and has a signifi</w:t>
      </w:r>
      <w:r w:rsidR="00D66461">
        <w:rPr>
          <w:rFonts w:cs="Times New Roman"/>
          <w:sz w:val="24"/>
          <w:szCs w:val="24"/>
        </w:rPr>
        <w:softHyphen/>
      </w:r>
      <w:r w:rsidRPr="00EC7FF5">
        <w:rPr>
          <w:rFonts w:cs="Times New Roman"/>
          <w:sz w:val="24"/>
          <w:szCs w:val="24"/>
        </w:rPr>
        <w:t>cant impact on health. 55% of the world</w:t>
      </w:r>
      <w:r w:rsidR="00F44A75">
        <w:rPr>
          <w:rFonts w:cs="Times New Roman"/>
          <w:sz w:val="24"/>
          <w:szCs w:val="24"/>
        </w:rPr>
        <w:t>’</w:t>
      </w:r>
      <w:r w:rsidRPr="00EC7FF5">
        <w:rPr>
          <w:rFonts w:cs="Times New Roman"/>
          <w:sz w:val="24"/>
          <w:szCs w:val="24"/>
        </w:rPr>
        <w:t>s pop</w:t>
      </w:r>
      <w:r w:rsidR="00D66461">
        <w:rPr>
          <w:rFonts w:cs="Times New Roman"/>
          <w:sz w:val="24"/>
          <w:szCs w:val="24"/>
        </w:rPr>
        <w:softHyphen/>
      </w:r>
      <w:r w:rsidRPr="00EC7FF5">
        <w:rPr>
          <w:rFonts w:cs="Times New Roman"/>
          <w:sz w:val="24"/>
          <w:szCs w:val="24"/>
        </w:rPr>
        <w:t>ulation lives in cities, and this number is ex</w:t>
      </w:r>
      <w:r w:rsidR="00D66461">
        <w:rPr>
          <w:rFonts w:cs="Times New Roman"/>
          <w:sz w:val="24"/>
          <w:szCs w:val="24"/>
        </w:rPr>
        <w:softHyphen/>
      </w:r>
      <w:r w:rsidRPr="00EC7FF5">
        <w:rPr>
          <w:rFonts w:cs="Times New Roman"/>
          <w:sz w:val="24"/>
          <w:szCs w:val="24"/>
        </w:rPr>
        <w:t>pected to increase by 2050 to 68%. In the fu</w:t>
      </w:r>
      <w:r w:rsidR="00D66461">
        <w:rPr>
          <w:rFonts w:cs="Times New Roman"/>
          <w:sz w:val="24"/>
          <w:szCs w:val="24"/>
        </w:rPr>
        <w:softHyphen/>
      </w:r>
      <w:r w:rsidRPr="00EC7FF5">
        <w:rPr>
          <w:rFonts w:cs="Times New Roman"/>
          <w:sz w:val="24"/>
          <w:szCs w:val="24"/>
        </w:rPr>
        <w:t>ture, the growth of cities occurs mainly in de</w:t>
      </w:r>
      <w:r w:rsidR="00D66461">
        <w:rPr>
          <w:rFonts w:cs="Times New Roman"/>
          <w:sz w:val="24"/>
          <w:szCs w:val="24"/>
        </w:rPr>
        <w:softHyphen/>
      </w:r>
      <w:r w:rsidRPr="00EC7FF5">
        <w:rPr>
          <w:rFonts w:cs="Times New Roman"/>
          <w:sz w:val="24"/>
          <w:szCs w:val="24"/>
        </w:rPr>
        <w:t>veloping cities, in the world today there is an opportunity to focus on urbanization and other important development areas of cities to pro</w:t>
      </w:r>
      <w:r w:rsidR="00D66461">
        <w:rPr>
          <w:rFonts w:cs="Times New Roman"/>
          <w:sz w:val="24"/>
          <w:szCs w:val="24"/>
        </w:rPr>
        <w:softHyphen/>
      </w:r>
      <w:r w:rsidRPr="00EC7FF5">
        <w:rPr>
          <w:rFonts w:cs="Times New Roman"/>
          <w:sz w:val="24"/>
          <w:szCs w:val="24"/>
        </w:rPr>
        <w:t>tect and strengthen health. This is because the health and well-being of the citizens is proba</w:t>
      </w:r>
      <w:r w:rsidR="00D66461">
        <w:rPr>
          <w:rFonts w:cs="Times New Roman"/>
          <w:sz w:val="24"/>
          <w:szCs w:val="24"/>
        </w:rPr>
        <w:softHyphen/>
      </w:r>
      <w:r w:rsidRPr="00EC7FF5">
        <w:rPr>
          <w:rFonts w:cs="Times New Roman"/>
          <w:sz w:val="24"/>
          <w:szCs w:val="24"/>
        </w:rPr>
        <w:t>bly the most important aspect of the city</w:t>
      </w:r>
      <w:r w:rsidR="00F44A75">
        <w:rPr>
          <w:rFonts w:cs="Times New Roman"/>
          <w:sz w:val="24"/>
          <w:szCs w:val="24"/>
        </w:rPr>
        <w:t>’</w:t>
      </w:r>
      <w:r w:rsidRPr="00EC7FF5">
        <w:rPr>
          <w:rFonts w:cs="Times New Roman"/>
          <w:sz w:val="24"/>
          <w:szCs w:val="24"/>
        </w:rPr>
        <w:t>s at</w:t>
      </w:r>
      <w:r w:rsidR="00D66461">
        <w:rPr>
          <w:rFonts w:cs="Times New Roman"/>
          <w:sz w:val="24"/>
          <w:szCs w:val="24"/>
        </w:rPr>
        <w:softHyphen/>
      </w:r>
      <w:r w:rsidRPr="00EC7FF5">
        <w:rPr>
          <w:rFonts w:cs="Times New Roman"/>
          <w:sz w:val="24"/>
          <w:szCs w:val="24"/>
        </w:rPr>
        <w:t xml:space="preserve">tention. However, the majority of 4,2 billion people living in urban areas </w:t>
      </w:r>
      <w:r w:rsidR="00F44A75">
        <w:rPr>
          <w:rFonts w:cs="Times New Roman"/>
          <w:sz w:val="24"/>
          <w:szCs w:val="24"/>
        </w:rPr>
        <w:t>–</w:t>
      </w:r>
      <w:r w:rsidRPr="00EC7FF5">
        <w:rPr>
          <w:rFonts w:cs="Times New Roman"/>
          <w:sz w:val="24"/>
          <w:szCs w:val="24"/>
        </w:rPr>
        <w:t xml:space="preserve"> half of humanity – suffer from inadequate housing and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w:t>
      </w:r>
      <w:r w:rsidR="00D66461">
        <w:rPr>
          <w:rFonts w:cs="Times New Roman"/>
          <w:sz w:val="24"/>
          <w:szCs w:val="24"/>
        </w:rPr>
        <w:softHyphen/>
      </w:r>
      <w:r w:rsidRPr="00EC7FF5">
        <w:rPr>
          <w:rFonts w:cs="Times New Roman"/>
          <w:sz w:val="24"/>
          <w:szCs w:val="24"/>
        </w:rPr>
        <w:t>tation, poor sanitation and waste disposal, as well as contaminated air that does not comply with the WHO guidelines. In addition, other forms of pollution, such as noise, water and soil pollution, hot spots in the city, and lack of space for walking and biking and an active life</w:t>
      </w:r>
      <w:r w:rsidR="00D66461">
        <w:rPr>
          <w:rFonts w:cs="Times New Roman"/>
          <w:sz w:val="24"/>
          <w:szCs w:val="24"/>
        </w:rPr>
        <w:softHyphen/>
      </w:r>
      <w:r w:rsidRPr="00EC7FF5">
        <w:rPr>
          <w:rFonts w:cs="Times New Roman"/>
          <w:sz w:val="24"/>
          <w:szCs w:val="24"/>
        </w:rPr>
        <w:t>style, can also represent cities as an epidemic of non-communicable diseases, and an epicen</w:t>
      </w:r>
      <w:r w:rsidR="00D66461">
        <w:rPr>
          <w:rFonts w:cs="Times New Roman"/>
          <w:sz w:val="24"/>
          <w:szCs w:val="24"/>
        </w:rPr>
        <w:softHyphen/>
      </w:r>
      <w:r w:rsidRPr="00EC7FF5">
        <w:rPr>
          <w:rFonts w:cs="Times New Roman"/>
          <w:sz w:val="24"/>
          <w:szCs w:val="24"/>
        </w:rPr>
        <w:t>ter of climate change as a driving force.</w:t>
      </w:r>
    </w:p>
    <w:p w14:paraId="545486E2" w14:textId="1788DA3B"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The population of today</w:t>
      </w:r>
      <w:r w:rsidR="00F44A75">
        <w:rPr>
          <w:rFonts w:cs="Times New Roman"/>
          <w:sz w:val="24"/>
          <w:szCs w:val="24"/>
        </w:rPr>
        <w:t>’</w:t>
      </w:r>
      <w:r w:rsidRPr="00EC7FF5">
        <w:rPr>
          <w:rFonts w:cs="Times New Roman"/>
          <w:sz w:val="24"/>
          <w:szCs w:val="24"/>
        </w:rPr>
        <w:t>s and Future Cit</w:t>
      </w:r>
      <w:r w:rsidR="00D66461">
        <w:rPr>
          <w:rFonts w:cs="Times New Roman"/>
          <w:sz w:val="24"/>
          <w:szCs w:val="24"/>
        </w:rPr>
        <w:softHyphen/>
      </w:r>
      <w:r w:rsidRPr="00EC7FF5">
        <w:rPr>
          <w:rFonts w:cs="Times New Roman"/>
          <w:sz w:val="24"/>
          <w:szCs w:val="24"/>
        </w:rPr>
        <w:t xml:space="preserve">ies is suffering from infectious diseases such as HIV/AIDS, tuberculosis, pneumonia, dengue and diarrhea; non </w:t>
      </w:r>
      <w:r w:rsidR="00F44A75">
        <w:rPr>
          <w:rFonts w:cs="Times New Roman"/>
          <w:sz w:val="24"/>
          <w:szCs w:val="24"/>
        </w:rPr>
        <w:t>–</w:t>
      </w:r>
      <w:r w:rsidRPr="00EC7FF5">
        <w:rPr>
          <w:rFonts w:cs="Times New Roman"/>
          <w:sz w:val="24"/>
          <w:szCs w:val="24"/>
        </w:rPr>
        <w:t xml:space="preserve"> communicable diseases such as cardiovascular disease, stroke, asthma and other respiratory diseases, cancer, diabetes and depression; violence and injuries, </w:t>
      </w:r>
      <w:r w:rsidR="00F44A75">
        <w:rPr>
          <w:rFonts w:cs="Times New Roman"/>
          <w:sz w:val="24"/>
          <w:szCs w:val="24"/>
        </w:rPr>
        <w:t>I</w:t>
      </w:r>
      <w:r w:rsidR="00D66461">
        <w:rPr>
          <w:rFonts w:cs="Times New Roman"/>
          <w:sz w:val="24"/>
          <w:szCs w:val="24"/>
        </w:rPr>
        <w:softHyphen/>
      </w:r>
      <w:r w:rsidRPr="00EC7FF5">
        <w:rPr>
          <w:rFonts w:cs="Times New Roman"/>
          <w:sz w:val="24"/>
          <w:szCs w:val="24"/>
        </w:rPr>
        <w:t>ing road traffic injuries. While cities can come up with a lot of challenges, they can open up opportunities to improve mobility in relation to health, clean environment and climate. Urban policy should be in line with such calls, be</w:t>
      </w:r>
      <w:r w:rsidR="00D66461">
        <w:rPr>
          <w:rFonts w:cs="Times New Roman"/>
          <w:sz w:val="24"/>
          <w:szCs w:val="24"/>
        </w:rPr>
        <w:softHyphen/>
      </w:r>
      <w:r w:rsidRPr="00EC7FF5">
        <w:rPr>
          <w:rFonts w:cs="Times New Roman"/>
          <w:sz w:val="24"/>
          <w:szCs w:val="24"/>
        </w:rPr>
        <w:t>cause health is essential to ensure a high in</w:t>
      </w:r>
      <w:r w:rsidR="00D66461">
        <w:rPr>
          <w:rFonts w:cs="Times New Roman"/>
          <w:sz w:val="24"/>
          <w:szCs w:val="24"/>
        </w:rPr>
        <w:softHyphen/>
      </w:r>
      <w:r w:rsidRPr="00EC7FF5">
        <w:rPr>
          <w:rFonts w:cs="Times New Roman"/>
          <w:sz w:val="24"/>
          <w:szCs w:val="24"/>
        </w:rPr>
        <w:t xml:space="preserve">come for living in cities, to create manpower for production, to create a viable and dynamic community, to develop mobility, to promote social interaction and to protect the needy groups of the population. Cities should also </w:t>
      </w:r>
      <w:r w:rsidRPr="00EC7FF5">
        <w:rPr>
          <w:rFonts w:cs="Times New Roman"/>
          <w:sz w:val="24"/>
          <w:szCs w:val="24"/>
        </w:rPr>
        <w:t>take advantage of the opportunity provided by a single body under the leadership of the mu</w:t>
      </w:r>
      <w:r w:rsidR="00D66461">
        <w:rPr>
          <w:rFonts w:cs="Times New Roman"/>
          <w:sz w:val="24"/>
          <w:szCs w:val="24"/>
        </w:rPr>
        <w:softHyphen/>
      </w:r>
      <w:r w:rsidRPr="00EC7FF5">
        <w:rPr>
          <w:rFonts w:cs="Times New Roman"/>
          <w:sz w:val="24"/>
          <w:szCs w:val="24"/>
        </w:rPr>
        <w:t xml:space="preserve">nicipal governorship, which has the authority to make decisions on urban planning,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w:t>
      </w:r>
      <w:r w:rsidR="00D66461">
        <w:rPr>
          <w:rFonts w:cs="Times New Roman"/>
          <w:sz w:val="24"/>
          <w:szCs w:val="24"/>
        </w:rPr>
        <w:softHyphen/>
      </w:r>
      <w:r w:rsidRPr="00EC7FF5">
        <w:rPr>
          <w:rFonts w:cs="Times New Roman"/>
          <w:sz w:val="24"/>
          <w:szCs w:val="24"/>
        </w:rPr>
        <w:t>tation systems, procurement, energy, water and sanitation, as well as the network on Waste Management [</w:t>
      </w:r>
      <w:r w:rsidRPr="00EC7FF5">
        <w:rPr>
          <w:rFonts w:cs="Times New Roman"/>
          <w:sz w:val="24"/>
          <w:szCs w:val="24"/>
          <w:lang w:val="uz-Cyrl-UZ"/>
        </w:rPr>
        <w:t>3</w:t>
      </w:r>
      <w:r w:rsidRPr="00EC7FF5">
        <w:rPr>
          <w:rFonts w:cs="Times New Roman"/>
          <w:sz w:val="24"/>
          <w:szCs w:val="24"/>
        </w:rPr>
        <w:t>].</w:t>
      </w:r>
    </w:p>
    <w:p w14:paraId="49C77839" w14:textId="77777777"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Strategic urban planning remains the key to creating a conducive environment for health from the point of view of planning, investing and integrating political decision making in matters of Health and fairness at the local level.</w:t>
      </w:r>
    </w:p>
    <w:p w14:paraId="045C00AC" w14:textId="7798EA52"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The structure and level of morbidity is the most important component of a compre</w:t>
      </w:r>
      <w:r w:rsidR="00D66461">
        <w:rPr>
          <w:rFonts w:cs="Times New Roman"/>
          <w:sz w:val="24"/>
          <w:szCs w:val="24"/>
        </w:rPr>
        <w:softHyphen/>
      </w:r>
      <w:r w:rsidRPr="00EC7FF5">
        <w:rPr>
          <w:rFonts w:cs="Times New Roman"/>
          <w:sz w:val="24"/>
          <w:szCs w:val="24"/>
        </w:rPr>
        <w:t>hensive assessment of the health of the popu</w:t>
      </w:r>
      <w:r w:rsidR="00D66461">
        <w:rPr>
          <w:rFonts w:cs="Times New Roman"/>
          <w:sz w:val="24"/>
          <w:szCs w:val="24"/>
        </w:rPr>
        <w:softHyphen/>
      </w:r>
      <w:r w:rsidRPr="00EC7FF5">
        <w:rPr>
          <w:rFonts w:cs="Times New Roman"/>
          <w:sz w:val="24"/>
          <w:szCs w:val="24"/>
        </w:rPr>
        <w:t>lation. Morbidity data are needed to base man</w:t>
      </w:r>
      <w:r w:rsidR="00D66461">
        <w:rPr>
          <w:rFonts w:cs="Times New Roman"/>
          <w:sz w:val="24"/>
          <w:szCs w:val="24"/>
        </w:rPr>
        <w:softHyphen/>
      </w:r>
      <w:r w:rsidRPr="00EC7FF5">
        <w:rPr>
          <w:rFonts w:cs="Times New Roman"/>
          <w:sz w:val="24"/>
          <w:szCs w:val="24"/>
        </w:rPr>
        <w:t>agement decisions at the federal and municipal level of health care. Based on the study of the current situation associated with the disease of the population and the forecast of its change in the future, it is possible to base the adequate planning of the network of medical organiza</w:t>
      </w:r>
      <w:r w:rsidR="00D66461">
        <w:rPr>
          <w:rFonts w:cs="Times New Roman"/>
          <w:sz w:val="24"/>
          <w:szCs w:val="24"/>
        </w:rPr>
        <w:softHyphen/>
      </w:r>
      <w:r w:rsidRPr="00EC7FF5">
        <w:rPr>
          <w:rFonts w:cs="Times New Roman"/>
          <w:sz w:val="24"/>
          <w:szCs w:val="24"/>
        </w:rPr>
        <w:t>tions and the need for other types of health re</w:t>
      </w:r>
      <w:r w:rsidR="00D66461">
        <w:rPr>
          <w:rFonts w:cs="Times New Roman"/>
          <w:sz w:val="24"/>
          <w:szCs w:val="24"/>
        </w:rPr>
        <w:softHyphen/>
      </w:r>
      <w:r w:rsidRPr="00EC7FF5">
        <w:rPr>
          <w:rFonts w:cs="Times New Roman"/>
          <w:sz w:val="24"/>
          <w:szCs w:val="24"/>
        </w:rPr>
        <w:t>sources.</w:t>
      </w:r>
    </w:p>
    <w:p w14:paraId="5892716B" w14:textId="4F4B5826"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According to the State Statistics Office of the Republic of Uzbekistan, the average an</w:t>
      </w:r>
      <w:r w:rsidR="00D66461">
        <w:rPr>
          <w:rFonts w:cs="Times New Roman"/>
          <w:sz w:val="24"/>
          <w:szCs w:val="24"/>
        </w:rPr>
        <w:softHyphen/>
      </w:r>
      <w:r w:rsidRPr="00EC7FF5">
        <w:rPr>
          <w:rFonts w:cs="Times New Roman"/>
          <w:sz w:val="24"/>
          <w:szCs w:val="24"/>
        </w:rPr>
        <w:t>nual population of the Republic is growing. In particular, the total population in 2021 year amounted to 34 131 615 people, which was more than 5 383 263 compared to 2011, the growth rate was 18.7%. The process of urban</w:t>
      </w:r>
      <w:r w:rsidR="00D66461">
        <w:rPr>
          <w:rFonts w:cs="Times New Roman"/>
          <w:sz w:val="24"/>
          <w:szCs w:val="24"/>
        </w:rPr>
        <w:softHyphen/>
      </w:r>
      <w:r w:rsidRPr="00EC7FF5">
        <w:rPr>
          <w:rFonts w:cs="Times New Roman"/>
          <w:sz w:val="24"/>
          <w:szCs w:val="24"/>
        </w:rPr>
        <w:t>ization and the change in the distribution of the population of the Republic between rural and urban areas are relevant for Uzbekistan. In ac</w:t>
      </w:r>
      <w:r w:rsidR="00D66461">
        <w:rPr>
          <w:rFonts w:cs="Times New Roman"/>
          <w:sz w:val="24"/>
          <w:szCs w:val="24"/>
        </w:rPr>
        <w:softHyphen/>
      </w:r>
      <w:r w:rsidRPr="00EC7FF5">
        <w:rPr>
          <w:rFonts w:cs="Times New Roman"/>
          <w:sz w:val="24"/>
          <w:szCs w:val="24"/>
        </w:rPr>
        <w:t>cordance with the agrarian orientation of the network structure of the economy, a significant predominance of the rural population was ob</w:t>
      </w:r>
      <w:r w:rsidR="00D66461">
        <w:rPr>
          <w:rFonts w:cs="Times New Roman"/>
          <w:sz w:val="24"/>
          <w:szCs w:val="24"/>
        </w:rPr>
        <w:softHyphen/>
      </w:r>
      <w:r w:rsidRPr="00EC7FF5">
        <w:rPr>
          <w:rFonts w:cs="Times New Roman"/>
          <w:sz w:val="24"/>
          <w:szCs w:val="24"/>
        </w:rPr>
        <w:t xml:space="preserve">served. In 2011, the share of the rural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D66461">
        <w:rPr>
          <w:rFonts w:cs="Times New Roman"/>
          <w:sz w:val="24"/>
          <w:szCs w:val="24"/>
        </w:rPr>
        <w:softHyphen/>
      </w:r>
      <w:r w:rsidRPr="00EC7FF5">
        <w:rPr>
          <w:rFonts w:cs="Times New Roman"/>
          <w:sz w:val="24"/>
          <w:szCs w:val="24"/>
        </w:rPr>
        <w:t>tion was 57,3%. After organizational and ad</w:t>
      </w:r>
      <w:r w:rsidR="00D66461">
        <w:rPr>
          <w:rFonts w:cs="Times New Roman"/>
          <w:sz w:val="24"/>
          <w:szCs w:val="24"/>
        </w:rPr>
        <w:softHyphen/>
      </w:r>
      <w:r w:rsidRPr="00EC7FF5">
        <w:rPr>
          <w:rFonts w:cs="Times New Roman"/>
          <w:sz w:val="24"/>
          <w:szCs w:val="24"/>
        </w:rPr>
        <w:t>ministrative measures were taken to accelerate urbanization processes, consisting in the trans</w:t>
      </w:r>
      <w:r w:rsidR="00D66461">
        <w:rPr>
          <w:rFonts w:cs="Times New Roman"/>
          <w:sz w:val="24"/>
          <w:szCs w:val="24"/>
        </w:rPr>
        <w:softHyphen/>
      </w:r>
      <w:r w:rsidRPr="00EC7FF5">
        <w:rPr>
          <w:rFonts w:cs="Times New Roman"/>
          <w:sz w:val="24"/>
          <w:szCs w:val="24"/>
        </w:rPr>
        <w:t xml:space="preserve">formation of a number of rural population punks into urban settlements, the percentage of rural population decreased. However, in the following years, mainly due to </w:t>
      </w:r>
      <w:r w:rsidRPr="00EC7FF5">
        <w:rPr>
          <w:rFonts w:cs="Times New Roman"/>
          <w:sz w:val="24"/>
          <w:szCs w:val="24"/>
        </w:rPr>
        <w:lastRenderedPageBreak/>
        <w:t>the ongoing dif</w:t>
      </w:r>
      <w:r w:rsidR="00D66461">
        <w:rPr>
          <w:rFonts w:cs="Times New Roman"/>
          <w:sz w:val="24"/>
          <w:szCs w:val="24"/>
        </w:rPr>
        <w:softHyphen/>
      </w:r>
      <w:r w:rsidRPr="00EC7FF5">
        <w:rPr>
          <w:rFonts w:cs="Times New Roman"/>
          <w:sz w:val="24"/>
          <w:szCs w:val="24"/>
        </w:rPr>
        <w:t>ferences in fertility in the village and the city, as well as migration, the share of the urban population gradually decreased [</w:t>
      </w:r>
      <w:r w:rsidRPr="00EC7FF5">
        <w:rPr>
          <w:rFonts w:cs="Times New Roman"/>
          <w:sz w:val="24"/>
          <w:szCs w:val="24"/>
          <w:lang w:val="uz-Cyrl-UZ"/>
        </w:rPr>
        <w:t>1</w:t>
      </w:r>
      <w:r w:rsidRPr="00EC7FF5">
        <w:rPr>
          <w:rFonts w:cs="Times New Roman"/>
          <w:sz w:val="24"/>
          <w:szCs w:val="24"/>
        </w:rPr>
        <w:t>,</w:t>
      </w:r>
      <w:r w:rsidRPr="00EC7FF5">
        <w:rPr>
          <w:rFonts w:cs="Times New Roman"/>
          <w:sz w:val="24"/>
          <w:szCs w:val="24"/>
          <w:lang w:val="uz-Cyrl-UZ"/>
        </w:rPr>
        <w:t xml:space="preserve"> 4, </w:t>
      </w:r>
      <w:r w:rsidRPr="00EC7FF5">
        <w:rPr>
          <w:rFonts w:cs="Times New Roman"/>
          <w:sz w:val="24"/>
          <w:szCs w:val="24"/>
        </w:rPr>
        <w:t>7].</w:t>
      </w:r>
    </w:p>
    <w:p w14:paraId="0515F2C9" w14:textId="3EDFFD5E"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 xml:space="preserve">Thus, in 2021, the share of the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D66461">
        <w:rPr>
          <w:rFonts w:cs="Times New Roman"/>
          <w:sz w:val="24"/>
          <w:szCs w:val="24"/>
        </w:rPr>
        <w:softHyphen/>
      </w:r>
      <w:r w:rsidRPr="00EC7FF5">
        <w:rPr>
          <w:rFonts w:cs="Times New Roman"/>
          <w:sz w:val="24"/>
          <w:szCs w:val="24"/>
        </w:rPr>
        <w:t>tion of the city of the Republic decreased slightly, but steadily, and in 2011 amounted to 57,3%, in 2021 50,8%.</w:t>
      </w:r>
    </w:p>
    <w:p w14:paraId="360FC57D" w14:textId="3FE10B75"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Analyzing the dynamics of the disease in the last 10 years of the population of the Re</w:t>
      </w:r>
      <w:r w:rsidR="00D66461">
        <w:rPr>
          <w:rFonts w:cs="Times New Roman"/>
          <w:sz w:val="24"/>
          <w:szCs w:val="24"/>
        </w:rPr>
        <w:softHyphen/>
      </w:r>
      <w:r w:rsidRPr="00EC7FF5">
        <w:rPr>
          <w:rFonts w:cs="Times New Roman"/>
          <w:sz w:val="24"/>
          <w:szCs w:val="24"/>
        </w:rPr>
        <w:t>public of Uzbekistan, the General disease is characterized by a gradual increase in the inci</w:t>
      </w:r>
      <w:r w:rsidR="00D66461">
        <w:rPr>
          <w:rFonts w:cs="Times New Roman"/>
          <w:sz w:val="24"/>
          <w:szCs w:val="24"/>
        </w:rPr>
        <w:softHyphen/>
      </w:r>
      <w:r w:rsidRPr="00EC7FF5">
        <w:rPr>
          <w:rFonts w:cs="Times New Roman"/>
          <w:sz w:val="24"/>
          <w:szCs w:val="24"/>
        </w:rPr>
        <w:t>dence due to the increase in diseases of the ear and mucous membranes (VIII), respiratory or</w:t>
      </w:r>
      <w:r w:rsidR="00D66461">
        <w:rPr>
          <w:rFonts w:cs="Times New Roman"/>
          <w:sz w:val="24"/>
          <w:szCs w:val="24"/>
        </w:rPr>
        <w:softHyphen/>
      </w:r>
      <w:r w:rsidRPr="00EC7FF5">
        <w:rPr>
          <w:rFonts w:cs="Times New Roman"/>
          <w:sz w:val="24"/>
          <w:szCs w:val="24"/>
        </w:rPr>
        <w:t>gans (X), eyes and its formations (VII), the musculoskeletal system (XIII) and the circula</w:t>
      </w:r>
      <w:r w:rsidR="00D66461">
        <w:rPr>
          <w:rFonts w:cs="Times New Roman"/>
          <w:sz w:val="24"/>
          <w:szCs w:val="24"/>
        </w:rPr>
        <w:softHyphen/>
      </w:r>
      <w:r w:rsidRPr="00EC7FF5">
        <w:rPr>
          <w:rFonts w:cs="Times New Roman"/>
          <w:sz w:val="24"/>
          <w:szCs w:val="24"/>
        </w:rPr>
        <w:t>tory system (IX), digestive organs (XI), nerves (VI) and At the same time, the prevalence of diseases of the organs of blood and blood for</w:t>
      </w:r>
      <w:r w:rsidR="00D66461">
        <w:rPr>
          <w:rFonts w:cs="Times New Roman"/>
          <w:sz w:val="24"/>
          <w:szCs w:val="24"/>
        </w:rPr>
        <w:softHyphen/>
      </w:r>
      <w:r w:rsidRPr="00EC7FF5">
        <w:rPr>
          <w:rFonts w:cs="Times New Roman"/>
          <w:sz w:val="24"/>
          <w:szCs w:val="24"/>
        </w:rPr>
        <w:t>mation, mental disorders, congenital anoma</w:t>
      </w:r>
      <w:r w:rsidR="00D66461">
        <w:rPr>
          <w:rFonts w:cs="Times New Roman"/>
          <w:sz w:val="24"/>
          <w:szCs w:val="24"/>
        </w:rPr>
        <w:softHyphen/>
      </w:r>
      <w:r w:rsidRPr="00EC7FF5">
        <w:rPr>
          <w:rFonts w:cs="Times New Roman"/>
          <w:sz w:val="24"/>
          <w:szCs w:val="24"/>
        </w:rPr>
        <w:t>lies is decreasing. The level of primary mor</w:t>
      </w:r>
      <w:r w:rsidR="00D66461">
        <w:rPr>
          <w:rFonts w:cs="Times New Roman"/>
          <w:sz w:val="24"/>
          <w:szCs w:val="24"/>
        </w:rPr>
        <w:softHyphen/>
      </w:r>
      <w:r w:rsidRPr="00EC7FF5">
        <w:rPr>
          <w:rFonts w:cs="Times New Roman"/>
          <w:sz w:val="24"/>
          <w:szCs w:val="24"/>
        </w:rPr>
        <w:t>bidity in 2020 year reached 19367987.</w:t>
      </w:r>
    </w:p>
    <w:p w14:paraId="1618164B" w14:textId="21BE4669"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In the second place in the composition of the common disease are diseases of blood and blood-forming organs, the average value of which was 15692,05 per 100 thousand inhabit</w:t>
      </w:r>
      <w:r w:rsidR="00D66461">
        <w:rPr>
          <w:rFonts w:cs="Times New Roman"/>
          <w:sz w:val="24"/>
          <w:szCs w:val="24"/>
        </w:rPr>
        <w:softHyphen/>
      </w:r>
      <w:r w:rsidRPr="00EC7FF5">
        <w:rPr>
          <w:rFonts w:cs="Times New Roman"/>
          <w:sz w:val="24"/>
          <w:szCs w:val="24"/>
        </w:rPr>
        <w:t>ants. At the same time, over the years, there was a uniform decrease in morbidity, and in 2021 year the rate of decline was 22,7%. The share of diseases of blood and blood-forming organs in the composition of the general popu</w:t>
      </w:r>
      <w:r w:rsidR="00D66461">
        <w:rPr>
          <w:rFonts w:cs="Times New Roman"/>
          <w:sz w:val="24"/>
          <w:szCs w:val="24"/>
        </w:rPr>
        <w:softHyphen/>
      </w:r>
      <w:r w:rsidRPr="00EC7FF5">
        <w:rPr>
          <w:rFonts w:cs="Times New Roman"/>
          <w:sz w:val="24"/>
          <w:szCs w:val="24"/>
        </w:rPr>
        <w:t>lation is 19% and is formed mainly on the ac</w:t>
      </w:r>
      <w:r w:rsidR="00D66461">
        <w:rPr>
          <w:rFonts w:cs="Times New Roman"/>
          <w:sz w:val="24"/>
          <w:szCs w:val="24"/>
        </w:rPr>
        <w:softHyphen/>
      </w:r>
      <w:r w:rsidRPr="00EC7FF5">
        <w:rPr>
          <w:rFonts w:cs="Times New Roman"/>
          <w:sz w:val="24"/>
          <w:szCs w:val="24"/>
        </w:rPr>
        <w:t>count of anemia (98%). The number of cases of primary infection with diseases of blood and blood-forming organs is 6365.33 for every 100 thousand inhabitants, with a total incidence of 40,6%.</w:t>
      </w:r>
    </w:p>
    <w:p w14:paraId="351BF278" w14:textId="7266F037"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 xml:space="preserve">The </w:t>
      </w:r>
      <w:r w:rsidR="00F44A75">
        <w:rPr>
          <w:rFonts w:cs="Times New Roman"/>
          <w:sz w:val="24"/>
          <w:szCs w:val="24"/>
        </w:rPr>
        <w:t>I</w:t>
      </w:r>
      <w:r w:rsidRPr="00EC7FF5">
        <w:rPr>
          <w:rFonts w:cs="Times New Roman"/>
          <w:sz w:val="24"/>
          <w:szCs w:val="24"/>
        </w:rPr>
        <w:t>ncidence of diseases of the diges</w:t>
      </w:r>
      <w:r w:rsidR="00D66461">
        <w:rPr>
          <w:rFonts w:cs="Times New Roman"/>
          <w:sz w:val="24"/>
          <w:szCs w:val="24"/>
        </w:rPr>
        <w:softHyphen/>
      </w:r>
      <w:r w:rsidRPr="00EC7FF5">
        <w:rPr>
          <w:rFonts w:cs="Times New Roman"/>
          <w:sz w:val="24"/>
          <w:szCs w:val="24"/>
        </w:rPr>
        <w:t>tive system has increased by 20% over the past 5 years, taking the average 9817,74 over the 100 thousand inhabitants and the third place in the overall incidence structure; the share of the main disease is 64,5%. The main nosologies that make up this group of diseases are gastritis and duodenitis (11,9%), gall bladder and bili</w:t>
      </w:r>
      <w:r w:rsidR="00D66461">
        <w:rPr>
          <w:rFonts w:cs="Times New Roman"/>
          <w:sz w:val="24"/>
          <w:szCs w:val="24"/>
        </w:rPr>
        <w:softHyphen/>
      </w:r>
      <w:r w:rsidRPr="00EC7FF5">
        <w:rPr>
          <w:rFonts w:cs="Times New Roman"/>
          <w:sz w:val="24"/>
          <w:szCs w:val="24"/>
        </w:rPr>
        <w:t>ary tract diseases (4,7%), stomach and duode</w:t>
      </w:r>
      <w:r w:rsidR="00D66461">
        <w:rPr>
          <w:rFonts w:cs="Times New Roman"/>
          <w:sz w:val="24"/>
          <w:szCs w:val="24"/>
        </w:rPr>
        <w:softHyphen/>
      </w:r>
      <w:r w:rsidRPr="00EC7FF5">
        <w:rPr>
          <w:rFonts w:cs="Times New Roman"/>
          <w:sz w:val="24"/>
          <w:szCs w:val="24"/>
        </w:rPr>
        <w:t>nitis (3,6%). Diseases of the circulatory system take the fourth place in the overall morbidity structure of the population and are character</w:t>
      </w:r>
      <w:r w:rsidR="00D66461">
        <w:rPr>
          <w:rFonts w:cs="Times New Roman"/>
          <w:sz w:val="24"/>
          <w:szCs w:val="24"/>
        </w:rPr>
        <w:softHyphen/>
      </w:r>
      <w:r w:rsidRPr="00EC7FF5">
        <w:rPr>
          <w:rFonts w:cs="Times New Roman"/>
          <w:sz w:val="24"/>
          <w:szCs w:val="24"/>
        </w:rPr>
        <w:t>ized by high blood pressure and ischemic heart disease (40,3 and 18%, respectively). The growth rate (22,14%) of diseases of the circu</w:t>
      </w:r>
      <w:r w:rsidR="00D66461">
        <w:rPr>
          <w:rFonts w:cs="Times New Roman"/>
          <w:sz w:val="24"/>
          <w:szCs w:val="24"/>
        </w:rPr>
        <w:softHyphen/>
      </w:r>
      <w:r w:rsidRPr="00EC7FF5">
        <w:rPr>
          <w:rFonts w:cs="Times New Roman"/>
          <w:sz w:val="24"/>
          <w:szCs w:val="24"/>
        </w:rPr>
        <w:t>latory system is characterized by the greatest dynamic changes in the direction of growth. For five years, the average value of primary morbidity was 34.2%, while the number of 100 thousand population was 5935,62. The most common group of diseases is the IV class (dis</w:t>
      </w:r>
      <w:r w:rsidR="00D66461">
        <w:rPr>
          <w:rFonts w:cs="Times New Roman"/>
          <w:sz w:val="24"/>
          <w:szCs w:val="24"/>
        </w:rPr>
        <w:softHyphen/>
      </w:r>
      <w:r w:rsidRPr="00EC7FF5">
        <w:rPr>
          <w:rFonts w:cs="Times New Roman"/>
          <w:sz w:val="24"/>
          <w:szCs w:val="24"/>
        </w:rPr>
        <w:t>eases of the endocrine system, eating disor</w:t>
      </w:r>
      <w:r w:rsidR="00D66461">
        <w:rPr>
          <w:rFonts w:cs="Times New Roman"/>
          <w:sz w:val="24"/>
          <w:szCs w:val="24"/>
        </w:rPr>
        <w:softHyphen/>
      </w:r>
      <w:r w:rsidRPr="00EC7FF5">
        <w:rPr>
          <w:rFonts w:cs="Times New Roman"/>
          <w:sz w:val="24"/>
          <w:szCs w:val="24"/>
        </w:rPr>
        <w:t>ders, metabolic disorders), characterized by relatively the same dynamics over the past five years: the growth rates are increasing (up to 3.4%), but remain below the Republican indi</w:t>
      </w:r>
      <w:r w:rsidR="00D66461">
        <w:rPr>
          <w:rFonts w:cs="Times New Roman"/>
          <w:sz w:val="24"/>
          <w:szCs w:val="24"/>
        </w:rPr>
        <w:softHyphen/>
      </w:r>
      <w:r w:rsidRPr="00EC7FF5">
        <w:rPr>
          <w:rFonts w:cs="Times New Roman"/>
          <w:sz w:val="24"/>
          <w:szCs w:val="24"/>
        </w:rPr>
        <w:t>cators (up to 7.7%).</w:t>
      </w:r>
    </w:p>
    <w:p w14:paraId="0C31BA6B" w14:textId="32DB26BF"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The ranking of the indicators of the gen</w:t>
      </w:r>
      <w:r w:rsidR="00D66461">
        <w:rPr>
          <w:rFonts w:cs="Times New Roman"/>
          <w:sz w:val="24"/>
          <w:szCs w:val="24"/>
        </w:rPr>
        <w:softHyphen/>
      </w:r>
      <w:r w:rsidRPr="00EC7FF5">
        <w:rPr>
          <w:rFonts w:cs="Times New Roman"/>
          <w:sz w:val="24"/>
          <w:szCs w:val="24"/>
        </w:rPr>
        <w:t>eral morbidity of the population by Regions made it possible to determine the regions that are leading by the level of the general morbid</w:t>
      </w:r>
      <w:r w:rsidR="00D66461">
        <w:rPr>
          <w:rFonts w:cs="Times New Roman"/>
          <w:sz w:val="24"/>
          <w:szCs w:val="24"/>
        </w:rPr>
        <w:softHyphen/>
      </w:r>
      <w:r w:rsidRPr="00EC7FF5">
        <w:rPr>
          <w:rFonts w:cs="Times New Roman"/>
          <w:sz w:val="24"/>
          <w:szCs w:val="24"/>
        </w:rPr>
        <w:t>ity of the Republic. Thus, the highest rate of general morbidity among the population of Tashkent (129231,12±63,2), Fergana region (98480±9,6), Karakalpakstan Republic (93959,36±3,1), Khorezm (91466,62 ± 6,6), Navoi (90031,96±14,3) regions was recorded.</w:t>
      </w:r>
    </w:p>
    <w:p w14:paraId="6AC93FA9" w14:textId="7C2145E3"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Analysis of the structure of the General disease showed that among the inhabitants of Tashkent City this structure is mainly deter</w:t>
      </w:r>
      <w:r w:rsidR="00D66461">
        <w:rPr>
          <w:rFonts w:cs="Times New Roman"/>
          <w:sz w:val="24"/>
          <w:szCs w:val="24"/>
        </w:rPr>
        <w:softHyphen/>
      </w:r>
      <w:r w:rsidRPr="00EC7FF5">
        <w:rPr>
          <w:rFonts w:cs="Times New Roman"/>
          <w:sz w:val="24"/>
          <w:szCs w:val="24"/>
        </w:rPr>
        <w:t>mined by diseases of the respiratory system (23.8%), digestive system (18.6%), blood and blood-forming organs (8.6%), circulatory sys</w:t>
      </w:r>
      <w:r w:rsidR="00D66461">
        <w:rPr>
          <w:rFonts w:cs="Times New Roman"/>
          <w:sz w:val="24"/>
          <w:szCs w:val="24"/>
        </w:rPr>
        <w:softHyphen/>
      </w:r>
      <w:r w:rsidRPr="00EC7FF5">
        <w:rPr>
          <w:rFonts w:cs="Times New Roman"/>
          <w:sz w:val="24"/>
          <w:szCs w:val="24"/>
        </w:rPr>
        <w:t>tem (6.2%) and endocrine system (6.2%), to</w:t>
      </w:r>
      <w:r w:rsidR="00D66461">
        <w:rPr>
          <w:rFonts w:cs="Times New Roman"/>
          <w:sz w:val="24"/>
          <w:szCs w:val="24"/>
        </w:rPr>
        <w:softHyphen/>
      </w:r>
      <w:r w:rsidRPr="00EC7FF5">
        <w:rPr>
          <w:rFonts w:cs="Times New Roman"/>
          <w:sz w:val="24"/>
          <w:szCs w:val="24"/>
        </w:rPr>
        <w:t>gether they constitute 63.3% of the total struc</w:t>
      </w:r>
      <w:r w:rsidR="00D66461">
        <w:rPr>
          <w:rFonts w:cs="Times New Roman"/>
          <w:sz w:val="24"/>
          <w:szCs w:val="24"/>
        </w:rPr>
        <w:softHyphen/>
      </w:r>
      <w:r w:rsidRPr="00EC7FF5">
        <w:rPr>
          <w:rFonts w:cs="Times New Roman"/>
          <w:sz w:val="24"/>
          <w:szCs w:val="24"/>
        </w:rPr>
        <w:t>ture of the city population. The population of the city of Tashkent has the highest growth rate of the General disease compared to other re</w:t>
      </w:r>
      <w:r w:rsidR="00D66461">
        <w:rPr>
          <w:rFonts w:cs="Times New Roman"/>
          <w:sz w:val="24"/>
          <w:szCs w:val="24"/>
        </w:rPr>
        <w:softHyphen/>
      </w:r>
      <w:r w:rsidRPr="00EC7FF5">
        <w:rPr>
          <w:rFonts w:cs="Times New Roman"/>
          <w:sz w:val="24"/>
          <w:szCs w:val="24"/>
        </w:rPr>
        <w:t xml:space="preserve">gions </w:t>
      </w:r>
      <w:r w:rsidR="00F44A75">
        <w:rPr>
          <w:rFonts w:cs="Times New Roman"/>
          <w:sz w:val="24"/>
          <w:szCs w:val="24"/>
        </w:rPr>
        <w:t>–</w:t>
      </w:r>
      <w:r w:rsidRPr="00EC7FF5">
        <w:rPr>
          <w:rFonts w:cs="Times New Roman"/>
          <w:sz w:val="24"/>
          <w:szCs w:val="24"/>
        </w:rPr>
        <w:t xml:space="preserve"> 40% [1, </w:t>
      </w:r>
      <w:r w:rsidRPr="00EC7FF5">
        <w:rPr>
          <w:rFonts w:cs="Times New Roman"/>
          <w:sz w:val="24"/>
          <w:szCs w:val="24"/>
          <w:lang w:val="uz-Cyrl-UZ"/>
        </w:rPr>
        <w:t>4</w:t>
      </w:r>
      <w:r w:rsidRPr="00EC7FF5">
        <w:rPr>
          <w:rFonts w:cs="Times New Roman"/>
          <w:sz w:val="24"/>
          <w:szCs w:val="24"/>
        </w:rPr>
        <w:t>].</w:t>
      </w:r>
    </w:p>
    <w:p w14:paraId="459C175A" w14:textId="739BB8A1"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The health of</w:t>
      </w:r>
      <w:r w:rsidR="00F44A75" w:rsidRPr="00EC7FF5">
        <w:rPr>
          <w:rFonts w:cs="Times New Roman"/>
          <w:sz w:val="24"/>
          <w:szCs w:val="24"/>
        </w:rPr>
        <w:t xml:space="preserve"> </w:t>
      </w:r>
      <w:r w:rsidRPr="00EC7FF5">
        <w:rPr>
          <w:rFonts w:cs="Times New Roman"/>
          <w:sz w:val="24"/>
          <w:szCs w:val="24"/>
        </w:rPr>
        <w:t xml:space="preserve">the population, which is the most important economic and social potential of the country, is determined by the complex influence of socio-economic and biological </w:t>
      </w:r>
      <w:r w:rsidRPr="00EC7FF5">
        <w:rPr>
          <w:rFonts w:cs="Times New Roman"/>
          <w:sz w:val="24"/>
          <w:szCs w:val="24"/>
        </w:rPr>
        <w:lastRenderedPageBreak/>
        <w:t>factors and is assessed by a number of indica</w:t>
      </w:r>
      <w:r w:rsidR="00D66461">
        <w:rPr>
          <w:rFonts w:cs="Times New Roman"/>
          <w:sz w:val="24"/>
          <w:szCs w:val="24"/>
        </w:rPr>
        <w:softHyphen/>
      </w:r>
      <w:r w:rsidRPr="00EC7FF5">
        <w:rPr>
          <w:rFonts w:cs="Times New Roman"/>
          <w:sz w:val="24"/>
          <w:szCs w:val="24"/>
        </w:rPr>
        <w:t>tors such as demographic indicators, physical development, disease and disability. The issues of ensuring the quality of life of the population are of particular importance for Uzbekistan, a country with advanced economic develop</w:t>
      </w:r>
      <w:r w:rsidR="00D66461">
        <w:rPr>
          <w:rFonts w:cs="Times New Roman"/>
          <w:sz w:val="24"/>
          <w:szCs w:val="24"/>
        </w:rPr>
        <w:softHyphen/>
      </w:r>
      <w:r w:rsidRPr="00EC7FF5">
        <w:rPr>
          <w:rFonts w:cs="Times New Roman"/>
          <w:sz w:val="24"/>
          <w:szCs w:val="24"/>
        </w:rPr>
        <w:t>ment. The state reforms carried out have a pos</w:t>
      </w:r>
      <w:r w:rsidR="00D66461">
        <w:rPr>
          <w:rFonts w:cs="Times New Roman"/>
          <w:sz w:val="24"/>
          <w:szCs w:val="24"/>
        </w:rPr>
        <w:softHyphen/>
      </w:r>
      <w:r w:rsidRPr="00EC7FF5">
        <w:rPr>
          <w:rFonts w:cs="Times New Roman"/>
          <w:sz w:val="24"/>
          <w:szCs w:val="24"/>
        </w:rPr>
        <w:t>itive impact on the development of social in</w:t>
      </w:r>
      <w:r w:rsidR="00D66461">
        <w:rPr>
          <w:rFonts w:cs="Times New Roman"/>
          <w:sz w:val="24"/>
          <w:szCs w:val="24"/>
        </w:rPr>
        <w:softHyphen/>
      </w:r>
      <w:r w:rsidRPr="00EC7FF5">
        <w:rPr>
          <w:rFonts w:cs="Times New Roman"/>
          <w:sz w:val="24"/>
          <w:szCs w:val="24"/>
        </w:rPr>
        <w:t xml:space="preserve">frastructure in the regions of the Republic [2, 5, </w:t>
      </w:r>
      <w:r w:rsidRPr="00EC7FF5">
        <w:rPr>
          <w:rFonts w:cs="Times New Roman"/>
          <w:sz w:val="24"/>
          <w:szCs w:val="24"/>
          <w:lang w:val="uz-Cyrl-UZ"/>
        </w:rPr>
        <w:t>8</w:t>
      </w:r>
      <w:r w:rsidRPr="00EC7FF5">
        <w:rPr>
          <w:rFonts w:cs="Times New Roman"/>
          <w:sz w:val="24"/>
          <w:szCs w:val="24"/>
        </w:rPr>
        <w:t>].</w:t>
      </w:r>
    </w:p>
    <w:p w14:paraId="1038B356" w14:textId="4B5B292C"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Timely and qualitative Diagnostics, which is one of the main tasks, along with the socio-economic development of the regions, the rapid development of primary medical care, the provision of medical care at the level of district medical associations and district medical diagnostic centers of rural medical units, is of particular importance for the re</w:t>
      </w:r>
      <w:r w:rsidR="00D66461">
        <w:rPr>
          <w:rFonts w:cs="Times New Roman"/>
          <w:sz w:val="24"/>
          <w:szCs w:val="24"/>
        </w:rPr>
        <w:softHyphen/>
      </w:r>
      <w:r w:rsidRPr="00EC7FF5">
        <w:rPr>
          <w:rFonts w:cs="Times New Roman"/>
          <w:sz w:val="24"/>
          <w:szCs w:val="24"/>
        </w:rPr>
        <w:t>gions of the Republic. Improvement of medical care in rural areas of the Republic is becoming increasingly relevant. Analysis of the disease of the population in the regions of the Republic allows to identify the shortcomings and needs for the improvement of the health system and to develop socio-hygienic and therapeutic-prophylactic measures aimed at improving the health of the population [</w:t>
      </w:r>
      <w:r w:rsidRPr="00EC7FF5">
        <w:rPr>
          <w:rFonts w:cs="Times New Roman"/>
          <w:sz w:val="24"/>
          <w:szCs w:val="24"/>
          <w:lang w:val="uz-Cyrl-UZ"/>
        </w:rPr>
        <w:t>5</w:t>
      </w:r>
      <w:r w:rsidRPr="00EC7FF5">
        <w:rPr>
          <w:rFonts w:cs="Times New Roman"/>
          <w:sz w:val="24"/>
          <w:szCs w:val="24"/>
        </w:rPr>
        <w:t>].</w:t>
      </w:r>
    </w:p>
    <w:p w14:paraId="6A44A356" w14:textId="77777777" w:rsidR="00EC7FF5" w:rsidRPr="00EC7FF5" w:rsidRDefault="00EC7FF5" w:rsidP="00EC7FF5">
      <w:pPr>
        <w:spacing w:line="276" w:lineRule="auto"/>
        <w:ind w:firstLine="567"/>
        <w:jc w:val="both"/>
        <w:rPr>
          <w:rFonts w:cs="Times New Roman"/>
          <w:b/>
          <w:sz w:val="24"/>
          <w:szCs w:val="24"/>
        </w:rPr>
      </w:pPr>
    </w:p>
    <w:p w14:paraId="663B03D0" w14:textId="5112E22E" w:rsidR="00EC7FF5" w:rsidRDefault="00EC7FF5" w:rsidP="00D66461">
      <w:pPr>
        <w:spacing w:line="276" w:lineRule="auto"/>
        <w:jc w:val="center"/>
        <w:rPr>
          <w:rFonts w:cs="Times New Roman"/>
          <w:b/>
          <w:sz w:val="24"/>
          <w:szCs w:val="24"/>
        </w:rPr>
      </w:pPr>
      <w:r w:rsidRPr="00EC7FF5">
        <w:rPr>
          <w:rFonts w:cs="Times New Roman"/>
          <w:b/>
          <w:sz w:val="24"/>
          <w:szCs w:val="24"/>
        </w:rPr>
        <w:t>CONCLUSION</w:t>
      </w:r>
    </w:p>
    <w:p w14:paraId="5C7BDE65" w14:textId="77777777" w:rsidR="00D66461" w:rsidRPr="00EC7FF5" w:rsidRDefault="00D66461" w:rsidP="00D66461">
      <w:pPr>
        <w:spacing w:line="276" w:lineRule="auto"/>
        <w:jc w:val="center"/>
        <w:rPr>
          <w:rFonts w:cs="Times New Roman"/>
          <w:b/>
          <w:sz w:val="24"/>
          <w:szCs w:val="24"/>
        </w:rPr>
      </w:pPr>
    </w:p>
    <w:p w14:paraId="010E4025" w14:textId="7BD62EC5"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According to the State Statistics Office of the Republic of Uzbekistan, the average an</w:t>
      </w:r>
      <w:r w:rsidR="00D66461">
        <w:rPr>
          <w:rFonts w:cs="Times New Roman"/>
          <w:sz w:val="24"/>
          <w:szCs w:val="24"/>
        </w:rPr>
        <w:softHyphen/>
      </w:r>
      <w:r w:rsidRPr="00EC7FF5">
        <w:rPr>
          <w:rFonts w:cs="Times New Roman"/>
          <w:sz w:val="24"/>
          <w:szCs w:val="24"/>
        </w:rPr>
        <w:t>nual population of the Republic is growing. In 2021, the total population of the Republic was 34 131 615 people, which was more than 5 383 263 compared to 2011, the growth rate was 18.7%. In 2011-2021, the overall incidence of the population of the Republic of Uzbekistan increased by 7.7%. Among the population of the Republic, the leading pathology is Diseases of the respiratory system (23%), blood and blood-forming organs (19%), digestive organs (11.9%), circulatory system (7.2%) and endo</w:t>
      </w:r>
      <w:r w:rsidR="00D66461">
        <w:rPr>
          <w:rFonts w:cs="Times New Roman"/>
          <w:sz w:val="24"/>
          <w:szCs w:val="24"/>
        </w:rPr>
        <w:softHyphen/>
      </w:r>
      <w:r w:rsidRPr="00EC7FF5">
        <w:rPr>
          <w:rFonts w:cs="Times New Roman"/>
          <w:sz w:val="24"/>
          <w:szCs w:val="24"/>
        </w:rPr>
        <w:t xml:space="preserve">crine system diseases and disorders of </w:t>
      </w:r>
      <w:r w:rsidR="00F44A75">
        <w:rPr>
          <w:rFonts w:cs="Times New Roman"/>
          <w:sz w:val="24"/>
          <w:szCs w:val="24"/>
        </w:rPr>
        <w:pgNum/>
      </w:r>
      <w:r w:rsidR="00F44A75">
        <w:rPr>
          <w:rFonts w:cs="Times New Roman"/>
          <w:sz w:val="24"/>
          <w:szCs w:val="24"/>
        </w:rPr>
        <w:t>utria</w:t>
      </w:r>
      <w:r w:rsidR="00D66461">
        <w:rPr>
          <w:rFonts w:cs="Times New Roman"/>
          <w:sz w:val="24"/>
          <w:szCs w:val="24"/>
        </w:rPr>
        <w:softHyphen/>
      </w:r>
      <w:r w:rsidRPr="00EC7FF5">
        <w:rPr>
          <w:rFonts w:cs="Times New Roman"/>
          <w:sz w:val="24"/>
          <w:szCs w:val="24"/>
        </w:rPr>
        <w:t>tion, metabolic diseases (7%), which account for 68% of all diseases of the 19 classes.</w:t>
      </w:r>
    </w:p>
    <w:p w14:paraId="1ABF8F67" w14:textId="341EB2BE" w:rsidR="00EC7FF5" w:rsidRPr="00EC7FF5" w:rsidRDefault="00EC7FF5" w:rsidP="00EC7FF5">
      <w:pPr>
        <w:spacing w:line="276" w:lineRule="auto"/>
        <w:ind w:firstLine="567"/>
        <w:jc w:val="both"/>
        <w:rPr>
          <w:rFonts w:cs="Times New Roman"/>
          <w:sz w:val="24"/>
          <w:szCs w:val="24"/>
        </w:rPr>
      </w:pPr>
      <w:r w:rsidRPr="00EC7FF5">
        <w:rPr>
          <w:rFonts w:cs="Times New Roman"/>
          <w:sz w:val="24"/>
          <w:szCs w:val="24"/>
        </w:rPr>
        <w:t>Urbanization is now a continuous pro</w:t>
      </w:r>
      <w:r w:rsidR="00D66461">
        <w:rPr>
          <w:rFonts w:cs="Times New Roman"/>
          <w:sz w:val="24"/>
          <w:szCs w:val="24"/>
        </w:rPr>
        <w:softHyphen/>
      </w:r>
      <w:r w:rsidRPr="00EC7FF5">
        <w:rPr>
          <w:rFonts w:cs="Times New Roman"/>
          <w:sz w:val="24"/>
          <w:szCs w:val="24"/>
        </w:rPr>
        <w:t>cess in the world, but the pace of this process is not the same. Developed countries, which are traditionally</w:t>
      </w:r>
      <w:r w:rsidRPr="00EC7FF5">
        <w:rPr>
          <w:rFonts w:cs="Times New Roman"/>
          <w:sz w:val="24"/>
          <w:szCs w:val="24"/>
          <w:lang w:val="uz-Cyrl-UZ"/>
        </w:rPr>
        <w:t xml:space="preserve"> </w:t>
      </w:r>
      <w:r w:rsidRPr="00EC7FF5">
        <w:rPr>
          <w:rFonts w:cs="Times New Roman"/>
          <w:sz w:val="24"/>
          <w:szCs w:val="24"/>
        </w:rPr>
        <w:t>considered high-income coun</w:t>
      </w:r>
      <w:r w:rsidR="00D66461">
        <w:rPr>
          <w:rFonts w:cs="Times New Roman"/>
          <w:sz w:val="24"/>
          <w:szCs w:val="24"/>
        </w:rPr>
        <w:softHyphen/>
      </w:r>
      <w:r w:rsidRPr="00EC7FF5">
        <w:rPr>
          <w:rFonts w:cs="Times New Roman"/>
          <w:sz w:val="24"/>
          <w:szCs w:val="24"/>
        </w:rPr>
        <w:t>tries, have already been urbanized and there is a rapid recovery in developing countries. In</w:t>
      </w:r>
      <w:r w:rsidR="00D66461">
        <w:rPr>
          <w:rFonts w:cs="Times New Roman"/>
          <w:sz w:val="24"/>
          <w:szCs w:val="24"/>
        </w:rPr>
        <w:softHyphen/>
      </w:r>
      <w:r w:rsidRPr="00EC7FF5">
        <w:rPr>
          <w:rFonts w:cs="Times New Roman"/>
          <w:sz w:val="24"/>
          <w:szCs w:val="24"/>
        </w:rPr>
        <w:t>fectious diseases continue to have a huge im</w:t>
      </w:r>
      <w:r w:rsidR="00D66461">
        <w:rPr>
          <w:rFonts w:cs="Times New Roman"/>
          <w:sz w:val="24"/>
          <w:szCs w:val="24"/>
        </w:rPr>
        <w:softHyphen/>
      </w:r>
      <w:r w:rsidRPr="00EC7FF5">
        <w:rPr>
          <w:rFonts w:cs="Times New Roman"/>
          <w:sz w:val="24"/>
          <w:szCs w:val="24"/>
        </w:rPr>
        <w:t>pact on health globally, and urbanization is changing the characteristics of these diseases. Living conditions in urban areas are generally better than in rural areas; the improvement of housing conditions, sanitation, ventilation and social services play an important role in the im</w:t>
      </w:r>
      <w:r w:rsidR="00D66461">
        <w:rPr>
          <w:rFonts w:cs="Times New Roman"/>
          <w:sz w:val="24"/>
          <w:szCs w:val="24"/>
        </w:rPr>
        <w:softHyphen/>
      </w:r>
      <w:r w:rsidRPr="00EC7FF5">
        <w:rPr>
          <w:rFonts w:cs="Times New Roman"/>
          <w:sz w:val="24"/>
          <w:szCs w:val="24"/>
        </w:rPr>
        <w:t>provement of this living environment.</w:t>
      </w:r>
    </w:p>
    <w:p w14:paraId="41ED3298" w14:textId="77777777" w:rsidR="00EC7FF5" w:rsidRPr="00EC7FF5" w:rsidRDefault="00EC7FF5" w:rsidP="00EC7FF5">
      <w:pPr>
        <w:spacing w:line="276" w:lineRule="auto"/>
        <w:ind w:firstLine="567"/>
        <w:jc w:val="both"/>
        <w:rPr>
          <w:rFonts w:cs="Times New Roman"/>
          <w:sz w:val="24"/>
          <w:szCs w:val="24"/>
        </w:rPr>
      </w:pPr>
    </w:p>
    <w:p w14:paraId="43BABDD5" w14:textId="05E1C602" w:rsidR="00EC7FF5" w:rsidRDefault="00D66461" w:rsidP="00D66461">
      <w:pPr>
        <w:spacing w:line="276" w:lineRule="auto"/>
        <w:jc w:val="center"/>
        <w:rPr>
          <w:rFonts w:cs="Times New Roman"/>
          <w:b/>
          <w:sz w:val="24"/>
          <w:szCs w:val="24"/>
        </w:rPr>
      </w:pPr>
      <w:r w:rsidRPr="00EC7FF5">
        <w:rPr>
          <w:rFonts w:cs="Times New Roman"/>
          <w:b/>
          <w:sz w:val="24"/>
          <w:szCs w:val="24"/>
        </w:rPr>
        <w:t>REFERENCES</w:t>
      </w:r>
    </w:p>
    <w:p w14:paraId="24C44A62" w14:textId="77777777" w:rsidR="00D66461" w:rsidRPr="00EC7FF5" w:rsidRDefault="00D66461" w:rsidP="00D66461">
      <w:pPr>
        <w:spacing w:line="276" w:lineRule="auto"/>
        <w:jc w:val="center"/>
        <w:rPr>
          <w:rFonts w:cs="Times New Roman"/>
          <w:b/>
          <w:sz w:val="24"/>
          <w:szCs w:val="24"/>
        </w:rPr>
      </w:pPr>
    </w:p>
    <w:p w14:paraId="0AD71C37" w14:textId="2D361EFB" w:rsidR="00CD3673" w:rsidRPr="00CD3673" w:rsidRDefault="00CD3673" w:rsidP="00CD3673">
      <w:pPr>
        <w:numPr>
          <w:ilvl w:val="0"/>
          <w:numId w:val="35"/>
        </w:numPr>
        <w:tabs>
          <w:tab w:val="left" w:pos="851"/>
        </w:tabs>
        <w:spacing w:line="276" w:lineRule="auto"/>
        <w:ind w:left="0" w:firstLine="567"/>
        <w:contextualSpacing/>
        <w:jc w:val="both"/>
        <w:rPr>
          <w:rFonts w:cs="Times New Roman"/>
          <w:sz w:val="24"/>
          <w:szCs w:val="24"/>
        </w:rPr>
      </w:pPr>
      <w:r w:rsidRPr="00CD3673">
        <w:rPr>
          <w:rFonts w:cs="Times New Roman"/>
          <w:sz w:val="24"/>
          <w:szCs w:val="24"/>
        </w:rPr>
        <w:t xml:space="preserve">Ataniyazova, R.A. Analysis of the incidence of the population of the Republic of Uzbekistan for 5 years (2012-2016) in the context of regions / R.A. Ataniyazova // Journal of Theoretical and Clinical Medicine. </w:t>
      </w:r>
      <w:r w:rsidR="00F44A75">
        <w:rPr>
          <w:rFonts w:cs="Times New Roman"/>
          <w:sz w:val="24"/>
          <w:szCs w:val="24"/>
        </w:rPr>
        <w:t>–</w:t>
      </w:r>
      <w:r w:rsidRPr="00CD3673">
        <w:rPr>
          <w:rFonts w:cs="Times New Roman"/>
          <w:sz w:val="24"/>
          <w:szCs w:val="24"/>
        </w:rPr>
        <w:t xml:space="preserve"> 2018. </w:t>
      </w:r>
      <w:r w:rsidR="00F44A75">
        <w:rPr>
          <w:rFonts w:cs="Times New Roman"/>
          <w:sz w:val="24"/>
          <w:szCs w:val="24"/>
        </w:rPr>
        <w:t>–</w:t>
      </w:r>
      <w:r w:rsidRPr="00CD3673">
        <w:rPr>
          <w:rFonts w:cs="Times New Roman"/>
          <w:sz w:val="24"/>
          <w:szCs w:val="24"/>
        </w:rPr>
        <w:t xml:space="preserve"> No. 2. </w:t>
      </w:r>
      <w:r w:rsidR="00F44A75">
        <w:rPr>
          <w:rFonts w:cs="Times New Roman"/>
          <w:sz w:val="24"/>
          <w:szCs w:val="24"/>
        </w:rPr>
        <w:t>–</w:t>
      </w:r>
      <w:r w:rsidRPr="00CD3673">
        <w:rPr>
          <w:rFonts w:cs="Times New Roman"/>
          <w:sz w:val="24"/>
          <w:szCs w:val="24"/>
        </w:rPr>
        <w:t xml:space="preserve"> S. 51-55.</w:t>
      </w:r>
    </w:p>
    <w:p w14:paraId="796225D8" w14:textId="69A10AAC" w:rsidR="00CD3673" w:rsidRPr="00CD3673" w:rsidRDefault="00CD3673" w:rsidP="00CD3673">
      <w:pPr>
        <w:numPr>
          <w:ilvl w:val="0"/>
          <w:numId w:val="35"/>
        </w:numPr>
        <w:tabs>
          <w:tab w:val="left" w:pos="851"/>
        </w:tabs>
        <w:spacing w:line="276" w:lineRule="auto"/>
        <w:ind w:left="0" w:firstLine="567"/>
        <w:contextualSpacing/>
        <w:jc w:val="both"/>
        <w:rPr>
          <w:rFonts w:cs="Times New Roman"/>
          <w:sz w:val="24"/>
          <w:szCs w:val="24"/>
        </w:rPr>
      </w:pPr>
      <w:r w:rsidRPr="00CD3673">
        <w:rPr>
          <w:rFonts w:cs="Times New Roman"/>
          <w:sz w:val="24"/>
          <w:szCs w:val="24"/>
        </w:rPr>
        <w:t>Levchenko O.V., Gerasimov A.N., Kuchma V.R. The influence of socio-economic factors on the incidence of socially significant and main classes of diseases in children and adolescents. Population health and habitat. 2018; 8(35): 21-25.</w:t>
      </w:r>
    </w:p>
    <w:p w14:paraId="4552D4B1" w14:textId="4C328912" w:rsidR="00CD3673" w:rsidRPr="00CD3673" w:rsidRDefault="00CD3673" w:rsidP="00CD3673">
      <w:pPr>
        <w:numPr>
          <w:ilvl w:val="0"/>
          <w:numId w:val="35"/>
        </w:numPr>
        <w:tabs>
          <w:tab w:val="left" w:pos="851"/>
        </w:tabs>
        <w:spacing w:line="276" w:lineRule="auto"/>
        <w:ind w:left="0" w:firstLine="567"/>
        <w:contextualSpacing/>
        <w:jc w:val="both"/>
        <w:rPr>
          <w:rFonts w:cs="Times New Roman"/>
          <w:sz w:val="24"/>
          <w:szCs w:val="24"/>
          <w:lang w:val="ru-RU"/>
        </w:rPr>
      </w:pPr>
      <w:r w:rsidRPr="00CD3673">
        <w:rPr>
          <w:rFonts w:cs="Times New Roman"/>
          <w:sz w:val="24"/>
          <w:szCs w:val="24"/>
        </w:rPr>
        <w:t>Perevertailo E.A. The phenomenon of children</w:t>
      </w:r>
      <w:r w:rsidR="00F44A75">
        <w:rPr>
          <w:rFonts w:cs="Times New Roman"/>
          <w:sz w:val="24"/>
          <w:szCs w:val="24"/>
        </w:rPr>
        <w:t>’</w:t>
      </w:r>
      <w:r w:rsidRPr="00CD3673">
        <w:rPr>
          <w:rFonts w:cs="Times New Roman"/>
          <w:sz w:val="24"/>
          <w:szCs w:val="24"/>
        </w:rPr>
        <w:t xml:space="preserve">s health as a criterion for the social well-being of society and the state. Issues of health culture in the theory and practice of education. </w:t>
      </w:r>
      <w:r w:rsidRPr="00CD3673">
        <w:rPr>
          <w:rFonts w:cs="Times New Roman"/>
          <w:sz w:val="24"/>
          <w:szCs w:val="24"/>
          <w:lang w:val="ru-RU"/>
        </w:rPr>
        <w:t>2011; 2(14): 55-58.</w:t>
      </w:r>
    </w:p>
    <w:p w14:paraId="15B662A5" w14:textId="771C95CF" w:rsidR="00CD3673" w:rsidRPr="00CD3673" w:rsidRDefault="00CD3673" w:rsidP="00CD3673">
      <w:pPr>
        <w:numPr>
          <w:ilvl w:val="0"/>
          <w:numId w:val="35"/>
        </w:numPr>
        <w:tabs>
          <w:tab w:val="left" w:pos="851"/>
        </w:tabs>
        <w:spacing w:line="276" w:lineRule="auto"/>
        <w:ind w:left="0" w:firstLine="567"/>
        <w:contextualSpacing/>
        <w:jc w:val="both"/>
        <w:rPr>
          <w:rFonts w:cs="Times New Roman"/>
          <w:sz w:val="24"/>
          <w:szCs w:val="24"/>
          <w:lang w:val="ru-RU"/>
        </w:rPr>
      </w:pPr>
      <w:r w:rsidRPr="00CD3673">
        <w:rPr>
          <w:rFonts w:cs="Times New Roman"/>
          <w:sz w:val="24"/>
          <w:szCs w:val="24"/>
          <w:lang w:val="ru-RU"/>
        </w:rPr>
        <w:t xml:space="preserve">Sadullaeva Kh.A., Salomova F.I., Akhmadalieva N.O., Ataniyazova R.A. Urban environment change and population morbidity/ International Journal of Development and Public Policy (IJDPP) (ISSN 2792-1883). </w:t>
      </w:r>
      <w:r w:rsidR="00F44A75">
        <w:rPr>
          <w:rFonts w:cs="Times New Roman"/>
          <w:sz w:val="24"/>
          <w:szCs w:val="24"/>
          <w:lang w:val="ru-RU"/>
        </w:rPr>
        <w:t>–</w:t>
      </w:r>
      <w:r w:rsidRPr="00CD3673">
        <w:rPr>
          <w:rFonts w:cs="Times New Roman"/>
          <w:sz w:val="24"/>
          <w:szCs w:val="24"/>
          <w:lang w:val="ru-RU"/>
        </w:rPr>
        <w:t xml:space="preserve"> 2021. </w:t>
      </w:r>
      <w:r w:rsidR="00F44A75">
        <w:rPr>
          <w:rFonts w:cs="Times New Roman"/>
          <w:sz w:val="24"/>
          <w:szCs w:val="24"/>
          <w:lang w:val="ru-RU"/>
        </w:rPr>
        <w:t>–</w:t>
      </w:r>
      <w:r w:rsidRPr="00CD3673">
        <w:rPr>
          <w:rFonts w:cs="Times New Roman"/>
          <w:sz w:val="24"/>
          <w:szCs w:val="24"/>
          <w:lang w:val="ru-RU"/>
        </w:rPr>
        <w:t xml:space="preserve"> No. 11(8). </w:t>
      </w:r>
      <w:r w:rsidR="00F44A75">
        <w:rPr>
          <w:rFonts w:cs="Times New Roman"/>
          <w:sz w:val="24"/>
          <w:szCs w:val="24"/>
          <w:lang w:val="ru-RU"/>
        </w:rPr>
        <w:t>–</w:t>
      </w:r>
      <w:r w:rsidRPr="00CD3673">
        <w:rPr>
          <w:rFonts w:cs="Times New Roman"/>
          <w:sz w:val="24"/>
          <w:szCs w:val="24"/>
          <w:lang w:val="ru-RU"/>
        </w:rPr>
        <w:t xml:space="preserve"> S. 602-608.</w:t>
      </w:r>
    </w:p>
    <w:p w14:paraId="18B0AA7C" w14:textId="6ADB77CE" w:rsidR="00EC7FF5" w:rsidRPr="00246C36" w:rsidRDefault="00CD3673" w:rsidP="00CD3673">
      <w:pPr>
        <w:numPr>
          <w:ilvl w:val="0"/>
          <w:numId w:val="35"/>
        </w:numPr>
        <w:tabs>
          <w:tab w:val="left" w:pos="851"/>
        </w:tabs>
        <w:spacing w:line="276" w:lineRule="auto"/>
        <w:ind w:left="0" w:firstLine="567"/>
        <w:contextualSpacing/>
        <w:jc w:val="both"/>
        <w:rPr>
          <w:rFonts w:cs="Times New Roman"/>
          <w:sz w:val="24"/>
          <w:szCs w:val="24"/>
        </w:rPr>
      </w:pPr>
      <w:r w:rsidRPr="00CD3673">
        <w:rPr>
          <w:rFonts w:cs="Times New Roman"/>
          <w:sz w:val="24"/>
          <w:szCs w:val="24"/>
        </w:rPr>
        <w:t xml:space="preserve">Syrovatskaya I.V. Statistical study of the impact of morbidity in children and adolescents on the development of the human </w:t>
      </w:r>
      <w:r w:rsidRPr="00CD3673">
        <w:rPr>
          <w:rFonts w:cs="Times New Roman"/>
          <w:sz w:val="24"/>
          <w:szCs w:val="24"/>
        </w:rPr>
        <w:lastRenderedPageBreak/>
        <w:t xml:space="preserve">potential of the region. </w:t>
      </w:r>
      <w:r w:rsidRPr="00F45F40">
        <w:rPr>
          <w:rFonts w:cs="Times New Roman"/>
          <w:sz w:val="24"/>
          <w:szCs w:val="24"/>
        </w:rPr>
        <w:t xml:space="preserve">Management of economic systems. [Electronic scientific </w:t>
      </w:r>
      <w:r w:rsidRPr="00246C36">
        <w:rPr>
          <w:rFonts w:cs="Times New Roman"/>
          <w:sz w:val="24"/>
          <w:szCs w:val="24"/>
        </w:rPr>
        <w:t>journal]. 2018; 5(111).</w:t>
      </w:r>
      <w:r w:rsidR="00F45F40" w:rsidRPr="00246C36">
        <w:rPr>
          <w:rFonts w:cs="Times New Roman"/>
          <w:sz w:val="24"/>
          <w:szCs w:val="24"/>
          <w:lang w:val="ru-RU"/>
        </w:rPr>
        <w:t xml:space="preserve"> </w:t>
      </w:r>
    </w:p>
    <w:p w14:paraId="4C89031B" w14:textId="6E18B6C2" w:rsidR="00EC7FF5" w:rsidRPr="00EC7FF5" w:rsidRDefault="00EC7FF5" w:rsidP="00F45F40">
      <w:pPr>
        <w:tabs>
          <w:tab w:val="left" w:pos="851"/>
        </w:tabs>
        <w:spacing w:line="276" w:lineRule="auto"/>
        <w:contextualSpacing/>
        <w:jc w:val="both"/>
        <w:rPr>
          <w:rFonts w:cs="Times New Roman"/>
          <w:sz w:val="24"/>
          <w:szCs w:val="24"/>
          <w:lang w:val="ru-RU"/>
        </w:rPr>
      </w:pPr>
      <w:r w:rsidRPr="00246C36">
        <w:rPr>
          <w:rFonts w:cs="Times New Roman"/>
          <w:sz w:val="24"/>
          <w:szCs w:val="24"/>
          <w:lang w:val="ru-RU"/>
        </w:rPr>
        <w:t xml:space="preserve">URL: http://uecs.ru/index.php?option=com_flexicontent&amp;view=items&amp;id=4896 (Дата </w:t>
      </w:r>
      <w:r w:rsidRPr="00EC7FF5">
        <w:rPr>
          <w:rFonts w:cs="Times New Roman"/>
          <w:sz w:val="24"/>
          <w:szCs w:val="24"/>
          <w:lang w:val="ru-RU"/>
        </w:rPr>
        <w:t>обращения 22.09.2019).</w:t>
      </w:r>
    </w:p>
    <w:p w14:paraId="3F48F528" w14:textId="00860B67" w:rsidR="00EC7FF5" w:rsidRPr="00EC7FF5" w:rsidRDefault="00EC7FF5" w:rsidP="00EC7FF5">
      <w:pPr>
        <w:numPr>
          <w:ilvl w:val="0"/>
          <w:numId w:val="35"/>
        </w:numPr>
        <w:tabs>
          <w:tab w:val="left" w:pos="851"/>
        </w:tabs>
        <w:spacing w:line="276" w:lineRule="auto"/>
        <w:ind w:left="0" w:firstLine="567"/>
        <w:contextualSpacing/>
        <w:jc w:val="both"/>
        <w:rPr>
          <w:rFonts w:cs="Times New Roman"/>
          <w:sz w:val="24"/>
          <w:szCs w:val="24"/>
          <w:lang w:val="ru-RU"/>
        </w:rPr>
      </w:pPr>
      <w:r w:rsidRPr="00EC7FF5">
        <w:rPr>
          <w:rFonts w:cs="Times New Roman"/>
          <w:sz w:val="24"/>
          <w:szCs w:val="24"/>
          <w:shd w:val="clear" w:color="auto" w:fill="FFFFFF"/>
        </w:rPr>
        <w:t>Neiderud CJ. How urbanization af</w:t>
      </w:r>
      <w:r w:rsidR="00D66461">
        <w:rPr>
          <w:rFonts w:cs="Times New Roman"/>
          <w:sz w:val="24"/>
          <w:szCs w:val="24"/>
          <w:shd w:val="clear" w:color="auto" w:fill="FFFFFF"/>
        </w:rPr>
        <w:softHyphen/>
      </w:r>
      <w:r w:rsidRPr="00EC7FF5">
        <w:rPr>
          <w:rFonts w:cs="Times New Roman"/>
          <w:sz w:val="24"/>
          <w:szCs w:val="24"/>
          <w:shd w:val="clear" w:color="auto" w:fill="FFFFFF"/>
        </w:rPr>
        <w:t>fects the epidemiology of emerging infectious diseases. Infect Ecol Epidemiol. 2015;</w:t>
      </w:r>
      <w:r w:rsidRPr="00EC7FF5">
        <w:rPr>
          <w:rFonts w:cs="Times New Roman"/>
          <w:sz w:val="24"/>
          <w:szCs w:val="24"/>
          <w:shd w:val="clear" w:color="auto" w:fill="FFFFFF"/>
          <w:lang w:val="uz-Cyrl-UZ"/>
        </w:rPr>
        <w:t xml:space="preserve"> </w:t>
      </w:r>
      <w:r w:rsidRPr="00EC7FF5">
        <w:rPr>
          <w:rFonts w:cs="Times New Roman"/>
          <w:sz w:val="24"/>
          <w:szCs w:val="24"/>
          <w:shd w:val="clear" w:color="auto" w:fill="FFFFFF"/>
        </w:rPr>
        <w:t>5:27060. Published 2015 Jun 24. doi:10.3402/iee.v5.27060</w:t>
      </w:r>
    </w:p>
    <w:p w14:paraId="6CF1CAE8" w14:textId="10A75692" w:rsidR="00EC7FF5" w:rsidRPr="00EC7FF5" w:rsidRDefault="00EC7FF5" w:rsidP="00EC7FF5">
      <w:pPr>
        <w:numPr>
          <w:ilvl w:val="0"/>
          <w:numId w:val="35"/>
        </w:numPr>
        <w:tabs>
          <w:tab w:val="left" w:pos="851"/>
        </w:tabs>
        <w:spacing w:line="276" w:lineRule="auto"/>
        <w:ind w:left="0" w:firstLine="567"/>
        <w:contextualSpacing/>
        <w:jc w:val="both"/>
        <w:rPr>
          <w:rFonts w:cs="Times New Roman"/>
          <w:sz w:val="24"/>
          <w:szCs w:val="24"/>
        </w:rPr>
      </w:pPr>
      <w:r w:rsidRPr="00EC7FF5">
        <w:rPr>
          <w:rFonts w:cs="Times New Roman"/>
          <w:sz w:val="24"/>
          <w:szCs w:val="24"/>
        </w:rPr>
        <w:t>Sabaev A.V., Goleva O.P., Tasova Z.B. Analysis of dynamics of primary morbid</w:t>
      </w:r>
      <w:r w:rsidR="00D66461">
        <w:rPr>
          <w:rFonts w:cs="Times New Roman"/>
          <w:sz w:val="24"/>
          <w:szCs w:val="24"/>
        </w:rPr>
        <w:softHyphen/>
      </w:r>
      <w:r w:rsidRPr="00EC7FF5">
        <w:rPr>
          <w:rFonts w:cs="Times New Roman"/>
          <w:sz w:val="24"/>
          <w:szCs w:val="24"/>
        </w:rPr>
        <w:t>ity of the Omsk Region population. Public Health and Life Environment – PH&amp;LE. 2019;(7):13-16.</w:t>
      </w:r>
      <w:r w:rsidR="00D66461" w:rsidRPr="00D66461">
        <w:rPr>
          <w:rFonts w:cs="Times New Roman"/>
          <w:sz w:val="24"/>
          <w:szCs w:val="24"/>
        </w:rPr>
        <w:t xml:space="preserve"> </w:t>
      </w:r>
      <w:r w:rsidRPr="00EC7FF5">
        <w:rPr>
          <w:rFonts w:cs="Times New Roman"/>
          <w:sz w:val="24"/>
          <w:szCs w:val="24"/>
        </w:rPr>
        <w:t>(In Russ.) </w:t>
      </w:r>
      <w:r w:rsidR="00D66461" w:rsidRPr="00B71C19">
        <w:rPr>
          <w:rFonts w:cs="Times New Roman"/>
          <w:sz w:val="24"/>
          <w:szCs w:val="24"/>
        </w:rPr>
        <w:t xml:space="preserve"> </w:t>
      </w:r>
      <w:r w:rsidR="00D66461" w:rsidRPr="00246C36">
        <w:rPr>
          <w:rFonts w:cs="Times New Roman"/>
          <w:sz w:val="24"/>
          <w:szCs w:val="24"/>
        </w:rPr>
        <w:t>https://doi.org/ 10.35627/2219-5238/2019-316-7-13-16</w:t>
      </w:r>
    </w:p>
    <w:p w14:paraId="13021C26" w14:textId="2D514977" w:rsidR="00EC7FF5" w:rsidRPr="00EC7FF5" w:rsidRDefault="00D66461" w:rsidP="00EC7FF5">
      <w:pPr>
        <w:numPr>
          <w:ilvl w:val="0"/>
          <w:numId w:val="35"/>
        </w:numPr>
        <w:tabs>
          <w:tab w:val="left" w:pos="851"/>
        </w:tabs>
        <w:spacing w:line="276" w:lineRule="auto"/>
        <w:ind w:left="0" w:firstLine="567"/>
        <w:contextualSpacing/>
        <w:jc w:val="both"/>
        <w:rPr>
          <w:rFonts w:cs="Times New Roman"/>
          <w:sz w:val="24"/>
          <w:szCs w:val="24"/>
        </w:rPr>
      </w:pPr>
      <w:r w:rsidRPr="00246C36">
        <w:rPr>
          <w:rFonts w:cs="Times New Roman"/>
          <w:sz w:val="24"/>
          <w:szCs w:val="24"/>
        </w:rPr>
        <w:t>https://www.who.int/health-top</w:t>
      </w:r>
      <w:r w:rsidRPr="00246C36">
        <w:rPr>
          <w:rFonts w:cs="Times New Roman"/>
          <w:sz w:val="24"/>
          <w:szCs w:val="24"/>
        </w:rPr>
        <w:softHyphen/>
        <w:t>ics/urban-health#:~:text=Urbaniza</w:t>
      </w:r>
      <w:r w:rsidRPr="00246C36">
        <w:rPr>
          <w:rFonts w:cs="Times New Roman"/>
          <w:sz w:val="24"/>
          <w:szCs w:val="24"/>
        </w:rPr>
        <w:softHyphen/>
        <w:t>tion%20is%20one%20of%20the,in</w:t>
      </w:r>
      <w:r w:rsidRPr="00246C36">
        <w:rPr>
          <w:rFonts w:cs="Times New Roman"/>
          <w:sz w:val="24"/>
          <w:szCs w:val="24"/>
        </w:rPr>
        <w:softHyphen/>
        <w:t>crease%20to%2068%25%20by%202050</w:t>
      </w:r>
      <w:r w:rsidR="00EC7FF5" w:rsidRPr="00EC7FF5">
        <w:rPr>
          <w:rFonts w:cs="Times New Roman"/>
          <w:sz w:val="24"/>
          <w:szCs w:val="24"/>
        </w:rPr>
        <w:t>.</w:t>
      </w:r>
    </w:p>
    <w:p w14:paraId="547B0DF5" w14:textId="77777777" w:rsidR="00D66461" w:rsidRDefault="00D66461" w:rsidP="00EC7FF5">
      <w:pPr>
        <w:spacing w:line="276" w:lineRule="auto"/>
        <w:ind w:firstLine="567"/>
        <w:contextualSpacing/>
        <w:jc w:val="both"/>
        <w:rPr>
          <w:rFonts w:cs="Times New Roman"/>
          <w:sz w:val="24"/>
          <w:szCs w:val="24"/>
        </w:rPr>
        <w:sectPr w:rsidR="00D66461" w:rsidSect="00D66461">
          <w:type w:val="continuous"/>
          <w:pgSz w:w="11907" w:h="16840" w:code="9"/>
          <w:pgMar w:top="1418" w:right="1134" w:bottom="1134" w:left="1134" w:header="907" w:footer="794" w:gutter="0"/>
          <w:cols w:num="2" w:space="708"/>
          <w:docGrid w:linePitch="381"/>
        </w:sectPr>
      </w:pPr>
    </w:p>
    <w:p w14:paraId="52FE86A4" w14:textId="77777777" w:rsidR="00EC7FF5" w:rsidRPr="00EC7FF5" w:rsidRDefault="00EC7FF5" w:rsidP="00EC7FF5">
      <w:pPr>
        <w:spacing w:line="276" w:lineRule="auto"/>
        <w:ind w:firstLine="567"/>
        <w:contextualSpacing/>
        <w:jc w:val="both"/>
        <w:rPr>
          <w:rFonts w:cs="Times New Roman"/>
          <w:sz w:val="24"/>
          <w:szCs w:val="24"/>
        </w:rPr>
      </w:pPr>
    </w:p>
    <w:p w14:paraId="567530A2"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35239671"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487C54B7"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57AFE09"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7396079"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287AFD56" w14:textId="1B387D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1320868" w14:textId="5779773D"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9E049DB" w14:textId="5C7E4992"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3D95F45" w14:textId="7528D638"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3AAF21CC" w14:textId="6BB067E6"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98EC5C2" w14:textId="25459033"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8B9BD81" w14:textId="08A7FAEC"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2F51E95B" w14:textId="747215AE"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7B6BB4E" w14:textId="183C8C5C"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5E163E9" w14:textId="12C2CE38"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66DF563" w14:textId="536BB5E6"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62E17B6" w14:textId="1150952F"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B77ED69" w14:textId="22DBBDF9"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313B15A" w14:textId="0587B6DF"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427F2F13" w14:textId="243DD03C"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26A4996" w14:textId="7295FDBE"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F3464C5" w14:textId="180AD86C"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31D6EA3" w14:textId="4B2A6763"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34CD2AB1" w14:textId="3DEB871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0FAA5F71" w14:textId="161C1C9D"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4F826D1B" w14:textId="59A075E1"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7BD7271B" w14:textId="08042602"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2232BD1F" w14:textId="0F8E100D"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80A88A1"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1A72EC1A"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187AE52F"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2F0DBA84"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2558A333"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59A0464E" w14:textId="77777777" w:rsidR="00D66461" w:rsidRDefault="00D66461" w:rsidP="00EC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bCs/>
          <w:color w:val="202124"/>
          <w:sz w:val="24"/>
          <w:szCs w:val="24"/>
          <w:lang w:eastAsia="ru-RU"/>
        </w:rPr>
      </w:pPr>
    </w:p>
    <w:p w14:paraId="61F773F6" w14:textId="77777777" w:rsidR="004F7307" w:rsidRPr="00D27CEF" w:rsidRDefault="004F7307" w:rsidP="004F7307">
      <w:pPr>
        <w:jc w:val="both"/>
        <w:rPr>
          <w:rFonts w:eastAsia="Calibri" w:cs="Times New Roman"/>
          <w:sz w:val="24"/>
          <w:szCs w:val="24"/>
        </w:rPr>
      </w:pPr>
      <w:r w:rsidRPr="004F7307">
        <w:rPr>
          <w:rFonts w:eastAsia="Calibri" w:cs="Times New Roman"/>
          <w:sz w:val="24"/>
          <w:szCs w:val="24"/>
          <w:lang w:val="ru-RU"/>
        </w:rPr>
        <w:t>УДК</w:t>
      </w:r>
      <w:r w:rsidRPr="00D27CEF">
        <w:rPr>
          <w:rFonts w:eastAsia="Calibri" w:cs="Times New Roman"/>
          <w:sz w:val="24"/>
          <w:szCs w:val="24"/>
        </w:rPr>
        <w:t xml:space="preserve">: 616.056.257+616:613.2  </w:t>
      </w:r>
    </w:p>
    <w:p w14:paraId="66DC7B5D" w14:textId="1DBCD76D" w:rsidR="004F7307" w:rsidRPr="00D27CEF" w:rsidRDefault="004F7307" w:rsidP="004F7307">
      <w:pPr>
        <w:jc w:val="both"/>
        <w:rPr>
          <w:rFonts w:eastAsia="Calibri" w:cs="Times New Roman"/>
          <w:b/>
          <w:bCs/>
          <w:sz w:val="24"/>
          <w:szCs w:val="24"/>
        </w:rPr>
      </w:pPr>
    </w:p>
    <w:p w14:paraId="2562345F" w14:textId="77777777" w:rsidR="00F45F40" w:rsidRPr="004F7307" w:rsidRDefault="00F45F40" w:rsidP="004666C7">
      <w:pPr>
        <w:pStyle w:val="1"/>
        <w:rPr>
          <w:rFonts w:eastAsia="Calibri"/>
        </w:rPr>
      </w:pPr>
      <w:bookmarkStart w:id="19" w:name="_Toc104745740"/>
      <w:r w:rsidRPr="004F7307">
        <w:rPr>
          <w:rFonts w:eastAsia="Calibri"/>
        </w:rPr>
        <w:t>THE PROBLEM OF OVERWEIGHT IN CONSIDERATION OF COMORBIDITY AND NUTRITIONAL STATUS OF THE POPULATION ON THE BACKGROUND OF OBESITY</w:t>
      </w:r>
      <w:bookmarkEnd w:id="19"/>
    </w:p>
    <w:p w14:paraId="437FDF60" w14:textId="77777777" w:rsidR="00F45F40" w:rsidRDefault="00F45F40" w:rsidP="00F45F40">
      <w:pPr>
        <w:ind w:firstLine="567"/>
        <w:jc w:val="both"/>
        <w:rPr>
          <w:rFonts w:eastAsia="Calibri" w:cs="Times New Roman"/>
          <w:sz w:val="24"/>
          <w:szCs w:val="24"/>
        </w:rPr>
      </w:pPr>
    </w:p>
    <w:p w14:paraId="1BA94EED" w14:textId="2802CF08" w:rsidR="00F45F40" w:rsidRPr="004F7307" w:rsidRDefault="00F45F40" w:rsidP="00F45F40">
      <w:pPr>
        <w:jc w:val="center"/>
        <w:rPr>
          <w:rFonts w:eastAsia="Calibri" w:cs="Times New Roman"/>
          <w:b/>
          <w:bCs/>
          <w:sz w:val="24"/>
          <w:szCs w:val="24"/>
        </w:rPr>
      </w:pPr>
      <w:bookmarkStart w:id="20" w:name="_Hlk104746010"/>
      <w:r w:rsidRPr="004F7307">
        <w:rPr>
          <w:rFonts w:eastAsia="Calibri" w:cs="Times New Roman"/>
          <w:b/>
          <w:bCs/>
          <w:sz w:val="24"/>
          <w:szCs w:val="24"/>
        </w:rPr>
        <w:t>Abdullaeva Dilafruz Gayratovna</w:t>
      </w:r>
      <w:bookmarkEnd w:id="20"/>
      <w:r w:rsidRPr="004F7307">
        <w:rPr>
          <w:rFonts w:eastAsia="Calibri" w:cs="Times New Roman"/>
          <w:b/>
          <w:bCs/>
          <w:sz w:val="24"/>
          <w:szCs w:val="24"/>
        </w:rPr>
        <w:t>, PhD, senior Lecturer</w:t>
      </w:r>
    </w:p>
    <w:p w14:paraId="4945A6E6" w14:textId="77777777" w:rsidR="00F45F40" w:rsidRPr="00BF6D10" w:rsidRDefault="00F45F40" w:rsidP="00F45F40">
      <w:pPr>
        <w:jc w:val="center"/>
        <w:rPr>
          <w:rFonts w:eastAsia="Calibri" w:cs="Times New Roman"/>
          <w:b/>
          <w:bCs/>
          <w:sz w:val="24"/>
          <w:szCs w:val="24"/>
        </w:rPr>
      </w:pPr>
      <w:r w:rsidRPr="004F7307">
        <w:rPr>
          <w:rFonts w:eastAsia="Calibri" w:cs="Times New Roman"/>
          <w:b/>
          <w:bCs/>
          <w:sz w:val="24"/>
          <w:szCs w:val="24"/>
        </w:rPr>
        <w:t>Asrorzoda Ziyoda Ulugbekovna, master</w:t>
      </w:r>
    </w:p>
    <w:p w14:paraId="1020A65E" w14:textId="77777777" w:rsidR="00F45F40" w:rsidRPr="004F7307" w:rsidRDefault="00F45F40" w:rsidP="00F45F40">
      <w:pPr>
        <w:jc w:val="center"/>
        <w:rPr>
          <w:rFonts w:eastAsia="Calibri" w:cs="Times New Roman"/>
          <w:sz w:val="24"/>
          <w:szCs w:val="24"/>
        </w:rPr>
      </w:pPr>
      <w:r w:rsidRPr="004F7307">
        <w:rPr>
          <w:rFonts w:eastAsia="Calibri" w:cs="Times New Roman"/>
          <w:sz w:val="24"/>
          <w:szCs w:val="24"/>
        </w:rPr>
        <w:t xml:space="preserve">Department </w:t>
      </w:r>
      <w:r w:rsidRPr="00BF6D10">
        <w:rPr>
          <w:rFonts w:eastAsia="Calibri" w:cs="Times New Roman"/>
          <w:sz w:val="24"/>
          <w:szCs w:val="24"/>
        </w:rPr>
        <w:t>of hygiene of children, adolescents and nutrition</w:t>
      </w:r>
    </w:p>
    <w:p w14:paraId="4F9B0B56" w14:textId="77777777" w:rsidR="00F45F40" w:rsidRPr="004F7307" w:rsidRDefault="00F45F40" w:rsidP="00F45F40">
      <w:pPr>
        <w:jc w:val="center"/>
        <w:rPr>
          <w:rFonts w:eastAsia="Calibri" w:cs="Times New Roman"/>
          <w:sz w:val="24"/>
          <w:szCs w:val="24"/>
        </w:rPr>
      </w:pPr>
      <w:r w:rsidRPr="004F7307">
        <w:rPr>
          <w:rFonts w:eastAsia="Calibri" w:cs="Times New Roman"/>
          <w:sz w:val="24"/>
          <w:szCs w:val="24"/>
        </w:rPr>
        <w:t>Tashkent medical academy, Tashkent, Uzbekistan</w:t>
      </w:r>
    </w:p>
    <w:p w14:paraId="0A0EBC03" w14:textId="77777777" w:rsidR="00F45F40" w:rsidRPr="004F7307" w:rsidRDefault="00F45F40" w:rsidP="00F45F40">
      <w:pPr>
        <w:ind w:firstLine="567"/>
        <w:jc w:val="both"/>
        <w:rPr>
          <w:rFonts w:eastAsia="Calibri" w:cs="Times New Roman"/>
          <w:b/>
          <w:bCs/>
          <w:sz w:val="24"/>
          <w:szCs w:val="24"/>
        </w:rPr>
      </w:pPr>
    </w:p>
    <w:p w14:paraId="724F636D" w14:textId="77777777" w:rsidR="00F45F40" w:rsidRPr="004F7307" w:rsidRDefault="00F45F40" w:rsidP="00F45F40">
      <w:pPr>
        <w:ind w:firstLine="567"/>
        <w:jc w:val="both"/>
        <w:rPr>
          <w:rFonts w:eastAsia="Calibri" w:cs="Times New Roman"/>
          <w:i/>
          <w:iCs/>
          <w:sz w:val="24"/>
          <w:szCs w:val="24"/>
        </w:rPr>
      </w:pPr>
      <w:r w:rsidRPr="004F7307">
        <w:rPr>
          <w:rFonts w:eastAsia="Calibri" w:cs="Times New Roman"/>
          <w:b/>
          <w:bCs/>
          <w:i/>
          <w:iCs/>
          <w:sz w:val="24"/>
          <w:szCs w:val="24"/>
        </w:rPr>
        <w:t>Annotation</w:t>
      </w:r>
      <w:r w:rsidRPr="00BF6D10">
        <w:rPr>
          <w:rFonts w:eastAsia="Calibri" w:cs="Times New Roman"/>
          <w:b/>
          <w:bCs/>
          <w:i/>
          <w:iCs/>
          <w:sz w:val="24"/>
          <w:szCs w:val="24"/>
        </w:rPr>
        <w:t xml:space="preserve">. </w:t>
      </w:r>
      <w:r w:rsidRPr="004F7307">
        <w:rPr>
          <w:rFonts w:eastAsia="Calibri" w:cs="Times New Roman"/>
          <w:i/>
          <w:iCs/>
          <w:sz w:val="24"/>
          <w:szCs w:val="24"/>
        </w:rPr>
        <w:t>Overweight and obesity are caused by a multi-etiological, chronic and recurrent nature, which is currently a trend in the field of non-communicable diseases. In addition, the culprit of many deaths with COVID-19. In a word, this is a chronic pathology, the treatment of which must be carried out continuously and for life, it is especially important to maintain a reduced body weight. During the study period for preventive measures, the incidence of comorbidities in the population against the background of overweight and obesity, as well as nutritional status were studied.</w:t>
      </w:r>
    </w:p>
    <w:p w14:paraId="70A13B99" w14:textId="6AA65078" w:rsidR="00F45F40" w:rsidRPr="00F45F40" w:rsidRDefault="00F45F40" w:rsidP="00F45F40">
      <w:pPr>
        <w:jc w:val="both"/>
        <w:rPr>
          <w:rFonts w:eastAsia="Calibri" w:cs="Times New Roman"/>
          <w:b/>
          <w:bCs/>
          <w:sz w:val="24"/>
          <w:szCs w:val="24"/>
        </w:rPr>
      </w:pPr>
      <w:r w:rsidRPr="004F7307">
        <w:rPr>
          <w:rFonts w:eastAsia="Calibri" w:cs="Times New Roman"/>
          <w:b/>
          <w:bCs/>
          <w:i/>
          <w:iCs/>
          <w:sz w:val="24"/>
          <w:szCs w:val="24"/>
        </w:rPr>
        <w:t>Key words:</w:t>
      </w:r>
      <w:r w:rsidRPr="004F7307">
        <w:rPr>
          <w:rFonts w:eastAsia="Calibri" w:cs="Times New Roman"/>
          <w:i/>
          <w:iCs/>
          <w:sz w:val="24"/>
          <w:szCs w:val="24"/>
        </w:rPr>
        <w:t xml:space="preserve"> overweight, obesity, comorbidity, insulin resistance, diabetes mellitus, nutritional status.</w:t>
      </w:r>
    </w:p>
    <w:p w14:paraId="4786C876" w14:textId="18C527B8" w:rsidR="00F45F40" w:rsidRPr="00F45F40" w:rsidRDefault="00F45F40" w:rsidP="004F7307">
      <w:pPr>
        <w:jc w:val="both"/>
        <w:rPr>
          <w:rFonts w:eastAsia="Calibri" w:cs="Times New Roman"/>
          <w:b/>
          <w:bCs/>
          <w:sz w:val="24"/>
          <w:szCs w:val="24"/>
        </w:rPr>
      </w:pPr>
    </w:p>
    <w:p w14:paraId="5E9170F1" w14:textId="77777777" w:rsidR="00F45F40" w:rsidRPr="00F45F40" w:rsidRDefault="00F45F40" w:rsidP="004F7307">
      <w:pPr>
        <w:jc w:val="both"/>
        <w:rPr>
          <w:rFonts w:eastAsia="Calibri" w:cs="Times New Roman"/>
          <w:b/>
          <w:bCs/>
          <w:sz w:val="24"/>
          <w:szCs w:val="24"/>
        </w:rPr>
      </w:pPr>
    </w:p>
    <w:p w14:paraId="6D28A11F" w14:textId="6B84F5F4" w:rsidR="004F7307" w:rsidRPr="00D27CEF" w:rsidRDefault="004F7307" w:rsidP="004666C7">
      <w:pPr>
        <w:jc w:val="center"/>
        <w:rPr>
          <w:b/>
          <w:bCs/>
          <w:sz w:val="24"/>
          <w:szCs w:val="20"/>
          <w:lang w:val="ru-RU"/>
        </w:rPr>
      </w:pPr>
      <w:r w:rsidRPr="00D27CEF">
        <w:rPr>
          <w:b/>
          <w:bCs/>
          <w:sz w:val="24"/>
          <w:szCs w:val="20"/>
          <w:lang w:val="ru-RU"/>
        </w:rPr>
        <w:t>ПРОБЛЕМА ИЗБЫТОЧНОГО ВЕСА С УЧЁТОМ КОМОРБИДНОСТИ И СТАТУСА ПИТАНИЯ НАСЕЛЕНИЯ НА ФОНЕ ОЖИРЕНИЯ</w:t>
      </w:r>
    </w:p>
    <w:p w14:paraId="3E565024" w14:textId="77777777" w:rsidR="004F7307" w:rsidRDefault="004F7307" w:rsidP="004F7307">
      <w:pPr>
        <w:ind w:firstLine="567"/>
        <w:jc w:val="both"/>
        <w:rPr>
          <w:rFonts w:eastAsia="Calibri" w:cs="Times New Roman"/>
          <w:b/>
          <w:bCs/>
          <w:sz w:val="24"/>
          <w:szCs w:val="24"/>
          <w:lang w:val="ru-RU"/>
        </w:rPr>
      </w:pPr>
    </w:p>
    <w:p w14:paraId="7312B4EB" w14:textId="3F1FC0A3" w:rsidR="004F7307" w:rsidRPr="004F7307" w:rsidRDefault="004F7307" w:rsidP="006F010C">
      <w:pPr>
        <w:jc w:val="center"/>
        <w:rPr>
          <w:rFonts w:eastAsia="Calibri" w:cs="Times New Roman"/>
          <w:b/>
          <w:bCs/>
          <w:sz w:val="24"/>
          <w:szCs w:val="24"/>
          <w:lang w:val="ru-RU"/>
        </w:rPr>
      </w:pPr>
      <w:r w:rsidRPr="004F7307">
        <w:rPr>
          <w:rFonts w:eastAsia="Calibri" w:cs="Times New Roman"/>
          <w:b/>
          <w:bCs/>
          <w:sz w:val="24"/>
          <w:szCs w:val="24"/>
          <w:lang w:val="ru-RU"/>
        </w:rPr>
        <w:t>Абдуллаева Дилафруз Гайратовна, PhD, старший преподаватель</w:t>
      </w:r>
    </w:p>
    <w:p w14:paraId="6CACC6A6" w14:textId="177E879D" w:rsidR="004F7307" w:rsidRPr="004F7307" w:rsidRDefault="004F7307" w:rsidP="006F010C">
      <w:pPr>
        <w:jc w:val="center"/>
        <w:rPr>
          <w:rFonts w:eastAsia="Calibri" w:cs="Times New Roman"/>
          <w:b/>
          <w:bCs/>
          <w:color w:val="000000"/>
          <w:sz w:val="24"/>
          <w:szCs w:val="24"/>
          <w:lang w:val="ru-RU"/>
        </w:rPr>
      </w:pPr>
      <w:r w:rsidRPr="004F7307">
        <w:rPr>
          <w:rFonts w:eastAsia="Calibri" w:cs="Times New Roman"/>
          <w:b/>
          <w:bCs/>
          <w:color w:val="000000"/>
          <w:sz w:val="24"/>
          <w:szCs w:val="24"/>
          <w:lang w:val="ru-RU"/>
        </w:rPr>
        <w:t>Асрорзода Зиёда Улугбековна</w:t>
      </w:r>
      <w:r w:rsidR="006F010C" w:rsidRPr="006F010C">
        <w:rPr>
          <w:rFonts w:eastAsia="Calibri" w:cs="Times New Roman"/>
          <w:b/>
          <w:bCs/>
          <w:color w:val="000000"/>
          <w:sz w:val="24"/>
          <w:szCs w:val="24"/>
          <w:lang w:val="ru-RU"/>
        </w:rPr>
        <w:t>,</w:t>
      </w:r>
      <w:r w:rsidRPr="004F7307">
        <w:rPr>
          <w:rFonts w:eastAsia="Calibri" w:cs="Times New Roman"/>
          <w:b/>
          <w:bCs/>
          <w:color w:val="000000"/>
          <w:sz w:val="24"/>
          <w:szCs w:val="24"/>
          <w:lang w:val="ru-RU"/>
        </w:rPr>
        <w:t xml:space="preserve"> магистр,</w:t>
      </w:r>
    </w:p>
    <w:p w14:paraId="7B281F55" w14:textId="77777777" w:rsidR="006F010C" w:rsidRPr="006F010C" w:rsidRDefault="006F010C" w:rsidP="006F010C">
      <w:pPr>
        <w:jc w:val="center"/>
        <w:rPr>
          <w:rFonts w:eastAsia="Calibri" w:cs="Times New Roman"/>
          <w:color w:val="000000"/>
          <w:sz w:val="24"/>
          <w:szCs w:val="24"/>
          <w:lang w:val="ru-RU"/>
        </w:rPr>
      </w:pPr>
      <w:r w:rsidRPr="006F010C">
        <w:rPr>
          <w:rFonts w:eastAsia="Calibri" w:cs="Times New Roman"/>
          <w:color w:val="000000"/>
          <w:sz w:val="24"/>
          <w:szCs w:val="24"/>
          <w:lang w:val="ru-RU"/>
        </w:rPr>
        <w:t>Кафедр</w:t>
      </w:r>
      <w:r w:rsidRPr="006F010C">
        <w:rPr>
          <w:rFonts w:eastAsia="Calibri" w:cs="Times New Roman"/>
          <w:color w:val="000000"/>
          <w:sz w:val="24"/>
          <w:szCs w:val="24"/>
        </w:rPr>
        <w:t>a</w:t>
      </w:r>
      <w:r w:rsidRPr="006F010C">
        <w:rPr>
          <w:rFonts w:eastAsia="Calibri" w:cs="Times New Roman"/>
          <w:color w:val="000000"/>
          <w:sz w:val="24"/>
          <w:szCs w:val="24"/>
          <w:lang w:val="ru-RU"/>
        </w:rPr>
        <w:t xml:space="preserve"> гигиены </w:t>
      </w:r>
      <w:r w:rsidR="004F7307" w:rsidRPr="004F7307">
        <w:rPr>
          <w:rFonts w:eastAsia="Calibri" w:cs="Times New Roman"/>
          <w:color w:val="000000"/>
          <w:sz w:val="24"/>
          <w:szCs w:val="24"/>
          <w:lang w:val="ru-RU"/>
        </w:rPr>
        <w:t xml:space="preserve">детей, подростков и питания </w:t>
      </w:r>
    </w:p>
    <w:p w14:paraId="50DC6647" w14:textId="66341FFB" w:rsidR="004F7307" w:rsidRPr="004F7307" w:rsidRDefault="004F7307" w:rsidP="006F010C">
      <w:pPr>
        <w:jc w:val="center"/>
        <w:rPr>
          <w:rFonts w:eastAsia="Calibri" w:cs="Times New Roman"/>
          <w:sz w:val="24"/>
          <w:szCs w:val="24"/>
          <w:lang w:val="ru-RU"/>
        </w:rPr>
      </w:pPr>
      <w:r w:rsidRPr="004F7307">
        <w:rPr>
          <w:rFonts w:eastAsia="Calibri" w:cs="Times New Roman"/>
          <w:sz w:val="24"/>
          <w:szCs w:val="24"/>
          <w:lang w:val="ru-RU"/>
        </w:rPr>
        <w:t>Ташкентская медицинская академия</w:t>
      </w:r>
      <w:r w:rsidR="006F010C" w:rsidRPr="006F010C">
        <w:rPr>
          <w:rFonts w:eastAsia="Calibri" w:cs="Times New Roman"/>
          <w:sz w:val="24"/>
          <w:szCs w:val="24"/>
          <w:lang w:val="ru-RU"/>
        </w:rPr>
        <w:t>,</w:t>
      </w:r>
      <w:r w:rsidRPr="006F010C">
        <w:rPr>
          <w:rFonts w:eastAsia="Calibri" w:cs="Times New Roman"/>
          <w:color w:val="000000"/>
          <w:sz w:val="24"/>
          <w:szCs w:val="24"/>
          <w:lang w:val="ru-RU"/>
        </w:rPr>
        <w:t xml:space="preserve"> </w:t>
      </w:r>
      <w:r w:rsidRPr="004F7307">
        <w:rPr>
          <w:rFonts w:eastAsia="Calibri" w:cs="Times New Roman"/>
          <w:color w:val="000000"/>
          <w:sz w:val="24"/>
          <w:szCs w:val="24"/>
          <w:lang w:val="ru-RU"/>
        </w:rPr>
        <w:t>Ташкент, Узбекистан</w:t>
      </w:r>
      <w:r w:rsidRPr="006F010C">
        <w:rPr>
          <w:rFonts w:eastAsia="Calibri" w:cs="Times New Roman"/>
          <w:color w:val="000000"/>
          <w:sz w:val="24"/>
          <w:szCs w:val="24"/>
          <w:lang w:val="ru-RU"/>
        </w:rPr>
        <w:t>.</w:t>
      </w:r>
    </w:p>
    <w:p w14:paraId="3A440969" w14:textId="77777777" w:rsidR="004F7307" w:rsidRDefault="004F7307" w:rsidP="004F7307">
      <w:pPr>
        <w:ind w:firstLine="567"/>
        <w:jc w:val="both"/>
        <w:rPr>
          <w:rFonts w:eastAsia="Calibri" w:cs="Times New Roman"/>
          <w:b/>
          <w:bCs/>
          <w:sz w:val="24"/>
          <w:szCs w:val="24"/>
          <w:lang w:val="ru-RU"/>
        </w:rPr>
      </w:pPr>
    </w:p>
    <w:p w14:paraId="2CF4A219" w14:textId="268FC8B9" w:rsidR="004F7307" w:rsidRPr="004F7307" w:rsidRDefault="004F7307" w:rsidP="004F7307">
      <w:pPr>
        <w:ind w:firstLine="567"/>
        <w:jc w:val="both"/>
        <w:rPr>
          <w:rFonts w:eastAsia="Calibri" w:cs="Times New Roman"/>
          <w:i/>
          <w:iCs/>
          <w:sz w:val="24"/>
          <w:szCs w:val="24"/>
          <w:lang w:val="ru-RU"/>
        </w:rPr>
      </w:pPr>
      <w:r w:rsidRPr="004F7307">
        <w:rPr>
          <w:rFonts w:eastAsia="Calibri" w:cs="Times New Roman"/>
          <w:b/>
          <w:bCs/>
          <w:i/>
          <w:iCs/>
          <w:sz w:val="24"/>
          <w:szCs w:val="24"/>
          <w:lang w:val="ru-RU"/>
        </w:rPr>
        <w:t xml:space="preserve">Аннотация. </w:t>
      </w:r>
      <w:r w:rsidRPr="004F7307">
        <w:rPr>
          <w:rFonts w:eastAsia="Calibri" w:cs="Times New Roman"/>
          <w:i/>
          <w:iCs/>
          <w:sz w:val="24"/>
          <w:szCs w:val="24"/>
          <w:lang w:val="ru-RU"/>
        </w:rPr>
        <w:t xml:space="preserve">Избыточный вес и ожирение обусловлен мульти этиологическим, хроническим и рецидивирующим характером, который, на данный момент является трендом в области неинфекционных заболеваний. Кроме этого, виновник многих летальных исходов при </w:t>
      </w:r>
      <w:r w:rsidRPr="004F7307">
        <w:rPr>
          <w:rFonts w:eastAsia="Calibri" w:cs="Times New Roman"/>
          <w:i/>
          <w:iCs/>
          <w:sz w:val="24"/>
          <w:szCs w:val="24"/>
        </w:rPr>
        <w:t>COVID</w:t>
      </w:r>
      <w:r w:rsidRPr="004F7307">
        <w:rPr>
          <w:rFonts w:eastAsia="Calibri" w:cs="Times New Roman"/>
          <w:i/>
          <w:iCs/>
          <w:sz w:val="24"/>
          <w:szCs w:val="24"/>
          <w:lang w:val="ru-RU"/>
        </w:rPr>
        <w:t xml:space="preserve">-19. Одним словом, это хроническая патология, лечение которого, должно проводиться непрерывно и пожизненно, особенно важным является удержание сниженного массы тела. В период исследования для профилактических мер, были изучены заболеваемость населения сопутствующими заболеваниями на фоне избыточного веса и ожирения, а также статус питания. </w:t>
      </w:r>
    </w:p>
    <w:p w14:paraId="3FFB6270" w14:textId="77777777" w:rsidR="004F7307" w:rsidRPr="004F7307" w:rsidRDefault="004F7307" w:rsidP="004F7307">
      <w:pPr>
        <w:ind w:firstLine="567"/>
        <w:jc w:val="both"/>
        <w:rPr>
          <w:rFonts w:eastAsia="Calibri" w:cs="Times New Roman"/>
          <w:i/>
          <w:iCs/>
          <w:sz w:val="24"/>
          <w:szCs w:val="24"/>
          <w:lang w:val="ru-RU"/>
        </w:rPr>
      </w:pPr>
      <w:r w:rsidRPr="004F7307">
        <w:rPr>
          <w:rFonts w:eastAsia="Calibri" w:cs="Times New Roman"/>
          <w:b/>
          <w:bCs/>
          <w:i/>
          <w:iCs/>
          <w:sz w:val="24"/>
          <w:szCs w:val="24"/>
          <w:lang w:val="ru-RU"/>
        </w:rPr>
        <w:t xml:space="preserve">Ключевые слова: </w:t>
      </w:r>
      <w:r w:rsidRPr="004F7307">
        <w:rPr>
          <w:rFonts w:eastAsia="Calibri" w:cs="Times New Roman"/>
          <w:i/>
          <w:iCs/>
          <w:sz w:val="24"/>
          <w:szCs w:val="24"/>
          <w:lang w:val="ru-RU"/>
        </w:rPr>
        <w:t>избыточный вес,</w:t>
      </w:r>
      <w:r w:rsidRPr="004F7307">
        <w:rPr>
          <w:rFonts w:eastAsia="Calibri" w:cs="Times New Roman"/>
          <w:b/>
          <w:bCs/>
          <w:i/>
          <w:iCs/>
          <w:sz w:val="24"/>
          <w:szCs w:val="24"/>
          <w:lang w:val="ru-RU"/>
        </w:rPr>
        <w:t xml:space="preserve"> </w:t>
      </w:r>
      <w:r w:rsidRPr="004F7307">
        <w:rPr>
          <w:rFonts w:eastAsia="Calibri" w:cs="Times New Roman"/>
          <w:i/>
          <w:iCs/>
          <w:sz w:val="24"/>
          <w:szCs w:val="24"/>
          <w:lang w:val="ru-RU"/>
        </w:rPr>
        <w:t>ожирение, коморбидность, инсулинорезистентность, сахарный диабет, статус питания.</w:t>
      </w:r>
    </w:p>
    <w:p w14:paraId="29FC35DC" w14:textId="77777777" w:rsidR="004F7307" w:rsidRPr="004F7307" w:rsidRDefault="004F7307" w:rsidP="004F7307">
      <w:pPr>
        <w:ind w:firstLine="567"/>
        <w:jc w:val="both"/>
        <w:rPr>
          <w:rFonts w:eastAsia="Calibri" w:cs="Times New Roman"/>
          <w:b/>
          <w:bCs/>
          <w:sz w:val="24"/>
          <w:szCs w:val="24"/>
          <w:lang w:val="ru-RU"/>
        </w:rPr>
      </w:pPr>
    </w:p>
    <w:p w14:paraId="14BBDD64" w14:textId="77777777" w:rsidR="004F7307" w:rsidRPr="00B71C19" w:rsidRDefault="004F7307" w:rsidP="004F7307">
      <w:pPr>
        <w:jc w:val="both"/>
        <w:rPr>
          <w:rFonts w:eastAsia="Calibri" w:cs="Times New Roman"/>
          <w:b/>
          <w:bCs/>
          <w:sz w:val="24"/>
          <w:szCs w:val="24"/>
          <w:lang w:val="ru-RU"/>
        </w:rPr>
      </w:pPr>
    </w:p>
    <w:p w14:paraId="7ACDED99" w14:textId="43F83F9B" w:rsidR="004F7307" w:rsidRPr="00B71C19" w:rsidRDefault="004F7307" w:rsidP="004F7307">
      <w:pPr>
        <w:jc w:val="center"/>
        <w:rPr>
          <w:rFonts w:eastAsia="Calibri" w:cs="Times New Roman"/>
          <w:b/>
          <w:bCs/>
          <w:sz w:val="24"/>
          <w:szCs w:val="24"/>
          <w:lang w:val="ru-RU"/>
        </w:rPr>
      </w:pPr>
      <w:r w:rsidRPr="004F7307">
        <w:rPr>
          <w:rFonts w:eastAsia="Calibri" w:cs="Times New Roman"/>
          <w:b/>
          <w:bCs/>
          <w:sz w:val="24"/>
          <w:szCs w:val="24"/>
        </w:rPr>
        <w:t>SEMIZLIK</w:t>
      </w:r>
      <w:r w:rsidRPr="004F7307">
        <w:rPr>
          <w:rFonts w:eastAsia="Calibri" w:cs="Times New Roman"/>
          <w:b/>
          <w:bCs/>
          <w:sz w:val="24"/>
          <w:szCs w:val="24"/>
          <w:lang w:val="ru-RU"/>
        </w:rPr>
        <w:t xml:space="preserve"> </w:t>
      </w:r>
      <w:r w:rsidRPr="004F7307">
        <w:rPr>
          <w:rFonts w:eastAsia="Calibri" w:cs="Times New Roman"/>
          <w:b/>
          <w:bCs/>
          <w:sz w:val="24"/>
          <w:szCs w:val="24"/>
        </w:rPr>
        <w:t>FONIDA</w:t>
      </w:r>
      <w:r w:rsidRPr="004F7307">
        <w:rPr>
          <w:rFonts w:eastAsia="Calibri" w:cs="Times New Roman"/>
          <w:b/>
          <w:bCs/>
          <w:sz w:val="24"/>
          <w:szCs w:val="24"/>
          <w:lang w:val="ru-RU"/>
        </w:rPr>
        <w:t xml:space="preserve"> </w:t>
      </w:r>
      <w:r w:rsidRPr="004F7307">
        <w:rPr>
          <w:rFonts w:eastAsia="Calibri" w:cs="Times New Roman"/>
          <w:b/>
          <w:bCs/>
          <w:sz w:val="24"/>
          <w:szCs w:val="24"/>
        </w:rPr>
        <w:t>AHOLINING</w:t>
      </w:r>
      <w:r w:rsidRPr="004F7307">
        <w:rPr>
          <w:rFonts w:eastAsia="Calibri" w:cs="Times New Roman"/>
          <w:b/>
          <w:bCs/>
          <w:sz w:val="24"/>
          <w:szCs w:val="24"/>
          <w:lang w:val="ru-RU"/>
        </w:rPr>
        <w:t xml:space="preserve"> </w:t>
      </w:r>
      <w:r w:rsidRPr="004F7307">
        <w:rPr>
          <w:rFonts w:eastAsia="Calibri" w:cs="Times New Roman"/>
          <w:b/>
          <w:bCs/>
          <w:sz w:val="24"/>
          <w:szCs w:val="24"/>
        </w:rPr>
        <w:t>OVQATLANISH</w:t>
      </w:r>
      <w:r w:rsidRPr="004F7307">
        <w:rPr>
          <w:rFonts w:eastAsia="Calibri" w:cs="Times New Roman"/>
          <w:b/>
          <w:bCs/>
          <w:sz w:val="24"/>
          <w:szCs w:val="24"/>
          <w:lang w:val="ru-RU"/>
        </w:rPr>
        <w:t xml:space="preserve"> </w:t>
      </w:r>
      <w:r w:rsidRPr="004F7307">
        <w:rPr>
          <w:rFonts w:eastAsia="Calibri" w:cs="Times New Roman"/>
          <w:b/>
          <w:bCs/>
          <w:sz w:val="24"/>
          <w:szCs w:val="24"/>
        </w:rPr>
        <w:t>HOLATI</w:t>
      </w:r>
      <w:r w:rsidRPr="004F7307">
        <w:rPr>
          <w:rFonts w:eastAsia="Calibri" w:cs="Times New Roman"/>
          <w:b/>
          <w:bCs/>
          <w:sz w:val="24"/>
          <w:szCs w:val="24"/>
          <w:lang w:val="ru-RU"/>
        </w:rPr>
        <w:t xml:space="preserve"> </w:t>
      </w:r>
      <w:r w:rsidRPr="004F7307">
        <w:rPr>
          <w:rFonts w:eastAsia="Calibri" w:cs="Times New Roman"/>
          <w:b/>
          <w:bCs/>
          <w:sz w:val="24"/>
          <w:szCs w:val="24"/>
        </w:rPr>
        <w:t>VA</w:t>
      </w:r>
      <w:r w:rsidRPr="004F7307">
        <w:rPr>
          <w:rFonts w:eastAsia="Calibri" w:cs="Times New Roman"/>
          <w:b/>
          <w:bCs/>
          <w:sz w:val="24"/>
          <w:szCs w:val="24"/>
          <w:lang w:val="ru-RU"/>
        </w:rPr>
        <w:t xml:space="preserve"> </w:t>
      </w:r>
      <w:r w:rsidRPr="004F7307">
        <w:rPr>
          <w:rFonts w:eastAsia="Calibri" w:cs="Times New Roman"/>
          <w:b/>
          <w:bCs/>
          <w:sz w:val="24"/>
          <w:szCs w:val="24"/>
        </w:rPr>
        <w:t>KOMORBIDLIKNI</w:t>
      </w:r>
      <w:r w:rsidRPr="004F7307">
        <w:rPr>
          <w:rFonts w:eastAsia="Calibri" w:cs="Times New Roman"/>
          <w:b/>
          <w:bCs/>
          <w:sz w:val="24"/>
          <w:szCs w:val="24"/>
          <w:lang w:val="ru-RU"/>
        </w:rPr>
        <w:t xml:space="preserve"> </w:t>
      </w:r>
      <w:r w:rsidRPr="004F7307">
        <w:rPr>
          <w:rFonts w:eastAsia="Calibri" w:cs="Times New Roman"/>
          <w:b/>
          <w:bCs/>
          <w:sz w:val="24"/>
          <w:szCs w:val="24"/>
        </w:rPr>
        <w:t>E</w:t>
      </w:r>
      <w:r w:rsidRPr="004F7307">
        <w:rPr>
          <w:rFonts w:eastAsia="Calibri" w:cs="Times New Roman"/>
          <w:b/>
          <w:bCs/>
          <w:sz w:val="24"/>
          <w:szCs w:val="24"/>
          <w:lang w:val="ru-RU"/>
        </w:rPr>
        <w:t>’</w:t>
      </w:r>
      <w:r w:rsidRPr="004F7307">
        <w:rPr>
          <w:rFonts w:eastAsia="Calibri" w:cs="Times New Roman"/>
          <w:b/>
          <w:bCs/>
          <w:sz w:val="24"/>
          <w:szCs w:val="24"/>
        </w:rPr>
        <w:t>TIBORGA</w:t>
      </w:r>
      <w:r w:rsidRPr="004F7307">
        <w:rPr>
          <w:rFonts w:eastAsia="Calibri" w:cs="Times New Roman"/>
          <w:b/>
          <w:bCs/>
          <w:sz w:val="24"/>
          <w:szCs w:val="24"/>
          <w:lang w:val="ru-RU"/>
        </w:rPr>
        <w:t xml:space="preserve"> </w:t>
      </w:r>
      <w:r w:rsidRPr="004F7307">
        <w:rPr>
          <w:rFonts w:eastAsia="Calibri" w:cs="Times New Roman"/>
          <w:b/>
          <w:bCs/>
          <w:sz w:val="24"/>
          <w:szCs w:val="24"/>
        </w:rPr>
        <w:t>OLGAN</w:t>
      </w:r>
      <w:r w:rsidRPr="004F7307">
        <w:rPr>
          <w:rFonts w:eastAsia="Calibri" w:cs="Times New Roman"/>
          <w:b/>
          <w:bCs/>
          <w:sz w:val="24"/>
          <w:szCs w:val="24"/>
          <w:lang w:val="ru-RU"/>
        </w:rPr>
        <w:t xml:space="preserve"> </w:t>
      </w:r>
      <w:r w:rsidRPr="004F7307">
        <w:rPr>
          <w:rFonts w:eastAsia="Calibri" w:cs="Times New Roman"/>
          <w:b/>
          <w:bCs/>
          <w:sz w:val="24"/>
          <w:szCs w:val="24"/>
        </w:rPr>
        <w:t>HOLDA</w:t>
      </w:r>
      <w:r w:rsidRPr="004F7307">
        <w:rPr>
          <w:rFonts w:eastAsia="Calibri" w:cs="Times New Roman"/>
          <w:b/>
          <w:bCs/>
          <w:sz w:val="24"/>
          <w:szCs w:val="24"/>
          <w:lang w:val="ru-RU"/>
        </w:rPr>
        <w:t xml:space="preserve"> </w:t>
      </w:r>
      <w:r w:rsidRPr="004F7307">
        <w:rPr>
          <w:rFonts w:eastAsia="Calibri" w:cs="Times New Roman"/>
          <w:b/>
          <w:bCs/>
          <w:sz w:val="24"/>
          <w:szCs w:val="24"/>
        </w:rPr>
        <w:t>ORTIQCHA</w:t>
      </w:r>
      <w:r w:rsidRPr="004F7307">
        <w:rPr>
          <w:rFonts w:eastAsia="Calibri" w:cs="Times New Roman"/>
          <w:b/>
          <w:bCs/>
          <w:sz w:val="24"/>
          <w:szCs w:val="24"/>
          <w:lang w:val="ru-RU"/>
        </w:rPr>
        <w:t xml:space="preserve"> </w:t>
      </w:r>
      <w:r w:rsidRPr="004F7307">
        <w:rPr>
          <w:rFonts w:eastAsia="Calibri" w:cs="Times New Roman"/>
          <w:b/>
          <w:bCs/>
          <w:sz w:val="24"/>
          <w:szCs w:val="24"/>
        </w:rPr>
        <w:t>VAZN</w:t>
      </w:r>
      <w:r w:rsidRPr="004F7307">
        <w:rPr>
          <w:rFonts w:eastAsia="Calibri" w:cs="Times New Roman"/>
          <w:b/>
          <w:bCs/>
          <w:sz w:val="24"/>
          <w:szCs w:val="24"/>
          <w:lang w:val="ru-RU"/>
        </w:rPr>
        <w:t xml:space="preserve"> </w:t>
      </w:r>
      <w:r w:rsidRPr="004F7307">
        <w:rPr>
          <w:rFonts w:eastAsia="Calibri" w:cs="Times New Roman"/>
          <w:b/>
          <w:bCs/>
          <w:sz w:val="24"/>
          <w:szCs w:val="24"/>
        </w:rPr>
        <w:t>MUAMMOSI</w:t>
      </w:r>
    </w:p>
    <w:p w14:paraId="7F06D3CC" w14:textId="77777777" w:rsidR="004F7307" w:rsidRPr="004F7307" w:rsidRDefault="004F7307" w:rsidP="004F7307">
      <w:pPr>
        <w:jc w:val="both"/>
        <w:rPr>
          <w:rFonts w:eastAsia="Calibri" w:cs="Times New Roman"/>
          <w:b/>
          <w:bCs/>
          <w:sz w:val="24"/>
          <w:szCs w:val="24"/>
          <w:lang w:val="ru-RU"/>
        </w:rPr>
      </w:pPr>
    </w:p>
    <w:p w14:paraId="60D53D92" w14:textId="4ABE1485" w:rsidR="004F7307" w:rsidRPr="004F7307" w:rsidRDefault="004F7307" w:rsidP="006F010C">
      <w:pPr>
        <w:jc w:val="center"/>
        <w:rPr>
          <w:rFonts w:eastAsia="Calibri" w:cs="Times New Roman"/>
          <w:b/>
          <w:bCs/>
          <w:sz w:val="24"/>
          <w:szCs w:val="24"/>
          <w:lang w:val="ru-RU"/>
        </w:rPr>
      </w:pPr>
      <w:r w:rsidRPr="004F7307">
        <w:rPr>
          <w:rFonts w:eastAsia="Calibri" w:cs="Times New Roman"/>
          <w:b/>
          <w:bCs/>
          <w:sz w:val="24"/>
          <w:szCs w:val="24"/>
        </w:rPr>
        <w:t>Abdullayeva</w:t>
      </w:r>
      <w:r w:rsidRPr="004F7307">
        <w:rPr>
          <w:rFonts w:eastAsia="Calibri" w:cs="Times New Roman"/>
          <w:b/>
          <w:bCs/>
          <w:sz w:val="24"/>
          <w:szCs w:val="24"/>
          <w:lang w:val="ru-RU"/>
        </w:rPr>
        <w:t xml:space="preserve"> </w:t>
      </w:r>
      <w:r w:rsidRPr="004F7307">
        <w:rPr>
          <w:rFonts w:eastAsia="Calibri" w:cs="Times New Roman"/>
          <w:b/>
          <w:bCs/>
          <w:sz w:val="24"/>
          <w:szCs w:val="24"/>
        </w:rPr>
        <w:t>Dilafruz</w:t>
      </w:r>
      <w:r w:rsidRPr="004F7307">
        <w:rPr>
          <w:rFonts w:eastAsia="Calibri" w:cs="Times New Roman"/>
          <w:b/>
          <w:bCs/>
          <w:sz w:val="24"/>
          <w:szCs w:val="24"/>
          <w:lang w:val="ru-RU"/>
        </w:rPr>
        <w:t xml:space="preserve"> </w:t>
      </w:r>
      <w:r w:rsidRPr="004F7307">
        <w:rPr>
          <w:rFonts w:eastAsia="Calibri" w:cs="Times New Roman"/>
          <w:b/>
          <w:bCs/>
          <w:sz w:val="24"/>
          <w:szCs w:val="24"/>
        </w:rPr>
        <w:t>Gayratovna</w:t>
      </w:r>
      <w:r w:rsidRPr="00B71C19">
        <w:rPr>
          <w:rFonts w:eastAsia="Calibri" w:cs="Times New Roman"/>
          <w:b/>
          <w:bCs/>
          <w:sz w:val="24"/>
          <w:szCs w:val="24"/>
          <w:lang w:val="ru-RU"/>
        </w:rPr>
        <w:t xml:space="preserve">, </w:t>
      </w:r>
      <w:r w:rsidRPr="004F7307">
        <w:rPr>
          <w:rFonts w:eastAsia="Calibri" w:cs="Times New Roman"/>
          <w:b/>
          <w:bCs/>
          <w:sz w:val="24"/>
          <w:szCs w:val="24"/>
        </w:rPr>
        <w:t>PhD</w:t>
      </w:r>
      <w:r w:rsidRPr="004F7307">
        <w:rPr>
          <w:rFonts w:eastAsia="Calibri" w:cs="Times New Roman"/>
          <w:b/>
          <w:bCs/>
          <w:sz w:val="24"/>
          <w:szCs w:val="24"/>
          <w:lang w:val="ru-RU"/>
        </w:rPr>
        <w:t xml:space="preserve">, </w:t>
      </w:r>
      <w:r w:rsidRPr="004F7307">
        <w:rPr>
          <w:rFonts w:eastAsia="Calibri" w:cs="Times New Roman"/>
          <w:b/>
          <w:bCs/>
          <w:sz w:val="24"/>
          <w:szCs w:val="24"/>
        </w:rPr>
        <w:t>katta</w:t>
      </w:r>
      <w:r w:rsidRPr="004F7307">
        <w:rPr>
          <w:rFonts w:eastAsia="Calibri" w:cs="Times New Roman"/>
          <w:b/>
          <w:bCs/>
          <w:sz w:val="24"/>
          <w:szCs w:val="24"/>
          <w:lang w:val="ru-RU"/>
        </w:rPr>
        <w:t xml:space="preserve"> </w:t>
      </w:r>
      <w:r w:rsidRPr="004F7307">
        <w:rPr>
          <w:rFonts w:eastAsia="Calibri" w:cs="Times New Roman"/>
          <w:b/>
          <w:bCs/>
          <w:sz w:val="24"/>
          <w:szCs w:val="24"/>
        </w:rPr>
        <w:t>o</w:t>
      </w:r>
      <w:r w:rsidRPr="004F7307">
        <w:rPr>
          <w:rFonts w:eastAsia="Calibri" w:cs="Times New Roman"/>
          <w:b/>
          <w:bCs/>
          <w:sz w:val="24"/>
          <w:szCs w:val="24"/>
          <w:lang w:val="ru-RU"/>
        </w:rPr>
        <w:t>’</w:t>
      </w:r>
      <w:r w:rsidRPr="004F7307">
        <w:rPr>
          <w:rFonts w:eastAsia="Calibri" w:cs="Times New Roman"/>
          <w:b/>
          <w:bCs/>
          <w:sz w:val="24"/>
          <w:szCs w:val="24"/>
        </w:rPr>
        <w:t>qituvchi</w:t>
      </w:r>
      <w:r w:rsidRPr="004F7307">
        <w:rPr>
          <w:rFonts w:eastAsia="Calibri" w:cs="Times New Roman"/>
          <w:b/>
          <w:bCs/>
          <w:sz w:val="24"/>
          <w:szCs w:val="24"/>
          <w:lang w:val="ru-RU"/>
        </w:rPr>
        <w:t>,</w:t>
      </w:r>
    </w:p>
    <w:p w14:paraId="2FCD266C" w14:textId="16CE76B9" w:rsidR="003F771C" w:rsidRPr="00B71C19" w:rsidRDefault="004F7307" w:rsidP="006F010C">
      <w:pPr>
        <w:jc w:val="center"/>
        <w:rPr>
          <w:rFonts w:eastAsia="Calibri" w:cs="Times New Roman"/>
          <w:b/>
          <w:bCs/>
          <w:color w:val="000000"/>
          <w:sz w:val="24"/>
          <w:szCs w:val="24"/>
          <w:lang w:val="ru-RU"/>
        </w:rPr>
      </w:pPr>
      <w:r w:rsidRPr="004F7307">
        <w:rPr>
          <w:rFonts w:eastAsia="Calibri" w:cs="Times New Roman"/>
          <w:b/>
          <w:bCs/>
          <w:color w:val="000000"/>
          <w:sz w:val="24"/>
          <w:szCs w:val="24"/>
        </w:rPr>
        <w:t>Asrorzoda</w:t>
      </w:r>
      <w:r w:rsidRPr="004F7307">
        <w:rPr>
          <w:rFonts w:eastAsia="Calibri" w:cs="Times New Roman"/>
          <w:b/>
          <w:bCs/>
          <w:color w:val="000000"/>
          <w:sz w:val="24"/>
          <w:szCs w:val="24"/>
          <w:lang w:val="ru-RU"/>
        </w:rPr>
        <w:t xml:space="preserve"> </w:t>
      </w:r>
      <w:r w:rsidRPr="004F7307">
        <w:rPr>
          <w:rFonts w:eastAsia="Calibri" w:cs="Times New Roman"/>
          <w:b/>
          <w:bCs/>
          <w:color w:val="000000"/>
          <w:sz w:val="24"/>
          <w:szCs w:val="24"/>
        </w:rPr>
        <w:t>Ziyoda</w:t>
      </w:r>
      <w:r w:rsidRPr="004F7307">
        <w:rPr>
          <w:rFonts w:eastAsia="Calibri" w:cs="Times New Roman"/>
          <w:b/>
          <w:bCs/>
          <w:color w:val="000000"/>
          <w:sz w:val="24"/>
          <w:szCs w:val="24"/>
          <w:lang w:val="ru-RU"/>
        </w:rPr>
        <w:t xml:space="preserve"> </w:t>
      </w:r>
      <w:r w:rsidRPr="004F7307">
        <w:rPr>
          <w:rFonts w:eastAsia="Calibri" w:cs="Times New Roman"/>
          <w:b/>
          <w:bCs/>
          <w:color w:val="000000"/>
          <w:sz w:val="24"/>
          <w:szCs w:val="24"/>
        </w:rPr>
        <w:t>Ulugbekovna</w:t>
      </w:r>
      <w:r w:rsidRPr="00B71C19">
        <w:rPr>
          <w:rFonts w:eastAsia="Calibri" w:cs="Times New Roman"/>
          <w:b/>
          <w:bCs/>
          <w:color w:val="000000"/>
          <w:sz w:val="24"/>
          <w:szCs w:val="24"/>
          <w:lang w:val="ru-RU"/>
        </w:rPr>
        <w:t xml:space="preserve">, </w:t>
      </w:r>
      <w:r w:rsidRPr="004F7307">
        <w:rPr>
          <w:rFonts w:eastAsia="Calibri" w:cs="Times New Roman"/>
          <w:b/>
          <w:bCs/>
          <w:sz w:val="24"/>
          <w:szCs w:val="24"/>
        </w:rPr>
        <w:t>magistr</w:t>
      </w:r>
    </w:p>
    <w:p w14:paraId="4248BC3D" w14:textId="39719EFB" w:rsidR="006F010C" w:rsidRPr="00B71C19" w:rsidRDefault="004F7307" w:rsidP="006F010C">
      <w:pPr>
        <w:jc w:val="center"/>
        <w:rPr>
          <w:rFonts w:eastAsia="Calibri" w:cs="Times New Roman"/>
          <w:sz w:val="24"/>
          <w:szCs w:val="24"/>
          <w:lang w:val="ru-RU"/>
        </w:rPr>
      </w:pPr>
      <w:r w:rsidRPr="004F7307">
        <w:rPr>
          <w:rFonts w:eastAsia="Calibri" w:cs="Times New Roman"/>
          <w:sz w:val="24"/>
          <w:szCs w:val="24"/>
        </w:rPr>
        <w:t>Bolalar</w:t>
      </w:r>
      <w:r w:rsidRPr="004F7307">
        <w:rPr>
          <w:rFonts w:eastAsia="Calibri" w:cs="Times New Roman"/>
          <w:sz w:val="24"/>
          <w:szCs w:val="24"/>
          <w:lang w:val="ru-RU"/>
        </w:rPr>
        <w:t xml:space="preserve">, </w:t>
      </w:r>
      <w:r w:rsidRPr="004F7307">
        <w:rPr>
          <w:rFonts w:eastAsia="Calibri" w:cs="Times New Roman"/>
          <w:sz w:val="24"/>
          <w:szCs w:val="24"/>
        </w:rPr>
        <w:t>o</w:t>
      </w:r>
      <w:r w:rsidRPr="004F7307">
        <w:rPr>
          <w:rFonts w:eastAsia="Calibri" w:cs="Times New Roman"/>
          <w:sz w:val="24"/>
          <w:szCs w:val="24"/>
          <w:lang w:val="ru-RU"/>
        </w:rPr>
        <w:t>’</w:t>
      </w:r>
      <w:r w:rsidRPr="004F7307">
        <w:rPr>
          <w:rFonts w:eastAsia="Calibri" w:cs="Times New Roman"/>
          <w:sz w:val="24"/>
          <w:szCs w:val="24"/>
        </w:rPr>
        <w:t>smirlar</w:t>
      </w:r>
      <w:r w:rsidRPr="004F7307">
        <w:rPr>
          <w:rFonts w:eastAsia="Calibri" w:cs="Times New Roman"/>
          <w:sz w:val="24"/>
          <w:szCs w:val="24"/>
          <w:lang w:val="ru-RU"/>
        </w:rPr>
        <w:t xml:space="preserve"> </w:t>
      </w:r>
      <w:r w:rsidRPr="004F7307">
        <w:rPr>
          <w:rFonts w:eastAsia="Calibri" w:cs="Times New Roman"/>
          <w:sz w:val="24"/>
          <w:szCs w:val="24"/>
        </w:rPr>
        <w:t>va</w:t>
      </w:r>
      <w:r w:rsidRPr="004F7307">
        <w:rPr>
          <w:rFonts w:eastAsia="Calibri" w:cs="Times New Roman"/>
          <w:sz w:val="24"/>
          <w:szCs w:val="24"/>
          <w:lang w:val="ru-RU"/>
        </w:rPr>
        <w:t xml:space="preserve"> </w:t>
      </w:r>
      <w:r w:rsidRPr="004F7307">
        <w:rPr>
          <w:rFonts w:eastAsia="Calibri" w:cs="Times New Roman"/>
          <w:sz w:val="24"/>
          <w:szCs w:val="24"/>
        </w:rPr>
        <w:t>ovqatlanish</w:t>
      </w:r>
      <w:r w:rsidRPr="004F7307">
        <w:rPr>
          <w:rFonts w:eastAsia="Calibri" w:cs="Times New Roman"/>
          <w:sz w:val="24"/>
          <w:szCs w:val="24"/>
          <w:lang w:val="ru-RU"/>
        </w:rPr>
        <w:t xml:space="preserve"> </w:t>
      </w:r>
      <w:r w:rsidRPr="004F7307">
        <w:rPr>
          <w:rFonts w:eastAsia="Calibri" w:cs="Times New Roman"/>
          <w:sz w:val="24"/>
          <w:szCs w:val="24"/>
        </w:rPr>
        <w:t>gigiyenasi</w:t>
      </w:r>
      <w:r w:rsidRPr="004F7307">
        <w:rPr>
          <w:rFonts w:eastAsia="Calibri" w:cs="Times New Roman"/>
          <w:sz w:val="24"/>
          <w:szCs w:val="24"/>
          <w:lang w:val="ru-RU"/>
        </w:rPr>
        <w:t xml:space="preserve"> </w:t>
      </w:r>
      <w:r w:rsidRPr="004F7307">
        <w:rPr>
          <w:rFonts w:eastAsia="Calibri" w:cs="Times New Roman"/>
          <w:sz w:val="24"/>
          <w:szCs w:val="24"/>
        </w:rPr>
        <w:t>kafedrasi</w:t>
      </w:r>
    </w:p>
    <w:p w14:paraId="5F9DC07E" w14:textId="56ECD587" w:rsidR="004F7307" w:rsidRPr="004F7307" w:rsidRDefault="004F7307" w:rsidP="006F010C">
      <w:pPr>
        <w:jc w:val="center"/>
        <w:rPr>
          <w:rFonts w:eastAsia="Calibri" w:cs="Times New Roman"/>
          <w:sz w:val="24"/>
          <w:szCs w:val="24"/>
          <w:lang w:val="ru-RU"/>
        </w:rPr>
      </w:pPr>
      <w:r w:rsidRPr="004F7307">
        <w:rPr>
          <w:rFonts w:eastAsia="Calibri" w:cs="Times New Roman"/>
          <w:sz w:val="24"/>
          <w:szCs w:val="24"/>
        </w:rPr>
        <w:t>Toshkent</w:t>
      </w:r>
      <w:r w:rsidRPr="004F7307">
        <w:rPr>
          <w:rFonts w:eastAsia="Calibri" w:cs="Times New Roman"/>
          <w:sz w:val="24"/>
          <w:szCs w:val="24"/>
          <w:lang w:val="ru-RU"/>
        </w:rPr>
        <w:t xml:space="preserve"> </w:t>
      </w:r>
      <w:r w:rsidRPr="004F7307">
        <w:rPr>
          <w:rFonts w:eastAsia="Calibri" w:cs="Times New Roman"/>
          <w:sz w:val="24"/>
          <w:szCs w:val="24"/>
        </w:rPr>
        <w:t>tibbiyot</w:t>
      </w:r>
      <w:r w:rsidRPr="004F7307">
        <w:rPr>
          <w:rFonts w:eastAsia="Calibri" w:cs="Times New Roman"/>
          <w:sz w:val="24"/>
          <w:szCs w:val="24"/>
          <w:lang w:val="ru-RU"/>
        </w:rPr>
        <w:t xml:space="preserve"> </w:t>
      </w:r>
      <w:r w:rsidRPr="004F7307">
        <w:rPr>
          <w:rFonts w:eastAsia="Calibri" w:cs="Times New Roman"/>
          <w:sz w:val="24"/>
          <w:szCs w:val="24"/>
        </w:rPr>
        <w:t>akademiyasi</w:t>
      </w:r>
      <w:r w:rsidR="003F771C" w:rsidRPr="00B71C19">
        <w:rPr>
          <w:rFonts w:eastAsia="Calibri" w:cs="Times New Roman"/>
          <w:sz w:val="24"/>
          <w:szCs w:val="24"/>
          <w:lang w:val="ru-RU"/>
        </w:rPr>
        <w:t>,</w:t>
      </w:r>
      <w:r w:rsidR="003F771C" w:rsidRPr="00B71C19">
        <w:rPr>
          <w:rFonts w:eastAsia="Calibri" w:cs="Times New Roman"/>
          <w:color w:val="000000"/>
          <w:sz w:val="24"/>
          <w:szCs w:val="24"/>
          <w:lang w:val="ru-RU"/>
        </w:rPr>
        <w:t xml:space="preserve"> </w:t>
      </w:r>
      <w:r w:rsidR="003F771C" w:rsidRPr="004F7307">
        <w:rPr>
          <w:rFonts w:eastAsia="Calibri" w:cs="Times New Roman"/>
          <w:color w:val="000000"/>
          <w:sz w:val="24"/>
          <w:szCs w:val="24"/>
        </w:rPr>
        <w:t>Toshkent</w:t>
      </w:r>
      <w:r w:rsidR="003F771C" w:rsidRPr="004F7307">
        <w:rPr>
          <w:rFonts w:eastAsia="Calibri" w:cs="Times New Roman"/>
          <w:color w:val="000000"/>
          <w:sz w:val="24"/>
          <w:szCs w:val="24"/>
          <w:lang w:val="ru-RU"/>
        </w:rPr>
        <w:t xml:space="preserve">, </w:t>
      </w:r>
      <w:r w:rsidR="003F771C" w:rsidRPr="004F7307">
        <w:rPr>
          <w:rFonts w:eastAsia="Calibri" w:cs="Times New Roman"/>
          <w:color w:val="000000"/>
          <w:sz w:val="24"/>
          <w:szCs w:val="24"/>
        </w:rPr>
        <w:t>O</w:t>
      </w:r>
      <w:r w:rsidR="003F771C" w:rsidRPr="004F7307">
        <w:rPr>
          <w:rFonts w:eastAsia="Calibri" w:cs="Times New Roman"/>
          <w:color w:val="000000"/>
          <w:sz w:val="24"/>
          <w:szCs w:val="24"/>
          <w:lang w:val="ru-RU"/>
        </w:rPr>
        <w:t>’</w:t>
      </w:r>
      <w:r w:rsidR="003F771C" w:rsidRPr="004F7307">
        <w:rPr>
          <w:rFonts w:eastAsia="Calibri" w:cs="Times New Roman"/>
          <w:color w:val="000000"/>
          <w:sz w:val="24"/>
          <w:szCs w:val="24"/>
        </w:rPr>
        <w:t>zbekiston</w:t>
      </w:r>
    </w:p>
    <w:p w14:paraId="4DF1F1B0" w14:textId="77777777" w:rsidR="004F7307" w:rsidRPr="004F7307" w:rsidRDefault="004F7307" w:rsidP="004F7307">
      <w:pPr>
        <w:ind w:firstLine="567"/>
        <w:jc w:val="both"/>
        <w:rPr>
          <w:rFonts w:eastAsia="Calibri" w:cs="Times New Roman"/>
          <w:b/>
          <w:bCs/>
          <w:sz w:val="24"/>
          <w:szCs w:val="24"/>
          <w:lang w:val="ru-RU"/>
        </w:rPr>
      </w:pPr>
    </w:p>
    <w:p w14:paraId="1BCDE996" w14:textId="4DD6E8C1" w:rsidR="004F7307" w:rsidRPr="004F7307" w:rsidRDefault="004F7307" w:rsidP="004F7307">
      <w:pPr>
        <w:ind w:firstLine="567"/>
        <w:jc w:val="both"/>
        <w:rPr>
          <w:rFonts w:eastAsia="Calibri" w:cs="Times New Roman"/>
          <w:i/>
          <w:iCs/>
          <w:sz w:val="24"/>
          <w:szCs w:val="24"/>
          <w:lang w:val="ru-RU"/>
        </w:rPr>
      </w:pPr>
      <w:r w:rsidRPr="004F7307">
        <w:rPr>
          <w:rFonts w:eastAsia="Calibri" w:cs="Times New Roman"/>
          <w:b/>
          <w:bCs/>
          <w:i/>
          <w:iCs/>
          <w:sz w:val="24"/>
          <w:szCs w:val="24"/>
        </w:rPr>
        <w:t>Annotatsiya</w:t>
      </w:r>
      <w:r w:rsidR="003F771C" w:rsidRPr="003F771C">
        <w:rPr>
          <w:rFonts w:eastAsia="Calibri" w:cs="Times New Roman"/>
          <w:b/>
          <w:bCs/>
          <w:i/>
          <w:iCs/>
          <w:sz w:val="24"/>
          <w:szCs w:val="24"/>
          <w:lang w:val="ru-RU"/>
        </w:rPr>
        <w:t xml:space="preserve">. </w:t>
      </w:r>
      <w:r w:rsidRPr="004F7307">
        <w:rPr>
          <w:rFonts w:eastAsia="Calibri" w:cs="Times New Roman"/>
          <w:i/>
          <w:iCs/>
          <w:sz w:val="24"/>
          <w:szCs w:val="24"/>
        </w:rPr>
        <w:t>Ortiqcha</w:t>
      </w:r>
      <w:r w:rsidRPr="004F7307">
        <w:rPr>
          <w:rFonts w:eastAsia="Calibri" w:cs="Times New Roman"/>
          <w:i/>
          <w:iCs/>
          <w:sz w:val="24"/>
          <w:szCs w:val="24"/>
          <w:lang w:val="ru-RU"/>
        </w:rPr>
        <w:t xml:space="preserve"> </w:t>
      </w:r>
      <w:r w:rsidRPr="004F7307">
        <w:rPr>
          <w:rFonts w:eastAsia="Calibri" w:cs="Times New Roman"/>
          <w:i/>
          <w:iCs/>
          <w:sz w:val="24"/>
          <w:szCs w:val="24"/>
        </w:rPr>
        <w:t>vazn</w:t>
      </w:r>
      <w:r w:rsidRPr="004F7307">
        <w:rPr>
          <w:rFonts w:eastAsia="Calibri" w:cs="Times New Roman"/>
          <w:i/>
          <w:iCs/>
          <w:sz w:val="24"/>
          <w:szCs w:val="24"/>
          <w:lang w:val="ru-RU"/>
        </w:rPr>
        <w:t xml:space="preserve"> </w:t>
      </w:r>
      <w:r w:rsidRPr="004F7307">
        <w:rPr>
          <w:rFonts w:eastAsia="Calibri" w:cs="Times New Roman"/>
          <w:i/>
          <w:iCs/>
          <w:sz w:val="24"/>
          <w:szCs w:val="24"/>
        </w:rPr>
        <w:t>va</w:t>
      </w:r>
      <w:r w:rsidRPr="004F7307">
        <w:rPr>
          <w:rFonts w:eastAsia="Calibri" w:cs="Times New Roman"/>
          <w:i/>
          <w:iCs/>
          <w:sz w:val="24"/>
          <w:szCs w:val="24"/>
          <w:lang w:val="ru-RU"/>
        </w:rPr>
        <w:t xml:space="preserve"> </w:t>
      </w:r>
      <w:r w:rsidRPr="004F7307">
        <w:rPr>
          <w:rFonts w:eastAsia="Calibri" w:cs="Times New Roman"/>
          <w:i/>
          <w:iCs/>
          <w:sz w:val="24"/>
          <w:szCs w:val="24"/>
        </w:rPr>
        <w:t>semizlik</w:t>
      </w:r>
      <w:r w:rsidRPr="004F7307">
        <w:rPr>
          <w:rFonts w:eastAsia="Calibri" w:cs="Times New Roman"/>
          <w:i/>
          <w:iCs/>
          <w:sz w:val="24"/>
          <w:szCs w:val="24"/>
          <w:lang w:val="ru-RU"/>
        </w:rPr>
        <w:t xml:space="preserve"> </w:t>
      </w:r>
      <w:r w:rsidRPr="004F7307">
        <w:rPr>
          <w:rFonts w:eastAsia="Calibri" w:cs="Times New Roman"/>
          <w:i/>
          <w:iCs/>
          <w:sz w:val="24"/>
          <w:szCs w:val="24"/>
        </w:rPr>
        <w:t>multi</w:t>
      </w:r>
      <w:r w:rsidRPr="004F7307">
        <w:rPr>
          <w:rFonts w:eastAsia="Calibri" w:cs="Times New Roman"/>
          <w:i/>
          <w:iCs/>
          <w:sz w:val="24"/>
          <w:szCs w:val="24"/>
          <w:lang w:val="ru-RU"/>
        </w:rPr>
        <w:t xml:space="preserve"> </w:t>
      </w:r>
      <w:r w:rsidR="00F44A75" w:rsidRPr="00D27CEF">
        <w:rPr>
          <w:rFonts w:eastAsia="Calibri" w:cs="Times New Roman"/>
          <w:i/>
          <w:iCs/>
          <w:sz w:val="24"/>
          <w:szCs w:val="24"/>
          <w:lang w:val="ru-RU"/>
        </w:rPr>
        <w:pgNum/>
      </w:r>
      <w:r w:rsidR="00F44A75">
        <w:rPr>
          <w:rFonts w:eastAsia="Calibri" w:cs="Times New Roman"/>
          <w:i/>
          <w:iCs/>
          <w:sz w:val="24"/>
          <w:szCs w:val="24"/>
        </w:rPr>
        <w:t>utria</w:t>
      </w:r>
      <w:r w:rsidR="00F44A75" w:rsidRPr="00D27CEF">
        <w:rPr>
          <w:rFonts w:eastAsia="Calibri" w:cs="Times New Roman"/>
          <w:i/>
          <w:iCs/>
          <w:sz w:val="24"/>
          <w:szCs w:val="24"/>
          <w:lang w:val="ru-RU"/>
        </w:rPr>
        <w:pgNum/>
      </w:r>
      <w:r w:rsidR="00F44A75">
        <w:rPr>
          <w:rFonts w:eastAsia="Calibri" w:cs="Times New Roman"/>
          <w:i/>
          <w:iCs/>
          <w:sz w:val="24"/>
          <w:szCs w:val="24"/>
        </w:rPr>
        <w:t>ni</w:t>
      </w:r>
      <w:r w:rsidRPr="004F7307">
        <w:rPr>
          <w:rFonts w:eastAsia="Calibri" w:cs="Times New Roman"/>
          <w:i/>
          <w:iCs/>
          <w:sz w:val="24"/>
          <w:szCs w:val="24"/>
          <w:lang w:val="ru-RU"/>
        </w:rPr>
        <w:t xml:space="preserve">, </w:t>
      </w:r>
      <w:r w:rsidRPr="004F7307">
        <w:rPr>
          <w:rFonts w:eastAsia="Calibri" w:cs="Times New Roman"/>
          <w:i/>
          <w:iCs/>
          <w:sz w:val="24"/>
          <w:szCs w:val="24"/>
        </w:rPr>
        <w:t>surunkali</w:t>
      </w:r>
      <w:r w:rsidRPr="004F7307">
        <w:rPr>
          <w:rFonts w:eastAsia="Calibri" w:cs="Times New Roman"/>
          <w:i/>
          <w:iCs/>
          <w:sz w:val="24"/>
          <w:szCs w:val="24"/>
          <w:lang w:val="ru-RU"/>
        </w:rPr>
        <w:t xml:space="preserve"> </w:t>
      </w:r>
      <w:r w:rsidRPr="004F7307">
        <w:rPr>
          <w:rFonts w:eastAsia="Calibri" w:cs="Times New Roman"/>
          <w:i/>
          <w:iCs/>
          <w:sz w:val="24"/>
          <w:szCs w:val="24"/>
        </w:rPr>
        <w:t>va</w:t>
      </w:r>
      <w:r w:rsidRPr="004F7307">
        <w:rPr>
          <w:rFonts w:eastAsia="Calibri" w:cs="Times New Roman"/>
          <w:i/>
          <w:iCs/>
          <w:sz w:val="24"/>
          <w:szCs w:val="24"/>
          <w:lang w:val="ru-RU"/>
        </w:rPr>
        <w:t xml:space="preserve"> </w:t>
      </w:r>
      <w:r w:rsidRPr="004F7307">
        <w:rPr>
          <w:rFonts w:eastAsia="Calibri" w:cs="Times New Roman"/>
          <w:i/>
          <w:iCs/>
          <w:sz w:val="24"/>
          <w:szCs w:val="24"/>
        </w:rPr>
        <w:t>takroriy</w:t>
      </w:r>
      <w:r w:rsidRPr="004F7307">
        <w:rPr>
          <w:rFonts w:eastAsia="Calibri" w:cs="Times New Roman"/>
          <w:i/>
          <w:iCs/>
          <w:sz w:val="24"/>
          <w:szCs w:val="24"/>
          <w:lang w:val="ru-RU"/>
        </w:rPr>
        <w:t xml:space="preserve"> </w:t>
      </w:r>
      <w:r w:rsidRPr="004F7307">
        <w:rPr>
          <w:rFonts w:eastAsia="Calibri" w:cs="Times New Roman"/>
          <w:i/>
          <w:iCs/>
          <w:sz w:val="24"/>
          <w:szCs w:val="24"/>
        </w:rPr>
        <w:t>xarakterga</w:t>
      </w:r>
      <w:r w:rsidRPr="004F7307">
        <w:rPr>
          <w:rFonts w:eastAsia="Calibri" w:cs="Times New Roman"/>
          <w:i/>
          <w:iCs/>
          <w:sz w:val="24"/>
          <w:szCs w:val="24"/>
          <w:lang w:val="ru-RU"/>
        </w:rPr>
        <w:t xml:space="preserve"> </w:t>
      </w:r>
      <w:r w:rsidRPr="004F7307">
        <w:rPr>
          <w:rFonts w:eastAsia="Calibri" w:cs="Times New Roman"/>
          <w:i/>
          <w:iCs/>
          <w:sz w:val="24"/>
          <w:szCs w:val="24"/>
        </w:rPr>
        <w:t>ega</w:t>
      </w:r>
      <w:r w:rsidRPr="004F7307">
        <w:rPr>
          <w:rFonts w:eastAsia="Calibri" w:cs="Times New Roman"/>
          <w:i/>
          <w:iCs/>
          <w:sz w:val="24"/>
          <w:szCs w:val="24"/>
          <w:lang w:val="ru-RU"/>
        </w:rPr>
        <w:t xml:space="preserve"> </w:t>
      </w:r>
      <w:r w:rsidRPr="004F7307">
        <w:rPr>
          <w:rFonts w:eastAsia="Calibri" w:cs="Times New Roman"/>
          <w:i/>
          <w:iCs/>
          <w:sz w:val="24"/>
          <w:szCs w:val="24"/>
        </w:rPr>
        <w:t>bo</w:t>
      </w:r>
      <w:r w:rsidRPr="004F7307">
        <w:rPr>
          <w:rFonts w:eastAsia="Calibri" w:cs="Times New Roman"/>
          <w:i/>
          <w:iCs/>
          <w:sz w:val="24"/>
          <w:szCs w:val="24"/>
          <w:lang w:val="ru-RU"/>
        </w:rPr>
        <w:t>'</w:t>
      </w:r>
      <w:r w:rsidRPr="004F7307">
        <w:rPr>
          <w:rFonts w:eastAsia="Calibri" w:cs="Times New Roman"/>
          <w:i/>
          <w:iCs/>
          <w:sz w:val="24"/>
          <w:szCs w:val="24"/>
        </w:rPr>
        <w:t>lib</w:t>
      </w:r>
      <w:r w:rsidRPr="004F7307">
        <w:rPr>
          <w:rFonts w:eastAsia="Calibri" w:cs="Times New Roman"/>
          <w:i/>
          <w:iCs/>
          <w:sz w:val="24"/>
          <w:szCs w:val="24"/>
          <w:lang w:val="ru-RU"/>
        </w:rPr>
        <w:t xml:space="preserve">, </w:t>
      </w:r>
      <w:r w:rsidRPr="004F7307">
        <w:rPr>
          <w:rFonts w:eastAsia="Calibri" w:cs="Times New Roman"/>
          <w:i/>
          <w:iCs/>
          <w:sz w:val="24"/>
          <w:szCs w:val="24"/>
        </w:rPr>
        <w:t>hozirgi</w:t>
      </w:r>
      <w:r w:rsidRPr="004F7307">
        <w:rPr>
          <w:rFonts w:eastAsia="Calibri" w:cs="Times New Roman"/>
          <w:i/>
          <w:iCs/>
          <w:sz w:val="24"/>
          <w:szCs w:val="24"/>
          <w:lang w:val="ru-RU"/>
        </w:rPr>
        <w:t xml:space="preserve"> </w:t>
      </w:r>
      <w:r w:rsidRPr="004F7307">
        <w:rPr>
          <w:rFonts w:eastAsia="Calibri" w:cs="Times New Roman"/>
          <w:i/>
          <w:iCs/>
          <w:sz w:val="24"/>
          <w:szCs w:val="24"/>
        </w:rPr>
        <w:t>vaqtda</w:t>
      </w:r>
      <w:r w:rsidRPr="004F7307">
        <w:rPr>
          <w:rFonts w:eastAsia="Calibri" w:cs="Times New Roman"/>
          <w:i/>
          <w:iCs/>
          <w:sz w:val="24"/>
          <w:szCs w:val="24"/>
          <w:lang w:val="ru-RU"/>
        </w:rPr>
        <w:t xml:space="preserve"> </w:t>
      </w:r>
      <w:r w:rsidRPr="004F7307">
        <w:rPr>
          <w:rFonts w:eastAsia="Calibri" w:cs="Times New Roman"/>
          <w:i/>
          <w:iCs/>
          <w:sz w:val="24"/>
          <w:szCs w:val="24"/>
        </w:rPr>
        <w:t>yuqumli</w:t>
      </w:r>
      <w:r w:rsidRPr="004F7307">
        <w:rPr>
          <w:rFonts w:eastAsia="Calibri" w:cs="Times New Roman"/>
          <w:i/>
          <w:iCs/>
          <w:sz w:val="24"/>
          <w:szCs w:val="24"/>
          <w:lang w:val="ru-RU"/>
        </w:rPr>
        <w:t xml:space="preserve"> </w:t>
      </w:r>
      <w:r w:rsidRPr="004F7307">
        <w:rPr>
          <w:rFonts w:eastAsia="Calibri" w:cs="Times New Roman"/>
          <w:i/>
          <w:iCs/>
          <w:sz w:val="24"/>
          <w:szCs w:val="24"/>
        </w:rPr>
        <w:t>bo</w:t>
      </w:r>
      <w:r w:rsidRPr="004F7307">
        <w:rPr>
          <w:rFonts w:eastAsia="Calibri" w:cs="Times New Roman"/>
          <w:i/>
          <w:iCs/>
          <w:sz w:val="24"/>
          <w:szCs w:val="24"/>
          <w:lang w:val="ru-RU"/>
        </w:rPr>
        <w:t>'</w:t>
      </w:r>
      <w:r w:rsidRPr="004F7307">
        <w:rPr>
          <w:rFonts w:eastAsia="Calibri" w:cs="Times New Roman"/>
          <w:i/>
          <w:iCs/>
          <w:sz w:val="24"/>
          <w:szCs w:val="24"/>
        </w:rPr>
        <w:t>lmagan</w:t>
      </w:r>
      <w:r w:rsidRPr="004F7307">
        <w:rPr>
          <w:rFonts w:eastAsia="Calibri" w:cs="Times New Roman"/>
          <w:i/>
          <w:iCs/>
          <w:sz w:val="24"/>
          <w:szCs w:val="24"/>
          <w:lang w:val="ru-RU"/>
        </w:rPr>
        <w:t xml:space="preserve"> </w:t>
      </w:r>
      <w:r w:rsidRPr="004F7307">
        <w:rPr>
          <w:rFonts w:eastAsia="Calibri" w:cs="Times New Roman"/>
          <w:i/>
          <w:iCs/>
          <w:sz w:val="24"/>
          <w:szCs w:val="24"/>
        </w:rPr>
        <w:t>kasalliklar</w:t>
      </w:r>
      <w:r w:rsidRPr="004F7307">
        <w:rPr>
          <w:rFonts w:eastAsia="Calibri" w:cs="Times New Roman"/>
          <w:i/>
          <w:iCs/>
          <w:sz w:val="24"/>
          <w:szCs w:val="24"/>
          <w:lang w:val="ru-RU"/>
        </w:rPr>
        <w:t xml:space="preserve"> </w:t>
      </w:r>
      <w:r w:rsidRPr="004F7307">
        <w:rPr>
          <w:rFonts w:eastAsia="Calibri" w:cs="Times New Roman"/>
          <w:i/>
          <w:iCs/>
          <w:sz w:val="24"/>
          <w:szCs w:val="24"/>
        </w:rPr>
        <w:t>orasida</w:t>
      </w:r>
      <w:r w:rsidRPr="004F7307">
        <w:rPr>
          <w:rFonts w:eastAsia="Calibri" w:cs="Times New Roman"/>
          <w:i/>
          <w:iCs/>
          <w:sz w:val="24"/>
          <w:szCs w:val="24"/>
          <w:lang w:val="ru-RU"/>
        </w:rPr>
        <w:t xml:space="preserve"> </w:t>
      </w:r>
      <w:r w:rsidRPr="004F7307">
        <w:rPr>
          <w:rFonts w:eastAsia="Calibri" w:cs="Times New Roman"/>
          <w:i/>
          <w:iCs/>
          <w:sz w:val="24"/>
          <w:szCs w:val="24"/>
        </w:rPr>
        <w:t>muhim</w:t>
      </w:r>
      <w:r w:rsidRPr="004F7307">
        <w:rPr>
          <w:rFonts w:eastAsia="Calibri" w:cs="Times New Roman"/>
          <w:i/>
          <w:iCs/>
          <w:sz w:val="24"/>
          <w:szCs w:val="24"/>
          <w:lang w:val="ru-RU"/>
        </w:rPr>
        <w:t xml:space="preserve"> </w:t>
      </w:r>
      <w:r w:rsidRPr="004F7307">
        <w:rPr>
          <w:rFonts w:eastAsia="Calibri" w:cs="Times New Roman"/>
          <w:i/>
          <w:iCs/>
          <w:sz w:val="24"/>
          <w:szCs w:val="24"/>
        </w:rPr>
        <w:t>o</w:t>
      </w:r>
      <w:r w:rsidRPr="004F7307">
        <w:rPr>
          <w:rFonts w:eastAsia="Calibri" w:cs="Times New Roman"/>
          <w:i/>
          <w:iCs/>
          <w:sz w:val="24"/>
          <w:szCs w:val="24"/>
          <w:lang w:val="ru-RU"/>
        </w:rPr>
        <w:t>’</w:t>
      </w:r>
      <w:r w:rsidRPr="004F7307">
        <w:rPr>
          <w:rFonts w:eastAsia="Calibri" w:cs="Times New Roman"/>
          <w:i/>
          <w:iCs/>
          <w:sz w:val="24"/>
          <w:szCs w:val="24"/>
        </w:rPr>
        <w:t>rin</w:t>
      </w:r>
      <w:r w:rsidRPr="004F7307">
        <w:rPr>
          <w:rFonts w:eastAsia="Calibri" w:cs="Times New Roman"/>
          <w:i/>
          <w:iCs/>
          <w:sz w:val="24"/>
          <w:szCs w:val="24"/>
          <w:lang w:val="ru-RU"/>
        </w:rPr>
        <w:t xml:space="preserve"> </w:t>
      </w:r>
      <w:r w:rsidRPr="004F7307">
        <w:rPr>
          <w:rFonts w:eastAsia="Calibri" w:cs="Times New Roman"/>
          <w:i/>
          <w:iCs/>
          <w:sz w:val="24"/>
          <w:szCs w:val="24"/>
        </w:rPr>
        <w:t>tutadi</w:t>
      </w:r>
      <w:r w:rsidRPr="004F7307">
        <w:rPr>
          <w:rFonts w:eastAsia="Calibri" w:cs="Times New Roman"/>
          <w:i/>
          <w:iCs/>
          <w:sz w:val="24"/>
          <w:szCs w:val="24"/>
          <w:lang w:val="ru-RU"/>
        </w:rPr>
        <w:t xml:space="preserve">. </w:t>
      </w:r>
      <w:r w:rsidRPr="004F7307">
        <w:rPr>
          <w:rFonts w:eastAsia="Calibri" w:cs="Times New Roman"/>
          <w:i/>
          <w:iCs/>
          <w:sz w:val="24"/>
          <w:szCs w:val="24"/>
        </w:rPr>
        <w:t>Bundan</w:t>
      </w:r>
      <w:r w:rsidRPr="004F7307">
        <w:rPr>
          <w:rFonts w:eastAsia="Calibri" w:cs="Times New Roman"/>
          <w:i/>
          <w:iCs/>
          <w:sz w:val="24"/>
          <w:szCs w:val="24"/>
          <w:lang w:val="ru-RU"/>
        </w:rPr>
        <w:t xml:space="preserve"> </w:t>
      </w:r>
      <w:r w:rsidRPr="004F7307">
        <w:rPr>
          <w:rFonts w:eastAsia="Calibri" w:cs="Times New Roman"/>
          <w:i/>
          <w:iCs/>
          <w:sz w:val="24"/>
          <w:szCs w:val="24"/>
        </w:rPr>
        <w:t>tashqari</w:t>
      </w:r>
      <w:r w:rsidRPr="004F7307">
        <w:rPr>
          <w:rFonts w:eastAsia="Calibri" w:cs="Times New Roman"/>
          <w:i/>
          <w:iCs/>
          <w:sz w:val="24"/>
          <w:szCs w:val="24"/>
          <w:lang w:val="ru-RU"/>
        </w:rPr>
        <w:t xml:space="preserve">, </w:t>
      </w:r>
      <w:r w:rsidRPr="004F7307">
        <w:rPr>
          <w:rFonts w:eastAsia="Calibri" w:cs="Times New Roman"/>
          <w:i/>
          <w:iCs/>
          <w:sz w:val="24"/>
          <w:szCs w:val="24"/>
        </w:rPr>
        <w:lastRenderedPageBreak/>
        <w:t>COVID</w:t>
      </w:r>
      <w:r w:rsidRPr="004F7307">
        <w:rPr>
          <w:rFonts w:eastAsia="Calibri" w:cs="Times New Roman"/>
          <w:i/>
          <w:iCs/>
          <w:sz w:val="24"/>
          <w:szCs w:val="24"/>
          <w:lang w:val="ru-RU"/>
        </w:rPr>
        <w:t xml:space="preserve">-19 </w:t>
      </w:r>
      <w:r w:rsidRPr="004F7307">
        <w:rPr>
          <w:rFonts w:eastAsia="Calibri" w:cs="Times New Roman"/>
          <w:i/>
          <w:iCs/>
          <w:sz w:val="24"/>
          <w:szCs w:val="24"/>
        </w:rPr>
        <w:t>bilan</w:t>
      </w:r>
      <w:r w:rsidRPr="004F7307">
        <w:rPr>
          <w:rFonts w:eastAsia="Calibri" w:cs="Times New Roman"/>
          <w:i/>
          <w:iCs/>
          <w:sz w:val="24"/>
          <w:szCs w:val="24"/>
          <w:lang w:val="ru-RU"/>
        </w:rPr>
        <w:t xml:space="preserve"> </w:t>
      </w:r>
      <w:r w:rsidRPr="004F7307">
        <w:rPr>
          <w:rFonts w:eastAsia="Calibri" w:cs="Times New Roman"/>
          <w:i/>
          <w:iCs/>
          <w:sz w:val="24"/>
          <w:szCs w:val="24"/>
        </w:rPr>
        <w:t>ko</w:t>
      </w:r>
      <w:r w:rsidRPr="004F7307">
        <w:rPr>
          <w:rFonts w:eastAsia="Calibri" w:cs="Times New Roman"/>
          <w:i/>
          <w:iCs/>
          <w:sz w:val="24"/>
          <w:szCs w:val="24"/>
          <w:lang w:val="ru-RU"/>
        </w:rPr>
        <w:t>'</w:t>
      </w:r>
      <w:r w:rsidRPr="004F7307">
        <w:rPr>
          <w:rFonts w:eastAsia="Calibri" w:cs="Times New Roman"/>
          <w:i/>
          <w:iCs/>
          <w:sz w:val="24"/>
          <w:szCs w:val="24"/>
        </w:rPr>
        <w:t>plab</w:t>
      </w:r>
      <w:r w:rsidRPr="004F7307">
        <w:rPr>
          <w:rFonts w:eastAsia="Calibri" w:cs="Times New Roman"/>
          <w:i/>
          <w:iCs/>
          <w:sz w:val="24"/>
          <w:szCs w:val="24"/>
          <w:lang w:val="ru-RU"/>
        </w:rPr>
        <w:t xml:space="preserve"> </w:t>
      </w:r>
      <w:r w:rsidRPr="004F7307">
        <w:rPr>
          <w:rFonts w:eastAsia="Calibri" w:cs="Times New Roman"/>
          <w:i/>
          <w:iCs/>
          <w:sz w:val="24"/>
          <w:szCs w:val="24"/>
        </w:rPr>
        <w:t>o</w:t>
      </w:r>
      <w:r w:rsidRPr="004F7307">
        <w:rPr>
          <w:rFonts w:eastAsia="Calibri" w:cs="Times New Roman"/>
          <w:i/>
          <w:iCs/>
          <w:sz w:val="24"/>
          <w:szCs w:val="24"/>
          <w:lang w:val="ru-RU"/>
        </w:rPr>
        <w:t>'</w:t>
      </w:r>
      <w:r w:rsidRPr="004F7307">
        <w:rPr>
          <w:rFonts w:eastAsia="Calibri" w:cs="Times New Roman"/>
          <w:i/>
          <w:iCs/>
          <w:sz w:val="24"/>
          <w:szCs w:val="24"/>
        </w:rPr>
        <w:t>limlarning</w:t>
      </w:r>
      <w:r w:rsidRPr="004F7307">
        <w:rPr>
          <w:rFonts w:eastAsia="Calibri" w:cs="Times New Roman"/>
          <w:i/>
          <w:iCs/>
          <w:sz w:val="24"/>
          <w:szCs w:val="24"/>
          <w:lang w:val="ru-RU"/>
        </w:rPr>
        <w:t xml:space="preserve"> </w:t>
      </w:r>
      <w:r w:rsidRPr="004F7307">
        <w:rPr>
          <w:rFonts w:eastAsia="Calibri" w:cs="Times New Roman"/>
          <w:i/>
          <w:iCs/>
          <w:sz w:val="24"/>
          <w:szCs w:val="24"/>
        </w:rPr>
        <w:t>sababchisi</w:t>
      </w:r>
      <w:r w:rsidRPr="004F7307">
        <w:rPr>
          <w:rFonts w:eastAsia="Calibri" w:cs="Times New Roman"/>
          <w:i/>
          <w:iCs/>
          <w:sz w:val="24"/>
          <w:szCs w:val="24"/>
          <w:lang w:val="ru-RU"/>
        </w:rPr>
        <w:t xml:space="preserve"> </w:t>
      </w:r>
      <w:r w:rsidRPr="004F7307">
        <w:rPr>
          <w:rFonts w:eastAsia="Calibri" w:cs="Times New Roman"/>
          <w:i/>
          <w:iCs/>
          <w:sz w:val="24"/>
          <w:szCs w:val="24"/>
        </w:rPr>
        <w:t>hamdir</w:t>
      </w:r>
      <w:r w:rsidRPr="004F7307">
        <w:rPr>
          <w:rFonts w:eastAsia="Calibri" w:cs="Times New Roman"/>
          <w:i/>
          <w:iCs/>
          <w:sz w:val="24"/>
          <w:szCs w:val="24"/>
          <w:lang w:val="ru-RU"/>
        </w:rPr>
        <w:t xml:space="preserve">. </w:t>
      </w:r>
      <w:r w:rsidRPr="004F7307">
        <w:rPr>
          <w:rFonts w:eastAsia="Calibri" w:cs="Times New Roman"/>
          <w:i/>
          <w:iCs/>
          <w:sz w:val="24"/>
          <w:szCs w:val="24"/>
        </w:rPr>
        <w:t>Bir</w:t>
      </w:r>
      <w:r w:rsidRPr="004F7307">
        <w:rPr>
          <w:rFonts w:eastAsia="Calibri" w:cs="Times New Roman"/>
          <w:i/>
          <w:iCs/>
          <w:sz w:val="24"/>
          <w:szCs w:val="24"/>
          <w:lang w:val="ru-RU"/>
        </w:rPr>
        <w:t xml:space="preserve"> </w:t>
      </w:r>
      <w:r w:rsidRPr="004F7307">
        <w:rPr>
          <w:rFonts w:eastAsia="Calibri" w:cs="Times New Roman"/>
          <w:i/>
          <w:iCs/>
          <w:sz w:val="24"/>
          <w:szCs w:val="24"/>
        </w:rPr>
        <w:t>so</w:t>
      </w:r>
      <w:r w:rsidRPr="004F7307">
        <w:rPr>
          <w:rFonts w:eastAsia="Calibri" w:cs="Times New Roman"/>
          <w:i/>
          <w:iCs/>
          <w:sz w:val="24"/>
          <w:szCs w:val="24"/>
          <w:lang w:val="ru-RU"/>
        </w:rPr>
        <w:t>'</w:t>
      </w:r>
      <w:r w:rsidRPr="004F7307">
        <w:rPr>
          <w:rFonts w:eastAsia="Calibri" w:cs="Times New Roman"/>
          <w:i/>
          <w:iCs/>
          <w:sz w:val="24"/>
          <w:szCs w:val="24"/>
        </w:rPr>
        <w:t>z</w:t>
      </w:r>
      <w:r w:rsidRPr="004F7307">
        <w:rPr>
          <w:rFonts w:eastAsia="Calibri" w:cs="Times New Roman"/>
          <w:i/>
          <w:iCs/>
          <w:sz w:val="24"/>
          <w:szCs w:val="24"/>
          <w:lang w:val="ru-RU"/>
        </w:rPr>
        <w:t xml:space="preserve"> </w:t>
      </w:r>
      <w:r w:rsidRPr="004F7307">
        <w:rPr>
          <w:rFonts w:eastAsia="Calibri" w:cs="Times New Roman"/>
          <w:i/>
          <w:iCs/>
          <w:sz w:val="24"/>
          <w:szCs w:val="24"/>
        </w:rPr>
        <w:t>bilan</w:t>
      </w:r>
      <w:r w:rsidRPr="004F7307">
        <w:rPr>
          <w:rFonts w:eastAsia="Calibri" w:cs="Times New Roman"/>
          <w:i/>
          <w:iCs/>
          <w:sz w:val="24"/>
          <w:szCs w:val="24"/>
          <w:lang w:val="ru-RU"/>
        </w:rPr>
        <w:t xml:space="preserve"> </w:t>
      </w:r>
      <w:r w:rsidRPr="004F7307">
        <w:rPr>
          <w:rFonts w:eastAsia="Calibri" w:cs="Times New Roman"/>
          <w:i/>
          <w:iCs/>
          <w:sz w:val="24"/>
          <w:szCs w:val="24"/>
        </w:rPr>
        <w:t>aytganda</w:t>
      </w:r>
      <w:r w:rsidRPr="004F7307">
        <w:rPr>
          <w:rFonts w:eastAsia="Calibri" w:cs="Times New Roman"/>
          <w:i/>
          <w:iCs/>
          <w:sz w:val="24"/>
          <w:szCs w:val="24"/>
          <w:lang w:val="ru-RU"/>
        </w:rPr>
        <w:t xml:space="preserve">, </w:t>
      </w:r>
      <w:r w:rsidRPr="004F7307">
        <w:rPr>
          <w:rFonts w:eastAsia="Calibri" w:cs="Times New Roman"/>
          <w:i/>
          <w:iCs/>
          <w:sz w:val="24"/>
          <w:szCs w:val="24"/>
        </w:rPr>
        <w:t>bu</w:t>
      </w:r>
      <w:r w:rsidRPr="004F7307">
        <w:rPr>
          <w:rFonts w:eastAsia="Calibri" w:cs="Times New Roman"/>
          <w:i/>
          <w:iCs/>
          <w:sz w:val="24"/>
          <w:szCs w:val="24"/>
          <w:lang w:val="ru-RU"/>
        </w:rPr>
        <w:t xml:space="preserve"> </w:t>
      </w:r>
      <w:r w:rsidRPr="004F7307">
        <w:rPr>
          <w:rFonts w:eastAsia="Calibri" w:cs="Times New Roman"/>
          <w:i/>
          <w:iCs/>
          <w:sz w:val="24"/>
          <w:szCs w:val="24"/>
        </w:rPr>
        <w:t>surunkali</w:t>
      </w:r>
      <w:r w:rsidRPr="004F7307">
        <w:rPr>
          <w:rFonts w:eastAsia="Calibri" w:cs="Times New Roman"/>
          <w:i/>
          <w:iCs/>
          <w:sz w:val="24"/>
          <w:szCs w:val="24"/>
          <w:lang w:val="ru-RU"/>
        </w:rPr>
        <w:t xml:space="preserve"> </w:t>
      </w:r>
      <w:r w:rsidRPr="004F7307">
        <w:rPr>
          <w:rFonts w:eastAsia="Calibri" w:cs="Times New Roman"/>
          <w:i/>
          <w:iCs/>
          <w:sz w:val="24"/>
          <w:szCs w:val="24"/>
        </w:rPr>
        <w:t>patologiya</w:t>
      </w:r>
      <w:r w:rsidRPr="004F7307">
        <w:rPr>
          <w:rFonts w:eastAsia="Calibri" w:cs="Times New Roman"/>
          <w:i/>
          <w:iCs/>
          <w:sz w:val="24"/>
          <w:szCs w:val="24"/>
          <w:lang w:val="ru-RU"/>
        </w:rPr>
        <w:t xml:space="preserve"> </w:t>
      </w:r>
      <w:r w:rsidRPr="004F7307">
        <w:rPr>
          <w:rFonts w:eastAsia="Calibri" w:cs="Times New Roman"/>
          <w:i/>
          <w:iCs/>
          <w:sz w:val="24"/>
          <w:szCs w:val="24"/>
        </w:rPr>
        <w:t>bo</w:t>
      </w:r>
      <w:r w:rsidRPr="004F7307">
        <w:rPr>
          <w:rFonts w:eastAsia="Calibri" w:cs="Times New Roman"/>
          <w:i/>
          <w:iCs/>
          <w:sz w:val="24"/>
          <w:szCs w:val="24"/>
          <w:lang w:val="ru-RU"/>
        </w:rPr>
        <w:t>'</w:t>
      </w:r>
      <w:r w:rsidRPr="004F7307">
        <w:rPr>
          <w:rFonts w:eastAsia="Calibri" w:cs="Times New Roman"/>
          <w:i/>
          <w:iCs/>
          <w:sz w:val="24"/>
          <w:szCs w:val="24"/>
        </w:rPr>
        <w:t>lib</w:t>
      </w:r>
      <w:r w:rsidRPr="004F7307">
        <w:rPr>
          <w:rFonts w:eastAsia="Calibri" w:cs="Times New Roman"/>
          <w:i/>
          <w:iCs/>
          <w:sz w:val="24"/>
          <w:szCs w:val="24"/>
          <w:lang w:val="ru-RU"/>
        </w:rPr>
        <w:t xml:space="preserve">, </w:t>
      </w:r>
      <w:r w:rsidRPr="004F7307">
        <w:rPr>
          <w:rFonts w:eastAsia="Calibri" w:cs="Times New Roman"/>
          <w:i/>
          <w:iCs/>
          <w:sz w:val="24"/>
          <w:szCs w:val="24"/>
        </w:rPr>
        <w:t>uni</w:t>
      </w:r>
      <w:r w:rsidRPr="004F7307">
        <w:rPr>
          <w:rFonts w:eastAsia="Calibri" w:cs="Times New Roman"/>
          <w:i/>
          <w:iCs/>
          <w:sz w:val="24"/>
          <w:szCs w:val="24"/>
          <w:lang w:val="ru-RU"/>
        </w:rPr>
        <w:t xml:space="preserve"> </w:t>
      </w:r>
      <w:r w:rsidRPr="004F7307">
        <w:rPr>
          <w:rFonts w:eastAsia="Calibri" w:cs="Times New Roman"/>
          <w:i/>
          <w:iCs/>
          <w:sz w:val="24"/>
          <w:szCs w:val="24"/>
        </w:rPr>
        <w:t>davolash</w:t>
      </w:r>
      <w:r w:rsidRPr="004F7307">
        <w:rPr>
          <w:rFonts w:eastAsia="Calibri" w:cs="Times New Roman"/>
          <w:i/>
          <w:iCs/>
          <w:sz w:val="24"/>
          <w:szCs w:val="24"/>
          <w:lang w:val="ru-RU"/>
        </w:rPr>
        <w:t xml:space="preserve"> </w:t>
      </w:r>
      <w:r w:rsidRPr="004F7307">
        <w:rPr>
          <w:rFonts w:eastAsia="Calibri" w:cs="Times New Roman"/>
          <w:i/>
          <w:iCs/>
          <w:sz w:val="24"/>
          <w:szCs w:val="24"/>
        </w:rPr>
        <w:t>doimiy</w:t>
      </w:r>
      <w:r w:rsidRPr="004F7307">
        <w:rPr>
          <w:rFonts w:eastAsia="Calibri" w:cs="Times New Roman"/>
          <w:i/>
          <w:iCs/>
          <w:sz w:val="24"/>
          <w:szCs w:val="24"/>
          <w:lang w:val="ru-RU"/>
        </w:rPr>
        <w:t xml:space="preserve"> </w:t>
      </w:r>
      <w:r w:rsidRPr="004F7307">
        <w:rPr>
          <w:rFonts w:eastAsia="Calibri" w:cs="Times New Roman"/>
          <w:i/>
          <w:iCs/>
          <w:sz w:val="24"/>
          <w:szCs w:val="24"/>
        </w:rPr>
        <w:t>va</w:t>
      </w:r>
      <w:r w:rsidRPr="004F7307">
        <w:rPr>
          <w:rFonts w:eastAsia="Calibri" w:cs="Times New Roman"/>
          <w:i/>
          <w:iCs/>
          <w:sz w:val="24"/>
          <w:szCs w:val="24"/>
          <w:lang w:val="ru-RU"/>
        </w:rPr>
        <w:t xml:space="preserve"> </w:t>
      </w:r>
      <w:r w:rsidRPr="004F7307">
        <w:rPr>
          <w:rFonts w:eastAsia="Calibri" w:cs="Times New Roman"/>
          <w:i/>
          <w:iCs/>
          <w:sz w:val="24"/>
          <w:szCs w:val="24"/>
        </w:rPr>
        <w:t>umrbod</w:t>
      </w:r>
      <w:r w:rsidRPr="004F7307">
        <w:rPr>
          <w:rFonts w:eastAsia="Calibri" w:cs="Times New Roman"/>
          <w:i/>
          <w:iCs/>
          <w:sz w:val="24"/>
          <w:szCs w:val="24"/>
          <w:lang w:val="ru-RU"/>
        </w:rPr>
        <w:t xml:space="preserve"> </w:t>
      </w:r>
      <w:r w:rsidRPr="004F7307">
        <w:rPr>
          <w:rFonts w:eastAsia="Calibri" w:cs="Times New Roman"/>
          <w:i/>
          <w:iCs/>
          <w:sz w:val="24"/>
          <w:szCs w:val="24"/>
        </w:rPr>
        <w:t>amalga</w:t>
      </w:r>
      <w:r w:rsidRPr="004F7307">
        <w:rPr>
          <w:rFonts w:eastAsia="Calibri" w:cs="Times New Roman"/>
          <w:i/>
          <w:iCs/>
          <w:sz w:val="24"/>
          <w:szCs w:val="24"/>
          <w:lang w:val="ru-RU"/>
        </w:rPr>
        <w:t xml:space="preserve"> </w:t>
      </w:r>
      <w:r w:rsidRPr="004F7307">
        <w:rPr>
          <w:rFonts w:eastAsia="Calibri" w:cs="Times New Roman"/>
          <w:i/>
          <w:iCs/>
          <w:sz w:val="24"/>
          <w:szCs w:val="24"/>
        </w:rPr>
        <w:t>oshirilishi</w:t>
      </w:r>
      <w:r w:rsidRPr="004F7307">
        <w:rPr>
          <w:rFonts w:eastAsia="Calibri" w:cs="Times New Roman"/>
          <w:i/>
          <w:iCs/>
          <w:sz w:val="24"/>
          <w:szCs w:val="24"/>
          <w:lang w:val="ru-RU"/>
        </w:rPr>
        <w:t xml:space="preserve"> </w:t>
      </w:r>
      <w:r w:rsidRPr="004F7307">
        <w:rPr>
          <w:rFonts w:eastAsia="Calibri" w:cs="Times New Roman"/>
          <w:i/>
          <w:iCs/>
          <w:sz w:val="24"/>
          <w:szCs w:val="24"/>
        </w:rPr>
        <w:t>muhim</w:t>
      </w:r>
      <w:r w:rsidRPr="004F7307">
        <w:rPr>
          <w:rFonts w:eastAsia="Calibri" w:cs="Times New Roman"/>
          <w:i/>
          <w:iCs/>
          <w:sz w:val="24"/>
          <w:szCs w:val="24"/>
          <w:lang w:val="ru-RU"/>
        </w:rPr>
        <w:t xml:space="preserve">, </w:t>
      </w:r>
      <w:r w:rsidRPr="004F7307">
        <w:rPr>
          <w:rFonts w:eastAsia="Calibri" w:cs="Times New Roman"/>
          <w:i/>
          <w:iCs/>
          <w:sz w:val="24"/>
          <w:szCs w:val="24"/>
        </w:rPr>
        <w:t>ayniqsa</w:t>
      </w:r>
      <w:r w:rsidRPr="004F7307">
        <w:rPr>
          <w:rFonts w:eastAsia="Calibri" w:cs="Times New Roman"/>
          <w:i/>
          <w:iCs/>
          <w:sz w:val="24"/>
          <w:szCs w:val="24"/>
          <w:lang w:val="ru-RU"/>
        </w:rPr>
        <w:t xml:space="preserve"> </w:t>
      </w:r>
      <w:r w:rsidRPr="004F7307">
        <w:rPr>
          <w:rFonts w:eastAsia="Calibri" w:cs="Times New Roman"/>
          <w:i/>
          <w:iCs/>
          <w:sz w:val="24"/>
          <w:szCs w:val="24"/>
        </w:rPr>
        <w:t>kamaytirilgan</w:t>
      </w:r>
      <w:r w:rsidRPr="004F7307">
        <w:rPr>
          <w:rFonts w:eastAsia="Calibri" w:cs="Times New Roman"/>
          <w:i/>
          <w:iCs/>
          <w:sz w:val="24"/>
          <w:szCs w:val="24"/>
          <w:lang w:val="ru-RU"/>
        </w:rPr>
        <w:t xml:space="preserve"> </w:t>
      </w:r>
      <w:r w:rsidRPr="004F7307">
        <w:rPr>
          <w:rFonts w:eastAsia="Calibri" w:cs="Times New Roman"/>
          <w:i/>
          <w:iCs/>
          <w:sz w:val="24"/>
          <w:szCs w:val="24"/>
        </w:rPr>
        <w:t>tana</w:t>
      </w:r>
      <w:r w:rsidRPr="004F7307">
        <w:rPr>
          <w:rFonts w:eastAsia="Calibri" w:cs="Times New Roman"/>
          <w:i/>
          <w:iCs/>
          <w:sz w:val="24"/>
          <w:szCs w:val="24"/>
          <w:lang w:val="ru-RU"/>
        </w:rPr>
        <w:t xml:space="preserve"> </w:t>
      </w:r>
      <w:r w:rsidRPr="004F7307">
        <w:rPr>
          <w:rFonts w:eastAsia="Calibri" w:cs="Times New Roman"/>
          <w:i/>
          <w:iCs/>
          <w:sz w:val="24"/>
          <w:szCs w:val="24"/>
        </w:rPr>
        <w:t>vaznini</w:t>
      </w:r>
      <w:r w:rsidRPr="004F7307">
        <w:rPr>
          <w:rFonts w:eastAsia="Calibri" w:cs="Times New Roman"/>
          <w:i/>
          <w:iCs/>
          <w:sz w:val="24"/>
          <w:szCs w:val="24"/>
          <w:lang w:val="ru-RU"/>
        </w:rPr>
        <w:t xml:space="preserve"> </w:t>
      </w:r>
      <w:r w:rsidRPr="004F7307">
        <w:rPr>
          <w:rFonts w:eastAsia="Calibri" w:cs="Times New Roman"/>
          <w:i/>
          <w:iCs/>
          <w:sz w:val="24"/>
          <w:szCs w:val="24"/>
        </w:rPr>
        <w:t>doimiy</w:t>
      </w:r>
      <w:r w:rsidRPr="004F7307">
        <w:rPr>
          <w:rFonts w:eastAsia="Calibri" w:cs="Times New Roman"/>
          <w:i/>
          <w:iCs/>
          <w:sz w:val="24"/>
          <w:szCs w:val="24"/>
          <w:lang w:val="ru-RU"/>
        </w:rPr>
        <w:t xml:space="preserve"> </w:t>
      </w:r>
      <w:r w:rsidRPr="004F7307">
        <w:rPr>
          <w:rFonts w:eastAsia="Calibri" w:cs="Times New Roman"/>
          <w:i/>
          <w:iCs/>
          <w:sz w:val="24"/>
          <w:szCs w:val="24"/>
        </w:rPr>
        <w:t>ushlab</w:t>
      </w:r>
      <w:r w:rsidRPr="004F7307">
        <w:rPr>
          <w:rFonts w:eastAsia="Calibri" w:cs="Times New Roman"/>
          <w:i/>
          <w:iCs/>
          <w:sz w:val="24"/>
          <w:szCs w:val="24"/>
          <w:lang w:val="ru-RU"/>
        </w:rPr>
        <w:t xml:space="preserve"> </w:t>
      </w:r>
      <w:r w:rsidRPr="004F7307">
        <w:rPr>
          <w:rFonts w:eastAsia="Calibri" w:cs="Times New Roman"/>
          <w:i/>
          <w:iCs/>
          <w:sz w:val="24"/>
          <w:szCs w:val="24"/>
        </w:rPr>
        <w:t>turish</w:t>
      </w:r>
      <w:r w:rsidRPr="004F7307">
        <w:rPr>
          <w:rFonts w:eastAsia="Calibri" w:cs="Times New Roman"/>
          <w:i/>
          <w:iCs/>
          <w:sz w:val="24"/>
          <w:szCs w:val="24"/>
          <w:lang w:val="ru-RU"/>
        </w:rPr>
        <w:t xml:space="preserve"> </w:t>
      </w:r>
      <w:r w:rsidRPr="004F7307">
        <w:rPr>
          <w:rFonts w:eastAsia="Calibri" w:cs="Times New Roman"/>
          <w:i/>
          <w:iCs/>
          <w:sz w:val="24"/>
          <w:szCs w:val="24"/>
        </w:rPr>
        <w:t>juda</w:t>
      </w:r>
      <w:r w:rsidRPr="004F7307">
        <w:rPr>
          <w:rFonts w:eastAsia="Calibri" w:cs="Times New Roman"/>
          <w:i/>
          <w:iCs/>
          <w:sz w:val="24"/>
          <w:szCs w:val="24"/>
          <w:lang w:val="ru-RU"/>
        </w:rPr>
        <w:t xml:space="preserve"> </w:t>
      </w:r>
      <w:r w:rsidRPr="004F7307">
        <w:rPr>
          <w:rFonts w:eastAsia="Calibri" w:cs="Times New Roman"/>
          <w:i/>
          <w:iCs/>
          <w:sz w:val="24"/>
          <w:szCs w:val="24"/>
        </w:rPr>
        <w:t>muhim</w:t>
      </w:r>
      <w:r w:rsidRPr="004F7307">
        <w:rPr>
          <w:rFonts w:eastAsia="Calibri" w:cs="Times New Roman"/>
          <w:i/>
          <w:iCs/>
          <w:sz w:val="24"/>
          <w:szCs w:val="24"/>
          <w:lang w:val="ru-RU"/>
        </w:rPr>
        <w:t xml:space="preserve"> </w:t>
      </w:r>
      <w:r w:rsidRPr="004F7307">
        <w:rPr>
          <w:rFonts w:eastAsia="Calibri" w:cs="Times New Roman"/>
          <w:i/>
          <w:iCs/>
          <w:sz w:val="24"/>
          <w:szCs w:val="24"/>
        </w:rPr>
        <w:t>hisoblanadi</w:t>
      </w:r>
      <w:r w:rsidRPr="004F7307">
        <w:rPr>
          <w:rFonts w:eastAsia="Calibri" w:cs="Times New Roman"/>
          <w:i/>
          <w:iCs/>
          <w:sz w:val="24"/>
          <w:szCs w:val="24"/>
          <w:lang w:val="ru-RU"/>
        </w:rPr>
        <w:t xml:space="preserve">. </w:t>
      </w:r>
      <w:r w:rsidRPr="004F7307">
        <w:rPr>
          <w:rFonts w:eastAsia="Calibri" w:cs="Times New Roman"/>
          <w:i/>
          <w:iCs/>
          <w:sz w:val="24"/>
          <w:szCs w:val="24"/>
        </w:rPr>
        <w:t>Profilaktik</w:t>
      </w:r>
      <w:r w:rsidRPr="004F7307">
        <w:rPr>
          <w:rFonts w:eastAsia="Calibri" w:cs="Times New Roman"/>
          <w:i/>
          <w:iCs/>
          <w:sz w:val="24"/>
          <w:szCs w:val="24"/>
          <w:lang w:val="ru-RU"/>
        </w:rPr>
        <w:t xml:space="preserve"> </w:t>
      </w:r>
      <w:r w:rsidRPr="004F7307">
        <w:rPr>
          <w:rFonts w:eastAsia="Calibri" w:cs="Times New Roman"/>
          <w:i/>
          <w:iCs/>
          <w:sz w:val="24"/>
          <w:szCs w:val="24"/>
        </w:rPr>
        <w:t>chora</w:t>
      </w:r>
      <w:r w:rsidRPr="004F7307">
        <w:rPr>
          <w:rFonts w:eastAsia="Calibri" w:cs="Times New Roman"/>
          <w:i/>
          <w:iCs/>
          <w:sz w:val="24"/>
          <w:szCs w:val="24"/>
          <w:lang w:val="ru-RU"/>
        </w:rPr>
        <w:t>-</w:t>
      </w:r>
      <w:r w:rsidRPr="004F7307">
        <w:rPr>
          <w:rFonts w:eastAsia="Calibri" w:cs="Times New Roman"/>
          <w:i/>
          <w:iCs/>
          <w:sz w:val="24"/>
          <w:szCs w:val="24"/>
        </w:rPr>
        <w:t>tadbirlarni</w:t>
      </w:r>
      <w:r w:rsidRPr="004F7307">
        <w:rPr>
          <w:rFonts w:eastAsia="Calibri" w:cs="Times New Roman"/>
          <w:i/>
          <w:iCs/>
          <w:sz w:val="24"/>
          <w:szCs w:val="24"/>
          <w:lang w:val="ru-RU"/>
        </w:rPr>
        <w:t xml:space="preserve"> </w:t>
      </w:r>
      <w:r w:rsidRPr="004F7307">
        <w:rPr>
          <w:rFonts w:eastAsia="Calibri" w:cs="Times New Roman"/>
          <w:i/>
          <w:iCs/>
          <w:sz w:val="24"/>
          <w:szCs w:val="24"/>
        </w:rPr>
        <w:t>o</w:t>
      </w:r>
      <w:r w:rsidRPr="004F7307">
        <w:rPr>
          <w:rFonts w:eastAsia="Calibri" w:cs="Times New Roman"/>
          <w:i/>
          <w:iCs/>
          <w:sz w:val="24"/>
          <w:szCs w:val="24"/>
          <w:lang w:val="ru-RU"/>
        </w:rPr>
        <w:t>'</w:t>
      </w:r>
      <w:r w:rsidRPr="004F7307">
        <w:rPr>
          <w:rFonts w:eastAsia="Calibri" w:cs="Times New Roman"/>
          <w:i/>
          <w:iCs/>
          <w:sz w:val="24"/>
          <w:szCs w:val="24"/>
        </w:rPr>
        <w:t>tkazish</w:t>
      </w:r>
      <w:r w:rsidRPr="004F7307">
        <w:rPr>
          <w:rFonts w:eastAsia="Calibri" w:cs="Times New Roman"/>
          <w:i/>
          <w:iCs/>
          <w:sz w:val="24"/>
          <w:szCs w:val="24"/>
          <w:lang w:val="ru-RU"/>
        </w:rPr>
        <w:t xml:space="preserve"> </w:t>
      </w:r>
      <w:r w:rsidRPr="004F7307">
        <w:rPr>
          <w:rFonts w:eastAsia="Calibri" w:cs="Times New Roman"/>
          <w:i/>
          <w:iCs/>
          <w:sz w:val="24"/>
          <w:szCs w:val="24"/>
        </w:rPr>
        <w:t>maqsadida</w:t>
      </w:r>
      <w:r w:rsidRPr="004F7307">
        <w:rPr>
          <w:rFonts w:eastAsia="Calibri" w:cs="Times New Roman"/>
          <w:i/>
          <w:iCs/>
          <w:sz w:val="24"/>
          <w:szCs w:val="24"/>
          <w:lang w:val="ru-RU"/>
        </w:rPr>
        <w:t xml:space="preserve"> </w:t>
      </w:r>
      <w:r w:rsidRPr="004F7307">
        <w:rPr>
          <w:rFonts w:eastAsia="Calibri" w:cs="Times New Roman"/>
          <w:i/>
          <w:iCs/>
          <w:sz w:val="24"/>
          <w:szCs w:val="24"/>
        </w:rPr>
        <w:t>ortiqcha</w:t>
      </w:r>
      <w:r w:rsidRPr="004F7307">
        <w:rPr>
          <w:rFonts w:eastAsia="Calibri" w:cs="Times New Roman"/>
          <w:i/>
          <w:iCs/>
          <w:sz w:val="24"/>
          <w:szCs w:val="24"/>
          <w:lang w:val="ru-RU"/>
        </w:rPr>
        <w:t xml:space="preserve"> </w:t>
      </w:r>
      <w:r w:rsidRPr="004F7307">
        <w:rPr>
          <w:rFonts w:eastAsia="Calibri" w:cs="Times New Roman"/>
          <w:i/>
          <w:iCs/>
          <w:sz w:val="24"/>
          <w:szCs w:val="24"/>
        </w:rPr>
        <w:t>vazn</w:t>
      </w:r>
      <w:r w:rsidRPr="004F7307">
        <w:rPr>
          <w:rFonts w:eastAsia="Calibri" w:cs="Times New Roman"/>
          <w:i/>
          <w:iCs/>
          <w:sz w:val="24"/>
          <w:szCs w:val="24"/>
          <w:lang w:val="ru-RU"/>
        </w:rPr>
        <w:t xml:space="preserve"> </w:t>
      </w:r>
      <w:r w:rsidRPr="004F7307">
        <w:rPr>
          <w:rFonts w:eastAsia="Calibri" w:cs="Times New Roman"/>
          <w:i/>
          <w:iCs/>
          <w:sz w:val="24"/>
          <w:szCs w:val="24"/>
        </w:rPr>
        <w:t>va</w:t>
      </w:r>
      <w:r w:rsidRPr="004F7307">
        <w:rPr>
          <w:rFonts w:eastAsia="Calibri" w:cs="Times New Roman"/>
          <w:i/>
          <w:iCs/>
          <w:sz w:val="24"/>
          <w:szCs w:val="24"/>
          <w:lang w:val="ru-RU"/>
        </w:rPr>
        <w:t xml:space="preserve"> </w:t>
      </w:r>
      <w:r w:rsidRPr="004F7307">
        <w:rPr>
          <w:rFonts w:eastAsia="Calibri" w:cs="Times New Roman"/>
          <w:i/>
          <w:iCs/>
          <w:sz w:val="24"/>
          <w:szCs w:val="24"/>
        </w:rPr>
        <w:t>semizlikga</w:t>
      </w:r>
      <w:r w:rsidRPr="004F7307">
        <w:rPr>
          <w:rFonts w:eastAsia="Calibri" w:cs="Times New Roman"/>
          <w:i/>
          <w:iCs/>
          <w:sz w:val="24"/>
          <w:szCs w:val="24"/>
          <w:lang w:val="ru-RU"/>
        </w:rPr>
        <w:t xml:space="preserve"> </w:t>
      </w:r>
      <w:r w:rsidRPr="004F7307">
        <w:rPr>
          <w:rFonts w:eastAsia="Calibri" w:cs="Times New Roman"/>
          <w:i/>
          <w:iCs/>
          <w:sz w:val="24"/>
          <w:szCs w:val="24"/>
        </w:rPr>
        <w:t>duchor</w:t>
      </w:r>
      <w:r w:rsidRPr="004F7307">
        <w:rPr>
          <w:rFonts w:eastAsia="Calibri" w:cs="Times New Roman"/>
          <w:i/>
          <w:iCs/>
          <w:sz w:val="24"/>
          <w:szCs w:val="24"/>
          <w:lang w:val="ru-RU"/>
        </w:rPr>
        <w:t xml:space="preserve"> </w:t>
      </w:r>
      <w:r w:rsidRPr="004F7307">
        <w:rPr>
          <w:rFonts w:eastAsia="Calibri" w:cs="Times New Roman"/>
          <w:i/>
          <w:iCs/>
          <w:sz w:val="24"/>
          <w:szCs w:val="24"/>
        </w:rPr>
        <w:t>bo</w:t>
      </w:r>
      <w:r w:rsidRPr="004F7307">
        <w:rPr>
          <w:rFonts w:eastAsia="Calibri" w:cs="Times New Roman"/>
          <w:i/>
          <w:iCs/>
          <w:sz w:val="24"/>
          <w:szCs w:val="24"/>
          <w:lang w:val="ru-RU"/>
        </w:rPr>
        <w:t>’</w:t>
      </w:r>
      <w:r w:rsidRPr="004F7307">
        <w:rPr>
          <w:rFonts w:eastAsia="Calibri" w:cs="Times New Roman"/>
          <w:i/>
          <w:iCs/>
          <w:sz w:val="24"/>
          <w:szCs w:val="24"/>
        </w:rPr>
        <w:t>lgan</w:t>
      </w:r>
      <w:r w:rsidRPr="004F7307">
        <w:rPr>
          <w:rFonts w:eastAsia="Calibri" w:cs="Times New Roman"/>
          <w:i/>
          <w:iCs/>
          <w:sz w:val="24"/>
          <w:szCs w:val="24"/>
          <w:lang w:val="ru-RU"/>
        </w:rPr>
        <w:t xml:space="preserve"> </w:t>
      </w:r>
      <w:r w:rsidRPr="004F7307">
        <w:rPr>
          <w:rFonts w:eastAsia="Calibri" w:cs="Times New Roman"/>
          <w:i/>
          <w:iCs/>
          <w:sz w:val="24"/>
          <w:szCs w:val="24"/>
        </w:rPr>
        <w:t>aholi</w:t>
      </w:r>
      <w:r w:rsidRPr="004F7307">
        <w:rPr>
          <w:rFonts w:eastAsia="Calibri" w:cs="Times New Roman"/>
          <w:i/>
          <w:iCs/>
          <w:sz w:val="24"/>
          <w:szCs w:val="24"/>
          <w:lang w:val="ru-RU"/>
        </w:rPr>
        <w:t xml:space="preserve"> </w:t>
      </w:r>
      <w:r w:rsidRPr="004F7307">
        <w:rPr>
          <w:rFonts w:eastAsia="Calibri" w:cs="Times New Roman"/>
          <w:i/>
          <w:iCs/>
          <w:sz w:val="24"/>
          <w:szCs w:val="24"/>
        </w:rPr>
        <w:t>orasida</w:t>
      </w:r>
      <w:r w:rsidRPr="004F7307">
        <w:rPr>
          <w:rFonts w:eastAsia="Calibri" w:cs="Times New Roman"/>
          <w:i/>
          <w:iCs/>
          <w:sz w:val="24"/>
          <w:szCs w:val="24"/>
          <w:lang w:val="ru-RU"/>
        </w:rPr>
        <w:t xml:space="preserve"> </w:t>
      </w:r>
      <w:r w:rsidRPr="004F7307">
        <w:rPr>
          <w:rFonts w:eastAsia="Calibri" w:cs="Times New Roman"/>
          <w:i/>
          <w:iCs/>
          <w:sz w:val="24"/>
          <w:szCs w:val="24"/>
        </w:rPr>
        <w:t>surunkali</w:t>
      </w:r>
      <w:r w:rsidRPr="004F7307">
        <w:rPr>
          <w:rFonts w:eastAsia="Calibri" w:cs="Times New Roman"/>
          <w:i/>
          <w:iCs/>
          <w:sz w:val="24"/>
          <w:szCs w:val="24"/>
          <w:lang w:val="ru-RU"/>
        </w:rPr>
        <w:t xml:space="preserve"> </w:t>
      </w:r>
      <w:r w:rsidRPr="004F7307">
        <w:rPr>
          <w:rFonts w:eastAsia="Calibri" w:cs="Times New Roman"/>
          <w:i/>
          <w:iCs/>
          <w:sz w:val="24"/>
          <w:szCs w:val="24"/>
        </w:rPr>
        <w:t>kasalliklarni</w:t>
      </w:r>
      <w:r w:rsidRPr="004F7307">
        <w:rPr>
          <w:rFonts w:eastAsia="Calibri" w:cs="Times New Roman"/>
          <w:i/>
          <w:iCs/>
          <w:sz w:val="24"/>
          <w:szCs w:val="24"/>
          <w:lang w:val="ru-RU"/>
        </w:rPr>
        <w:t xml:space="preserve"> </w:t>
      </w:r>
      <w:r w:rsidRPr="004F7307">
        <w:rPr>
          <w:rFonts w:eastAsia="Calibri" w:cs="Times New Roman"/>
          <w:i/>
          <w:iCs/>
          <w:sz w:val="24"/>
          <w:szCs w:val="24"/>
        </w:rPr>
        <w:t>aniqlash</w:t>
      </w:r>
      <w:r w:rsidRPr="004F7307">
        <w:rPr>
          <w:rFonts w:eastAsia="Calibri" w:cs="Times New Roman"/>
          <w:i/>
          <w:iCs/>
          <w:sz w:val="24"/>
          <w:szCs w:val="24"/>
          <w:lang w:val="ru-RU"/>
        </w:rPr>
        <w:t xml:space="preserve"> </w:t>
      </w:r>
      <w:r w:rsidRPr="004F7307">
        <w:rPr>
          <w:rFonts w:eastAsia="Calibri" w:cs="Times New Roman"/>
          <w:i/>
          <w:iCs/>
          <w:sz w:val="24"/>
          <w:szCs w:val="24"/>
        </w:rPr>
        <w:t>va</w:t>
      </w:r>
      <w:r w:rsidRPr="004F7307">
        <w:rPr>
          <w:rFonts w:eastAsia="Calibri" w:cs="Times New Roman"/>
          <w:i/>
          <w:iCs/>
          <w:sz w:val="24"/>
          <w:szCs w:val="24"/>
          <w:lang w:val="ru-RU"/>
        </w:rPr>
        <w:t xml:space="preserve"> </w:t>
      </w:r>
      <w:r w:rsidRPr="004F7307">
        <w:rPr>
          <w:rFonts w:eastAsia="Calibri" w:cs="Times New Roman"/>
          <w:i/>
          <w:iCs/>
          <w:sz w:val="24"/>
          <w:szCs w:val="24"/>
        </w:rPr>
        <w:t>ovqatlanishni</w:t>
      </w:r>
      <w:r w:rsidRPr="004F7307">
        <w:rPr>
          <w:rFonts w:eastAsia="Calibri" w:cs="Times New Roman"/>
          <w:i/>
          <w:iCs/>
          <w:sz w:val="24"/>
          <w:szCs w:val="24"/>
          <w:lang w:val="ru-RU"/>
        </w:rPr>
        <w:t xml:space="preserve"> </w:t>
      </w:r>
      <w:r w:rsidRPr="004F7307">
        <w:rPr>
          <w:rFonts w:eastAsia="Calibri" w:cs="Times New Roman"/>
          <w:i/>
          <w:iCs/>
          <w:sz w:val="24"/>
          <w:szCs w:val="24"/>
        </w:rPr>
        <w:t>baholash</w:t>
      </w:r>
      <w:r w:rsidRPr="004F7307">
        <w:rPr>
          <w:rFonts w:eastAsia="Calibri" w:cs="Times New Roman"/>
          <w:i/>
          <w:iCs/>
          <w:sz w:val="24"/>
          <w:szCs w:val="24"/>
          <w:lang w:val="ru-RU"/>
        </w:rPr>
        <w:t xml:space="preserve"> </w:t>
      </w:r>
      <w:r w:rsidRPr="004F7307">
        <w:rPr>
          <w:rFonts w:eastAsia="Calibri" w:cs="Times New Roman"/>
          <w:i/>
          <w:iCs/>
          <w:sz w:val="24"/>
          <w:szCs w:val="24"/>
        </w:rPr>
        <w:t>borasida</w:t>
      </w:r>
      <w:r w:rsidRPr="004F7307">
        <w:rPr>
          <w:rFonts w:eastAsia="Calibri" w:cs="Times New Roman"/>
          <w:i/>
          <w:iCs/>
          <w:sz w:val="24"/>
          <w:szCs w:val="24"/>
          <w:lang w:val="ru-RU"/>
        </w:rPr>
        <w:t xml:space="preserve"> </w:t>
      </w:r>
      <w:r w:rsidRPr="004F7307">
        <w:rPr>
          <w:rFonts w:eastAsia="Calibri" w:cs="Times New Roman"/>
          <w:i/>
          <w:iCs/>
          <w:sz w:val="24"/>
          <w:szCs w:val="24"/>
        </w:rPr>
        <w:t>ilmiy</w:t>
      </w:r>
      <w:r w:rsidRPr="004F7307">
        <w:rPr>
          <w:rFonts w:eastAsia="Calibri" w:cs="Times New Roman"/>
          <w:i/>
          <w:iCs/>
          <w:sz w:val="24"/>
          <w:szCs w:val="24"/>
          <w:lang w:val="ru-RU"/>
        </w:rPr>
        <w:t xml:space="preserve"> </w:t>
      </w:r>
      <w:r w:rsidRPr="004F7307">
        <w:rPr>
          <w:rFonts w:eastAsia="Calibri" w:cs="Times New Roman"/>
          <w:i/>
          <w:iCs/>
          <w:sz w:val="24"/>
          <w:szCs w:val="24"/>
        </w:rPr>
        <w:t>o</w:t>
      </w:r>
      <w:r w:rsidRPr="004F7307">
        <w:rPr>
          <w:rFonts w:eastAsia="Calibri" w:cs="Times New Roman"/>
          <w:i/>
          <w:iCs/>
          <w:sz w:val="24"/>
          <w:szCs w:val="24"/>
          <w:lang w:val="ru-RU"/>
        </w:rPr>
        <w:t>’</w:t>
      </w:r>
      <w:r w:rsidRPr="004F7307">
        <w:rPr>
          <w:rFonts w:eastAsia="Calibri" w:cs="Times New Roman"/>
          <w:i/>
          <w:iCs/>
          <w:sz w:val="24"/>
          <w:szCs w:val="24"/>
        </w:rPr>
        <w:t>rganish</w:t>
      </w:r>
      <w:r w:rsidRPr="004F7307">
        <w:rPr>
          <w:rFonts w:eastAsia="Calibri" w:cs="Times New Roman"/>
          <w:i/>
          <w:iCs/>
          <w:sz w:val="24"/>
          <w:szCs w:val="24"/>
          <w:lang w:val="ru-RU"/>
        </w:rPr>
        <w:t xml:space="preserve"> </w:t>
      </w:r>
      <w:r w:rsidRPr="004F7307">
        <w:rPr>
          <w:rFonts w:eastAsia="Calibri" w:cs="Times New Roman"/>
          <w:i/>
          <w:iCs/>
          <w:sz w:val="24"/>
          <w:szCs w:val="24"/>
        </w:rPr>
        <w:t>olib</w:t>
      </w:r>
      <w:r w:rsidRPr="004F7307">
        <w:rPr>
          <w:rFonts w:eastAsia="Calibri" w:cs="Times New Roman"/>
          <w:i/>
          <w:iCs/>
          <w:sz w:val="24"/>
          <w:szCs w:val="24"/>
          <w:lang w:val="ru-RU"/>
        </w:rPr>
        <w:t xml:space="preserve"> </w:t>
      </w:r>
      <w:r w:rsidRPr="004F7307">
        <w:rPr>
          <w:rFonts w:eastAsia="Calibri" w:cs="Times New Roman"/>
          <w:i/>
          <w:iCs/>
          <w:sz w:val="24"/>
          <w:szCs w:val="24"/>
        </w:rPr>
        <w:t>borildi</w:t>
      </w:r>
      <w:r w:rsidRPr="004F7307">
        <w:rPr>
          <w:rFonts w:eastAsia="Calibri" w:cs="Times New Roman"/>
          <w:i/>
          <w:iCs/>
          <w:sz w:val="24"/>
          <w:szCs w:val="24"/>
          <w:lang w:val="ru-RU"/>
        </w:rPr>
        <w:t>.</w:t>
      </w:r>
    </w:p>
    <w:p w14:paraId="4586D165" w14:textId="77777777" w:rsidR="004F7307" w:rsidRPr="004F7307" w:rsidRDefault="004F7307" w:rsidP="004F7307">
      <w:pPr>
        <w:ind w:firstLine="567"/>
        <w:jc w:val="both"/>
        <w:rPr>
          <w:rFonts w:eastAsia="Calibri" w:cs="Times New Roman"/>
          <w:i/>
          <w:iCs/>
          <w:sz w:val="24"/>
          <w:szCs w:val="24"/>
          <w:lang w:val="ru-RU"/>
        </w:rPr>
      </w:pPr>
      <w:r w:rsidRPr="004F7307">
        <w:rPr>
          <w:rFonts w:eastAsia="Calibri" w:cs="Times New Roman"/>
          <w:b/>
          <w:bCs/>
          <w:i/>
          <w:iCs/>
          <w:sz w:val="24"/>
          <w:szCs w:val="24"/>
        </w:rPr>
        <w:t>Kalit</w:t>
      </w:r>
      <w:r w:rsidRPr="004F7307">
        <w:rPr>
          <w:rFonts w:eastAsia="Calibri" w:cs="Times New Roman"/>
          <w:b/>
          <w:bCs/>
          <w:i/>
          <w:iCs/>
          <w:sz w:val="24"/>
          <w:szCs w:val="24"/>
          <w:lang w:val="ru-RU"/>
        </w:rPr>
        <w:t xml:space="preserve"> </w:t>
      </w:r>
      <w:r w:rsidRPr="004F7307">
        <w:rPr>
          <w:rFonts w:eastAsia="Calibri" w:cs="Times New Roman"/>
          <w:b/>
          <w:bCs/>
          <w:i/>
          <w:iCs/>
          <w:sz w:val="24"/>
          <w:szCs w:val="24"/>
        </w:rPr>
        <w:t>so</w:t>
      </w:r>
      <w:r w:rsidRPr="004F7307">
        <w:rPr>
          <w:rFonts w:eastAsia="Calibri" w:cs="Times New Roman"/>
          <w:b/>
          <w:bCs/>
          <w:i/>
          <w:iCs/>
          <w:sz w:val="24"/>
          <w:szCs w:val="24"/>
          <w:lang w:val="ru-RU"/>
        </w:rPr>
        <w:t>’</w:t>
      </w:r>
      <w:r w:rsidRPr="004F7307">
        <w:rPr>
          <w:rFonts w:eastAsia="Calibri" w:cs="Times New Roman"/>
          <w:b/>
          <w:bCs/>
          <w:i/>
          <w:iCs/>
          <w:sz w:val="24"/>
          <w:szCs w:val="24"/>
        </w:rPr>
        <w:t>zlar</w:t>
      </w:r>
      <w:r w:rsidRPr="004F7307">
        <w:rPr>
          <w:rFonts w:eastAsia="Calibri" w:cs="Times New Roman"/>
          <w:b/>
          <w:bCs/>
          <w:i/>
          <w:iCs/>
          <w:sz w:val="24"/>
          <w:szCs w:val="24"/>
          <w:lang w:val="ru-RU"/>
        </w:rPr>
        <w:t>:</w:t>
      </w:r>
      <w:r w:rsidRPr="004F7307">
        <w:rPr>
          <w:rFonts w:eastAsia="Calibri" w:cs="Times New Roman"/>
          <w:i/>
          <w:iCs/>
          <w:sz w:val="24"/>
          <w:szCs w:val="24"/>
          <w:lang w:val="ru-RU"/>
        </w:rPr>
        <w:t xml:space="preserve"> </w:t>
      </w:r>
      <w:r w:rsidRPr="004F7307">
        <w:rPr>
          <w:rFonts w:eastAsia="Calibri" w:cs="Times New Roman"/>
          <w:i/>
          <w:iCs/>
          <w:sz w:val="24"/>
          <w:szCs w:val="24"/>
        </w:rPr>
        <w:t>ortiqcha</w:t>
      </w:r>
      <w:r w:rsidRPr="004F7307">
        <w:rPr>
          <w:rFonts w:eastAsia="Calibri" w:cs="Times New Roman"/>
          <w:i/>
          <w:iCs/>
          <w:sz w:val="24"/>
          <w:szCs w:val="24"/>
          <w:lang w:val="ru-RU"/>
        </w:rPr>
        <w:t xml:space="preserve"> </w:t>
      </w:r>
      <w:r w:rsidRPr="004F7307">
        <w:rPr>
          <w:rFonts w:eastAsia="Calibri" w:cs="Times New Roman"/>
          <w:i/>
          <w:iCs/>
          <w:sz w:val="24"/>
          <w:szCs w:val="24"/>
        </w:rPr>
        <w:t>vazn</w:t>
      </w:r>
      <w:r w:rsidRPr="004F7307">
        <w:rPr>
          <w:rFonts w:eastAsia="Calibri" w:cs="Times New Roman"/>
          <w:i/>
          <w:iCs/>
          <w:sz w:val="24"/>
          <w:szCs w:val="24"/>
          <w:lang w:val="ru-RU"/>
        </w:rPr>
        <w:t xml:space="preserve">, </w:t>
      </w:r>
      <w:r w:rsidRPr="004F7307">
        <w:rPr>
          <w:rFonts w:eastAsia="Calibri" w:cs="Times New Roman"/>
          <w:i/>
          <w:iCs/>
          <w:sz w:val="24"/>
          <w:szCs w:val="24"/>
        </w:rPr>
        <w:t>semizlik</w:t>
      </w:r>
      <w:r w:rsidRPr="004F7307">
        <w:rPr>
          <w:rFonts w:eastAsia="Calibri" w:cs="Times New Roman"/>
          <w:i/>
          <w:iCs/>
          <w:sz w:val="24"/>
          <w:szCs w:val="24"/>
          <w:lang w:val="ru-RU"/>
        </w:rPr>
        <w:t xml:space="preserve">, </w:t>
      </w:r>
      <w:r w:rsidRPr="004F7307">
        <w:rPr>
          <w:rFonts w:eastAsia="Calibri" w:cs="Times New Roman"/>
          <w:i/>
          <w:iCs/>
          <w:sz w:val="24"/>
          <w:szCs w:val="24"/>
        </w:rPr>
        <w:t>komorbidlik</w:t>
      </w:r>
      <w:r w:rsidRPr="004F7307">
        <w:rPr>
          <w:rFonts w:eastAsia="Calibri" w:cs="Times New Roman"/>
          <w:i/>
          <w:iCs/>
          <w:sz w:val="24"/>
          <w:szCs w:val="24"/>
          <w:lang w:val="ru-RU"/>
        </w:rPr>
        <w:t xml:space="preserve">, </w:t>
      </w:r>
      <w:r w:rsidRPr="004F7307">
        <w:rPr>
          <w:rFonts w:eastAsia="Calibri" w:cs="Times New Roman"/>
          <w:i/>
          <w:iCs/>
          <w:sz w:val="24"/>
          <w:szCs w:val="24"/>
        </w:rPr>
        <w:t>insulin</w:t>
      </w:r>
      <w:r w:rsidRPr="004F7307">
        <w:rPr>
          <w:rFonts w:eastAsia="Calibri" w:cs="Times New Roman"/>
          <w:i/>
          <w:iCs/>
          <w:sz w:val="24"/>
          <w:szCs w:val="24"/>
          <w:lang w:val="ru-RU"/>
        </w:rPr>
        <w:t xml:space="preserve"> </w:t>
      </w:r>
      <w:r w:rsidRPr="004F7307">
        <w:rPr>
          <w:rFonts w:eastAsia="Calibri" w:cs="Times New Roman"/>
          <w:i/>
          <w:iCs/>
          <w:sz w:val="24"/>
          <w:szCs w:val="24"/>
        </w:rPr>
        <w:t>qarshiligi</w:t>
      </w:r>
      <w:r w:rsidRPr="004F7307">
        <w:rPr>
          <w:rFonts w:eastAsia="Calibri" w:cs="Times New Roman"/>
          <w:i/>
          <w:iCs/>
          <w:sz w:val="24"/>
          <w:szCs w:val="24"/>
          <w:lang w:val="ru-RU"/>
        </w:rPr>
        <w:t xml:space="preserve">, </w:t>
      </w:r>
      <w:r w:rsidRPr="004F7307">
        <w:rPr>
          <w:rFonts w:eastAsia="Calibri" w:cs="Times New Roman"/>
          <w:i/>
          <w:iCs/>
          <w:sz w:val="24"/>
          <w:szCs w:val="24"/>
        </w:rPr>
        <w:t>qandli</w:t>
      </w:r>
      <w:r w:rsidRPr="004F7307">
        <w:rPr>
          <w:rFonts w:eastAsia="Calibri" w:cs="Times New Roman"/>
          <w:i/>
          <w:iCs/>
          <w:sz w:val="24"/>
          <w:szCs w:val="24"/>
          <w:lang w:val="ru-RU"/>
        </w:rPr>
        <w:t xml:space="preserve"> </w:t>
      </w:r>
      <w:r w:rsidRPr="004F7307">
        <w:rPr>
          <w:rFonts w:eastAsia="Calibri" w:cs="Times New Roman"/>
          <w:i/>
          <w:iCs/>
          <w:sz w:val="24"/>
          <w:szCs w:val="24"/>
        </w:rPr>
        <w:t>diabet</w:t>
      </w:r>
      <w:r w:rsidRPr="004F7307">
        <w:rPr>
          <w:rFonts w:eastAsia="Calibri" w:cs="Times New Roman"/>
          <w:i/>
          <w:iCs/>
          <w:sz w:val="24"/>
          <w:szCs w:val="24"/>
          <w:lang w:val="ru-RU"/>
        </w:rPr>
        <w:t xml:space="preserve">, </w:t>
      </w:r>
      <w:r w:rsidRPr="004F7307">
        <w:rPr>
          <w:rFonts w:eastAsia="Calibri" w:cs="Times New Roman"/>
          <w:i/>
          <w:iCs/>
          <w:sz w:val="24"/>
          <w:szCs w:val="24"/>
        </w:rPr>
        <w:t>ovqatlanishni</w:t>
      </w:r>
      <w:r w:rsidRPr="004F7307">
        <w:rPr>
          <w:rFonts w:eastAsia="Calibri" w:cs="Times New Roman"/>
          <w:i/>
          <w:iCs/>
          <w:sz w:val="24"/>
          <w:szCs w:val="24"/>
          <w:lang w:val="ru-RU"/>
        </w:rPr>
        <w:t xml:space="preserve"> </w:t>
      </w:r>
      <w:r w:rsidRPr="004F7307">
        <w:rPr>
          <w:rFonts w:eastAsia="Calibri" w:cs="Times New Roman"/>
          <w:i/>
          <w:iCs/>
          <w:sz w:val="24"/>
          <w:szCs w:val="24"/>
        </w:rPr>
        <w:t>baholash</w:t>
      </w:r>
      <w:r w:rsidRPr="004F7307">
        <w:rPr>
          <w:rFonts w:eastAsia="Calibri" w:cs="Times New Roman"/>
          <w:i/>
          <w:iCs/>
          <w:sz w:val="24"/>
          <w:szCs w:val="24"/>
          <w:lang w:val="ru-RU"/>
        </w:rPr>
        <w:t>.</w:t>
      </w:r>
    </w:p>
    <w:p w14:paraId="601BE87B" w14:textId="77777777" w:rsidR="004F7307" w:rsidRPr="004F7307" w:rsidRDefault="004F7307" w:rsidP="004F7307">
      <w:pPr>
        <w:ind w:firstLine="567"/>
        <w:jc w:val="both"/>
        <w:rPr>
          <w:rFonts w:eastAsia="Calibri" w:cs="Times New Roman"/>
          <w:b/>
          <w:bCs/>
          <w:sz w:val="24"/>
          <w:szCs w:val="24"/>
          <w:lang w:val="ru-RU"/>
        </w:rPr>
      </w:pPr>
    </w:p>
    <w:p w14:paraId="79E75530" w14:textId="77777777" w:rsidR="00BF6D10" w:rsidRPr="00D27CEF" w:rsidRDefault="00BF6D10" w:rsidP="004F7307">
      <w:pPr>
        <w:ind w:firstLine="567"/>
        <w:jc w:val="both"/>
        <w:rPr>
          <w:rFonts w:eastAsia="Calibri" w:cs="Times New Roman"/>
          <w:b/>
          <w:bCs/>
          <w:sz w:val="24"/>
          <w:szCs w:val="24"/>
          <w:lang w:val="ru-RU"/>
        </w:rPr>
        <w:sectPr w:rsidR="00BF6D10" w:rsidRPr="00D27CEF" w:rsidSect="001B41EC">
          <w:type w:val="continuous"/>
          <w:pgSz w:w="11907" w:h="16840" w:code="9"/>
          <w:pgMar w:top="1418" w:right="1134" w:bottom="1134" w:left="1134" w:header="907" w:footer="794" w:gutter="0"/>
          <w:cols w:space="708"/>
          <w:docGrid w:linePitch="381"/>
        </w:sectPr>
      </w:pPr>
    </w:p>
    <w:p w14:paraId="48DA8A94" w14:textId="7B5BF354" w:rsidR="004F7307" w:rsidRPr="004F7307" w:rsidRDefault="004F7307" w:rsidP="004F7307">
      <w:pPr>
        <w:ind w:firstLine="567"/>
        <w:jc w:val="both"/>
        <w:rPr>
          <w:rFonts w:eastAsia="Times New Roman" w:cs="Times New Roman"/>
          <w:sz w:val="24"/>
          <w:szCs w:val="24"/>
        </w:rPr>
      </w:pPr>
      <w:r w:rsidRPr="004F7307">
        <w:rPr>
          <w:rFonts w:eastAsia="Calibri" w:cs="Times New Roman"/>
          <w:b/>
          <w:bCs/>
          <w:sz w:val="24"/>
          <w:szCs w:val="24"/>
        </w:rPr>
        <w:t xml:space="preserve">Relevance of the work. </w:t>
      </w:r>
      <w:r w:rsidRPr="004F7307">
        <w:rPr>
          <w:rFonts w:eastAsia="Times New Roman" w:cs="Times New Roman"/>
          <w:sz w:val="24"/>
          <w:szCs w:val="24"/>
        </w:rPr>
        <w:t>According to the Ministry of Health of the Republic of Uz</w:t>
      </w:r>
      <w:r w:rsidR="00BF6D10">
        <w:rPr>
          <w:rFonts w:eastAsia="Times New Roman" w:cs="Times New Roman"/>
          <w:sz w:val="24"/>
          <w:szCs w:val="24"/>
        </w:rPr>
        <w:softHyphen/>
      </w:r>
      <w:r w:rsidRPr="004F7307">
        <w:rPr>
          <w:rFonts w:eastAsia="Times New Roman" w:cs="Times New Roman"/>
          <w:sz w:val="24"/>
          <w:szCs w:val="24"/>
        </w:rPr>
        <w:t>bekistan in 2017, the nutritional status of the population of the Republic of Uzbekistan was studied. The results of the study showed that at the age of 18-64 years, two-thirds of the popu</w:t>
      </w:r>
      <w:r w:rsidR="00BF6D10">
        <w:rPr>
          <w:rFonts w:eastAsia="Times New Roman" w:cs="Times New Roman"/>
          <w:sz w:val="24"/>
          <w:szCs w:val="24"/>
        </w:rPr>
        <w:softHyphen/>
      </w:r>
      <w:r w:rsidRPr="004F7307">
        <w:rPr>
          <w:rFonts w:eastAsia="Times New Roman" w:cs="Times New Roman"/>
          <w:sz w:val="24"/>
          <w:szCs w:val="24"/>
        </w:rPr>
        <w:t>lation (67%) daily consume insufficient amounts of vegetables and fruits; half of the population is overweight; obesity was detected in every fifth adult resident; 46% of the popu</w:t>
      </w:r>
      <w:r w:rsidR="00BF6D10">
        <w:rPr>
          <w:rFonts w:eastAsia="Times New Roman" w:cs="Times New Roman"/>
          <w:sz w:val="24"/>
          <w:szCs w:val="24"/>
        </w:rPr>
        <w:softHyphen/>
      </w:r>
      <w:r w:rsidRPr="004F7307">
        <w:rPr>
          <w:rFonts w:eastAsia="Times New Roman" w:cs="Times New Roman"/>
          <w:sz w:val="24"/>
          <w:szCs w:val="24"/>
        </w:rPr>
        <w:t>lation has elevated blood cholesterol levels; 42% of men and 1.5% of women use tobacco; almost a third of the population has high blood pressure; 9% of the population has elevated fasting blood glucose; a fifth of the population aged 40-64 years has a ten-year risk of devel</w:t>
      </w:r>
      <w:r w:rsidR="00BF6D10">
        <w:rPr>
          <w:rFonts w:eastAsia="Times New Roman" w:cs="Times New Roman"/>
          <w:sz w:val="24"/>
          <w:szCs w:val="24"/>
        </w:rPr>
        <w:softHyphen/>
      </w:r>
      <w:r w:rsidRPr="004F7307">
        <w:rPr>
          <w:rFonts w:eastAsia="Times New Roman" w:cs="Times New Roman"/>
          <w:sz w:val="24"/>
          <w:szCs w:val="24"/>
        </w:rPr>
        <w:t xml:space="preserve">oping cardiovascular disease; The average salt intake of the population is 14.9 grams per day, which is 3 times higher than recommended by the World Health Organization [3]. </w:t>
      </w:r>
    </w:p>
    <w:p w14:paraId="03032F87" w14:textId="52722340" w:rsidR="004F7307" w:rsidRPr="004F7307" w:rsidRDefault="004F7307" w:rsidP="004F7307">
      <w:pPr>
        <w:tabs>
          <w:tab w:val="left" w:pos="9090"/>
        </w:tabs>
        <w:ind w:firstLine="567"/>
        <w:jc w:val="both"/>
        <w:rPr>
          <w:rFonts w:eastAsia="Calibri" w:cs="Times New Roman"/>
          <w:sz w:val="24"/>
          <w:szCs w:val="24"/>
        </w:rPr>
      </w:pPr>
      <w:r w:rsidRPr="004F7307">
        <w:rPr>
          <w:rFonts w:eastAsia="Calibri" w:cs="Times New Roman"/>
          <w:sz w:val="24"/>
          <w:szCs w:val="24"/>
        </w:rPr>
        <w:t>Prevention of obesity in children and ad</w:t>
      </w:r>
      <w:r w:rsidR="00BF6D10">
        <w:rPr>
          <w:rFonts w:eastAsia="Calibri" w:cs="Times New Roman"/>
          <w:sz w:val="24"/>
          <w:szCs w:val="24"/>
        </w:rPr>
        <w:softHyphen/>
      </w:r>
      <w:r w:rsidRPr="004F7307">
        <w:rPr>
          <w:rFonts w:eastAsia="Calibri" w:cs="Times New Roman"/>
          <w:sz w:val="24"/>
          <w:szCs w:val="24"/>
        </w:rPr>
        <w:t>olescents has been improved in Uzbekistan [6]. However, scientific studies, according to a hy</w:t>
      </w:r>
      <w:r w:rsidR="00BF6D10">
        <w:rPr>
          <w:rFonts w:eastAsia="Calibri" w:cs="Times New Roman"/>
          <w:sz w:val="24"/>
          <w:szCs w:val="24"/>
        </w:rPr>
        <w:softHyphen/>
      </w:r>
      <w:r w:rsidRPr="004F7307">
        <w:rPr>
          <w:rFonts w:eastAsia="Calibri" w:cs="Times New Roman"/>
          <w:sz w:val="24"/>
          <w:szCs w:val="24"/>
        </w:rPr>
        <w:t>gienic assessment, of the nutrition of the pop</w:t>
      </w:r>
      <w:r w:rsidR="00BF6D10">
        <w:rPr>
          <w:rFonts w:eastAsia="Calibri" w:cs="Times New Roman"/>
          <w:sz w:val="24"/>
          <w:szCs w:val="24"/>
        </w:rPr>
        <w:softHyphen/>
      </w:r>
      <w:r w:rsidRPr="004F7307">
        <w:rPr>
          <w:rFonts w:eastAsia="Calibri" w:cs="Times New Roman"/>
          <w:sz w:val="24"/>
          <w:szCs w:val="24"/>
        </w:rPr>
        <w:t>ulation with obesity, taking into account comorbidity against the background of over</w:t>
      </w:r>
      <w:r w:rsidR="00BF6D10">
        <w:rPr>
          <w:rFonts w:eastAsia="Calibri" w:cs="Times New Roman"/>
          <w:sz w:val="24"/>
          <w:szCs w:val="24"/>
        </w:rPr>
        <w:softHyphen/>
      </w:r>
      <w:r w:rsidRPr="004F7307">
        <w:rPr>
          <w:rFonts w:eastAsia="Calibri" w:cs="Times New Roman"/>
          <w:sz w:val="24"/>
          <w:szCs w:val="24"/>
        </w:rPr>
        <w:t>weight and obesity, have not been previously carried out.</w:t>
      </w:r>
    </w:p>
    <w:p w14:paraId="2C4306C4" w14:textId="2B93E6F5" w:rsidR="004F7307" w:rsidRPr="004F7307" w:rsidRDefault="004F7307" w:rsidP="004F7307">
      <w:pPr>
        <w:tabs>
          <w:tab w:val="left" w:pos="9090"/>
        </w:tabs>
        <w:ind w:firstLine="567"/>
        <w:jc w:val="both"/>
        <w:rPr>
          <w:rFonts w:eastAsia="Times New Roman" w:cs="Times New Roman"/>
          <w:sz w:val="24"/>
          <w:szCs w:val="24"/>
        </w:rPr>
      </w:pPr>
      <w:r w:rsidRPr="004F7307">
        <w:rPr>
          <w:rFonts w:eastAsia="Times New Roman" w:cs="Times New Roman"/>
          <w:b/>
          <w:bCs/>
          <w:sz w:val="24"/>
          <w:szCs w:val="24"/>
        </w:rPr>
        <w:t xml:space="preserve">Purpose of the study. </w:t>
      </w:r>
      <w:r w:rsidRPr="004F7307">
        <w:rPr>
          <w:rFonts w:eastAsia="Times New Roman" w:cs="Times New Roman"/>
          <w:sz w:val="24"/>
          <w:szCs w:val="24"/>
        </w:rPr>
        <w:t xml:space="preserve">Identification of the incidence of non-communicable diseases in overweight and obesity, as well as the study of </w:t>
      </w:r>
      <w:r w:rsidRPr="004F7307">
        <w:rPr>
          <w:rFonts w:eastAsia="Times New Roman" w:cs="Times New Roman"/>
          <w:sz w:val="24"/>
          <w:szCs w:val="24"/>
        </w:rPr>
        <w:t>the nutritional status among the population of different age categories to substantiate thera</w:t>
      </w:r>
      <w:r w:rsidR="00BF6D10">
        <w:rPr>
          <w:rFonts w:eastAsia="Times New Roman" w:cs="Times New Roman"/>
          <w:sz w:val="24"/>
          <w:szCs w:val="24"/>
        </w:rPr>
        <w:softHyphen/>
      </w:r>
      <w:r w:rsidRPr="004F7307">
        <w:rPr>
          <w:rFonts w:eastAsia="Times New Roman" w:cs="Times New Roman"/>
          <w:sz w:val="24"/>
          <w:szCs w:val="24"/>
        </w:rPr>
        <w:t>peutic and preventive recommendations for healthy nutrition, within the polyclinics of Mirzo Ulugbek No. 5 and Almazar No. 16 dis</w:t>
      </w:r>
      <w:r w:rsidR="00BF6D10">
        <w:rPr>
          <w:rFonts w:eastAsia="Times New Roman" w:cs="Times New Roman"/>
          <w:sz w:val="24"/>
          <w:szCs w:val="24"/>
        </w:rPr>
        <w:softHyphen/>
      </w:r>
      <w:r w:rsidRPr="004F7307">
        <w:rPr>
          <w:rFonts w:eastAsia="Times New Roman" w:cs="Times New Roman"/>
          <w:sz w:val="24"/>
          <w:szCs w:val="24"/>
        </w:rPr>
        <w:t>tricts of the city of Tashkent.</w:t>
      </w:r>
    </w:p>
    <w:p w14:paraId="226753F1" w14:textId="7CBE43EF" w:rsidR="004F7307" w:rsidRPr="004F7307" w:rsidRDefault="004F7307" w:rsidP="004F7307">
      <w:pPr>
        <w:tabs>
          <w:tab w:val="left" w:pos="9090"/>
        </w:tabs>
        <w:ind w:firstLine="567"/>
        <w:jc w:val="both"/>
        <w:rPr>
          <w:rFonts w:eastAsia="Calibri" w:cs="Times New Roman"/>
          <w:sz w:val="24"/>
          <w:szCs w:val="24"/>
        </w:rPr>
      </w:pPr>
      <w:r w:rsidRPr="004F7307">
        <w:rPr>
          <w:rFonts w:eastAsia="Calibri" w:cs="Times New Roman"/>
          <w:b/>
          <w:bCs/>
          <w:sz w:val="24"/>
          <w:szCs w:val="24"/>
        </w:rPr>
        <w:t xml:space="preserve">Research materials. </w:t>
      </w:r>
      <w:r w:rsidRPr="004F7307">
        <w:rPr>
          <w:rFonts w:eastAsia="Calibri" w:cs="Times New Roman"/>
          <w:sz w:val="24"/>
          <w:szCs w:val="24"/>
        </w:rPr>
        <w:t>The material of the study was the data of pathophysiological indi</w:t>
      </w:r>
      <w:r w:rsidR="00BF6D10">
        <w:rPr>
          <w:rFonts w:eastAsia="Calibri" w:cs="Times New Roman"/>
          <w:sz w:val="24"/>
          <w:szCs w:val="24"/>
        </w:rPr>
        <w:softHyphen/>
      </w:r>
      <w:r w:rsidRPr="004F7307">
        <w:rPr>
          <w:rFonts w:eastAsia="Calibri" w:cs="Times New Roman"/>
          <w:sz w:val="24"/>
          <w:szCs w:val="24"/>
        </w:rPr>
        <w:t>cators of the functional state of the body from the outpatient charts of the examined, as well as the nutritional status taken by the question</w:t>
      </w:r>
      <w:r w:rsidR="00BF6D10">
        <w:rPr>
          <w:rFonts w:eastAsia="Calibri" w:cs="Times New Roman"/>
          <w:sz w:val="24"/>
          <w:szCs w:val="24"/>
        </w:rPr>
        <w:softHyphen/>
      </w:r>
      <w:r w:rsidRPr="004F7307">
        <w:rPr>
          <w:rFonts w:eastAsia="Calibri" w:cs="Times New Roman"/>
          <w:sz w:val="24"/>
          <w:szCs w:val="24"/>
        </w:rPr>
        <w:t>naire method.</w:t>
      </w:r>
    </w:p>
    <w:p w14:paraId="710BFAA5" w14:textId="39DBDB6B" w:rsidR="004F7307" w:rsidRPr="004F7307" w:rsidRDefault="004F7307" w:rsidP="004F7307">
      <w:pPr>
        <w:ind w:firstLine="567"/>
        <w:jc w:val="both"/>
        <w:rPr>
          <w:rFonts w:eastAsia="Calibri" w:cs="Times New Roman"/>
          <w:sz w:val="24"/>
          <w:szCs w:val="24"/>
        </w:rPr>
      </w:pPr>
      <w:r w:rsidRPr="004F7307">
        <w:rPr>
          <w:rFonts w:eastAsia="Calibri" w:cs="Times New Roman"/>
          <w:b/>
          <w:bCs/>
          <w:sz w:val="24"/>
          <w:szCs w:val="24"/>
        </w:rPr>
        <w:t xml:space="preserve">Research methods. </w:t>
      </w:r>
      <w:r w:rsidRPr="004F7307">
        <w:rPr>
          <w:rFonts w:eastAsia="Calibri" w:cs="Times New Roman"/>
          <w:sz w:val="24"/>
          <w:szCs w:val="24"/>
        </w:rPr>
        <w:t>When performing research work, hygienic (questionnaires, an</w:t>
      </w:r>
      <w:r w:rsidR="00BF6D10">
        <w:rPr>
          <w:rFonts w:eastAsia="Calibri" w:cs="Times New Roman"/>
          <w:sz w:val="24"/>
          <w:szCs w:val="24"/>
        </w:rPr>
        <w:softHyphen/>
      </w:r>
      <w:r w:rsidRPr="004F7307">
        <w:rPr>
          <w:rFonts w:eastAsia="Calibri" w:cs="Times New Roman"/>
          <w:sz w:val="24"/>
          <w:szCs w:val="24"/>
        </w:rPr>
        <w:t>thropometry) and statistical research methods were used.</w:t>
      </w:r>
    </w:p>
    <w:p w14:paraId="739B91B0" w14:textId="4521C58D" w:rsidR="004F7307" w:rsidRPr="004F7307" w:rsidRDefault="004F7307" w:rsidP="004F7307">
      <w:pPr>
        <w:ind w:firstLine="567"/>
        <w:jc w:val="both"/>
        <w:rPr>
          <w:rFonts w:eastAsia="Calibri" w:cs="Times New Roman"/>
          <w:sz w:val="24"/>
          <w:szCs w:val="24"/>
        </w:rPr>
      </w:pPr>
      <w:r w:rsidRPr="004F7307">
        <w:rPr>
          <w:rFonts w:eastAsia="Calibri" w:cs="Times New Roman"/>
          <w:b/>
          <w:bCs/>
          <w:sz w:val="24"/>
          <w:szCs w:val="24"/>
        </w:rPr>
        <w:t xml:space="preserve">Results and discussions. </w:t>
      </w:r>
      <w:r w:rsidRPr="004F7307">
        <w:rPr>
          <w:rFonts w:eastAsia="Calibri" w:cs="Times New Roman"/>
          <w:sz w:val="24"/>
          <w:szCs w:val="24"/>
        </w:rPr>
        <w:t>Obesity today has a diverse etiology, which forces even deeper discussions in modern medicine. The prevalence of this pathology begins in infancy, continuing into the adult population</w:t>
      </w:r>
      <w:r w:rsidRPr="004F7307">
        <w:rPr>
          <w:rFonts w:eastAsia="Calibri" w:cs="Times New Roman"/>
          <w:b/>
          <w:bCs/>
          <w:sz w:val="24"/>
          <w:szCs w:val="24"/>
        </w:rPr>
        <w:t xml:space="preserve"> </w:t>
      </w:r>
      <w:r w:rsidRPr="004F7307">
        <w:rPr>
          <w:rFonts w:eastAsia="Calibri" w:cs="Times New Roman"/>
          <w:sz w:val="24"/>
          <w:szCs w:val="24"/>
        </w:rPr>
        <w:t>[5,7,8]. There are many factors that lead to excessive accumulation of fat, and then to obesity. Fre</w:t>
      </w:r>
      <w:r w:rsidR="00BF6D10">
        <w:rPr>
          <w:rFonts w:eastAsia="Calibri" w:cs="Times New Roman"/>
          <w:sz w:val="24"/>
          <w:szCs w:val="24"/>
        </w:rPr>
        <w:softHyphen/>
      </w:r>
      <w:r w:rsidRPr="004F7307">
        <w:rPr>
          <w:rFonts w:eastAsia="Calibri" w:cs="Times New Roman"/>
          <w:sz w:val="24"/>
          <w:szCs w:val="24"/>
        </w:rPr>
        <w:t>quently occurring factors are a violation of the intestinal microbiome and psycho-emotional disorders that entail other disorders of non-in</w:t>
      </w:r>
      <w:r w:rsidR="00BF6D10">
        <w:rPr>
          <w:rFonts w:eastAsia="Calibri" w:cs="Times New Roman"/>
          <w:sz w:val="24"/>
          <w:szCs w:val="24"/>
        </w:rPr>
        <w:softHyphen/>
      </w:r>
      <w:r w:rsidRPr="004F7307">
        <w:rPr>
          <w:rFonts w:eastAsia="Calibri" w:cs="Times New Roman"/>
          <w:sz w:val="24"/>
          <w:szCs w:val="24"/>
        </w:rPr>
        <w:t xml:space="preserve">fectious origin [9]. </w:t>
      </w:r>
    </w:p>
    <w:p w14:paraId="3230EF9F" w14:textId="77777777" w:rsidR="004F7307" w:rsidRPr="004F7307" w:rsidRDefault="004F7307" w:rsidP="004F7307">
      <w:pPr>
        <w:ind w:firstLine="567"/>
        <w:jc w:val="both"/>
        <w:rPr>
          <w:rFonts w:eastAsia="Times New Roman" w:cs="Times New Roman"/>
          <w:b/>
          <w:bCs/>
          <w:sz w:val="24"/>
          <w:szCs w:val="24"/>
        </w:rPr>
      </w:pPr>
      <w:r w:rsidRPr="004F7307">
        <w:rPr>
          <w:rFonts w:eastAsia="Calibri" w:cs="Times New Roman"/>
          <w:sz w:val="24"/>
          <w:szCs w:val="24"/>
        </w:rPr>
        <w:t>Within the polyclinics of two districts of Mirzo Ulugbek No. 5 and Almazar No. 16 of the city of Tashkent, 1257 cases of overweight and obesity were registered.</w:t>
      </w:r>
    </w:p>
    <w:p w14:paraId="3ABC14E3" w14:textId="77777777" w:rsidR="00BF6D10" w:rsidRDefault="00BF6D10" w:rsidP="004F7307">
      <w:pPr>
        <w:ind w:firstLine="567"/>
        <w:jc w:val="both"/>
        <w:rPr>
          <w:rFonts w:eastAsia="Times New Roman" w:cs="Times New Roman"/>
          <w:b/>
          <w:bCs/>
          <w:sz w:val="24"/>
          <w:szCs w:val="24"/>
        </w:rPr>
        <w:sectPr w:rsidR="00BF6D10" w:rsidSect="00BF6D10">
          <w:type w:val="continuous"/>
          <w:pgSz w:w="11907" w:h="16840" w:code="9"/>
          <w:pgMar w:top="1418" w:right="1134" w:bottom="1134" w:left="1134" w:header="907" w:footer="794" w:gutter="0"/>
          <w:cols w:num="2" w:space="708"/>
          <w:docGrid w:linePitch="381"/>
        </w:sectPr>
      </w:pPr>
    </w:p>
    <w:p w14:paraId="1A6562C8" w14:textId="77777777" w:rsidR="004F7307" w:rsidRPr="004F7307" w:rsidRDefault="004F7307" w:rsidP="00BF6D10">
      <w:pPr>
        <w:ind w:firstLine="567"/>
        <w:jc w:val="right"/>
        <w:rPr>
          <w:rFonts w:eastAsia="Times New Roman" w:cs="Times New Roman"/>
          <w:b/>
          <w:bCs/>
          <w:i/>
          <w:iCs/>
          <w:sz w:val="24"/>
          <w:szCs w:val="24"/>
        </w:rPr>
      </w:pPr>
      <w:r w:rsidRPr="004F7307">
        <w:rPr>
          <w:rFonts w:eastAsia="Times New Roman" w:cs="Times New Roman"/>
          <w:b/>
          <w:bCs/>
          <w:i/>
          <w:iCs/>
          <w:sz w:val="24"/>
          <w:szCs w:val="24"/>
        </w:rPr>
        <w:t>Table 1</w:t>
      </w:r>
    </w:p>
    <w:p w14:paraId="02E5974F" w14:textId="058E5ECE" w:rsidR="004F7307" w:rsidRPr="004F7307" w:rsidRDefault="004F7307" w:rsidP="00BF6D10">
      <w:pPr>
        <w:jc w:val="center"/>
        <w:rPr>
          <w:rFonts w:eastAsia="Times New Roman" w:cs="Times New Roman"/>
          <w:b/>
          <w:sz w:val="24"/>
          <w:szCs w:val="24"/>
        </w:rPr>
      </w:pPr>
      <w:r w:rsidRPr="004F7307">
        <w:rPr>
          <w:rFonts w:eastAsia="Times New Roman" w:cs="Times New Roman"/>
          <w:b/>
          <w:bCs/>
          <w:sz w:val="24"/>
          <w:szCs w:val="24"/>
        </w:rPr>
        <w:t>The number of people examined by different age categories who are overweight and obese in polyclinics of two districts of the city of Tashkent</w:t>
      </w:r>
      <w:r w:rsidR="00BF6D10">
        <w:rPr>
          <w:rFonts w:eastAsia="Times New Roman" w:cs="Times New Roman"/>
          <w:b/>
          <w:bCs/>
          <w:sz w:val="24"/>
          <w:szCs w:val="24"/>
        </w:rPr>
        <w:t xml:space="preserve"> </w:t>
      </w:r>
      <w:r w:rsidRPr="004F7307">
        <w:rPr>
          <w:rFonts w:eastAsia="Times New Roman" w:cs="Times New Roman"/>
          <w:b/>
          <w:bCs/>
          <w:sz w:val="24"/>
          <w:szCs w:val="24"/>
        </w:rPr>
        <w:t>(by sex)</w:t>
      </w:r>
    </w:p>
    <w:tbl>
      <w:tblPr>
        <w:tblStyle w:val="17"/>
        <w:tblW w:w="0" w:type="auto"/>
        <w:tblLook w:val="04A0" w:firstRow="1" w:lastRow="0" w:firstColumn="1" w:lastColumn="0" w:noHBand="0" w:noVBand="1"/>
      </w:tblPr>
      <w:tblGrid>
        <w:gridCol w:w="2316"/>
        <w:gridCol w:w="2359"/>
        <w:gridCol w:w="2436"/>
        <w:gridCol w:w="2239"/>
      </w:tblGrid>
      <w:tr w:rsidR="004F7307" w:rsidRPr="004F7307" w14:paraId="06216D92" w14:textId="77777777" w:rsidTr="00BF6D10">
        <w:tc>
          <w:tcPr>
            <w:tcW w:w="9350" w:type="dxa"/>
            <w:gridSpan w:val="4"/>
            <w:vAlign w:val="center"/>
          </w:tcPr>
          <w:p w14:paraId="3CEA5DE8"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Family clinics</w:t>
            </w:r>
          </w:p>
        </w:tc>
      </w:tr>
      <w:tr w:rsidR="004F7307" w:rsidRPr="004F7307" w14:paraId="5A056513" w14:textId="77777777" w:rsidTr="00BF6D10">
        <w:tc>
          <w:tcPr>
            <w:tcW w:w="4675" w:type="dxa"/>
            <w:gridSpan w:val="2"/>
            <w:vAlign w:val="center"/>
          </w:tcPr>
          <w:p w14:paraId="4B752DD0"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No 5</w:t>
            </w:r>
          </w:p>
        </w:tc>
        <w:tc>
          <w:tcPr>
            <w:tcW w:w="4675" w:type="dxa"/>
            <w:gridSpan w:val="2"/>
            <w:vAlign w:val="center"/>
          </w:tcPr>
          <w:p w14:paraId="696B721B"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No 16</w:t>
            </w:r>
          </w:p>
        </w:tc>
      </w:tr>
      <w:tr w:rsidR="004F7307" w:rsidRPr="004F7307" w14:paraId="5B9513D5" w14:textId="77777777" w:rsidTr="00BF6D10">
        <w:tc>
          <w:tcPr>
            <w:tcW w:w="4675" w:type="dxa"/>
            <w:gridSpan w:val="2"/>
            <w:vAlign w:val="center"/>
          </w:tcPr>
          <w:p w14:paraId="1C037FFE"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N=544</w:t>
            </w:r>
          </w:p>
        </w:tc>
        <w:tc>
          <w:tcPr>
            <w:tcW w:w="4675" w:type="dxa"/>
            <w:gridSpan w:val="2"/>
            <w:vAlign w:val="center"/>
          </w:tcPr>
          <w:p w14:paraId="4D51F0F0"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N=714</w:t>
            </w:r>
          </w:p>
        </w:tc>
      </w:tr>
      <w:tr w:rsidR="004F7307" w:rsidRPr="004F7307" w14:paraId="0ACC724B" w14:textId="77777777" w:rsidTr="00BF6D10">
        <w:tc>
          <w:tcPr>
            <w:tcW w:w="2316" w:type="dxa"/>
            <w:vAlign w:val="center"/>
          </w:tcPr>
          <w:p w14:paraId="0126BAC2" w14:textId="263B900F" w:rsidR="004F7307" w:rsidRPr="004F7307" w:rsidRDefault="004F7307" w:rsidP="00BF6D10">
            <w:pPr>
              <w:jc w:val="center"/>
              <w:rPr>
                <w:rFonts w:ascii="Times New Roman" w:eastAsia="Times New Roman" w:hAnsi="Times New Roman" w:cs="Times New Roman"/>
                <w:bCs/>
                <w:sz w:val="24"/>
                <w:szCs w:val="24"/>
              </w:rPr>
            </w:pPr>
            <w:bookmarkStart w:id="21" w:name="_Hlk101814301"/>
            <w:r w:rsidRPr="004F7307">
              <w:rPr>
                <w:rFonts w:ascii="Times New Roman" w:eastAsia="Calibri" w:hAnsi="Times New Roman" w:cs="Times New Roman"/>
                <w:sz w:val="24"/>
                <w:szCs w:val="24"/>
              </w:rPr>
              <w:t>Male</w:t>
            </w:r>
          </w:p>
        </w:tc>
        <w:tc>
          <w:tcPr>
            <w:tcW w:w="2359" w:type="dxa"/>
            <w:vAlign w:val="center"/>
          </w:tcPr>
          <w:p w14:paraId="45D758ED" w14:textId="561258CE"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Female</w:t>
            </w:r>
          </w:p>
        </w:tc>
        <w:tc>
          <w:tcPr>
            <w:tcW w:w="2436" w:type="dxa"/>
            <w:vAlign w:val="center"/>
          </w:tcPr>
          <w:p w14:paraId="717B5BA1" w14:textId="18E5AA02"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Male</w:t>
            </w:r>
          </w:p>
        </w:tc>
        <w:tc>
          <w:tcPr>
            <w:tcW w:w="2239" w:type="dxa"/>
            <w:vAlign w:val="center"/>
          </w:tcPr>
          <w:p w14:paraId="24772B7F" w14:textId="3DB7DA08"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Female</w:t>
            </w:r>
          </w:p>
        </w:tc>
      </w:tr>
      <w:bookmarkEnd w:id="21"/>
      <w:tr w:rsidR="004F7307" w:rsidRPr="004F7307" w14:paraId="4107BACA" w14:textId="77777777" w:rsidTr="00BF6D10">
        <w:tc>
          <w:tcPr>
            <w:tcW w:w="2316" w:type="dxa"/>
            <w:vAlign w:val="center"/>
          </w:tcPr>
          <w:p w14:paraId="604961D7"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280</w:t>
            </w:r>
          </w:p>
        </w:tc>
        <w:tc>
          <w:tcPr>
            <w:tcW w:w="2359" w:type="dxa"/>
            <w:vAlign w:val="center"/>
          </w:tcPr>
          <w:p w14:paraId="7A3B5097"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264</w:t>
            </w:r>
          </w:p>
        </w:tc>
        <w:tc>
          <w:tcPr>
            <w:tcW w:w="2436" w:type="dxa"/>
            <w:vAlign w:val="center"/>
          </w:tcPr>
          <w:p w14:paraId="508FA8BD"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379</w:t>
            </w:r>
          </w:p>
        </w:tc>
        <w:tc>
          <w:tcPr>
            <w:tcW w:w="2239" w:type="dxa"/>
            <w:vAlign w:val="center"/>
          </w:tcPr>
          <w:p w14:paraId="32494C7A"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335</w:t>
            </w:r>
          </w:p>
        </w:tc>
      </w:tr>
      <w:tr w:rsidR="004F7307" w:rsidRPr="004F7307" w14:paraId="678382FC" w14:textId="77777777" w:rsidTr="00BF6D10">
        <w:tc>
          <w:tcPr>
            <w:tcW w:w="9350" w:type="dxa"/>
            <w:gridSpan w:val="4"/>
            <w:vAlign w:val="center"/>
          </w:tcPr>
          <w:p w14:paraId="6095A262" w14:textId="15780B65" w:rsidR="004F7307" w:rsidRPr="004F7307" w:rsidRDefault="004F7307" w:rsidP="00BF6D10">
            <w:pPr>
              <w:jc w:val="center"/>
              <w:rPr>
                <w:rFonts w:ascii="Times New Roman" w:eastAsia="Times New Roman" w:hAnsi="Times New Roman" w:cs="Times New Roman"/>
                <w:b/>
                <w:sz w:val="24"/>
                <w:szCs w:val="24"/>
                <w:lang w:val="en-US"/>
              </w:rPr>
            </w:pPr>
            <w:r w:rsidRPr="004F7307">
              <w:rPr>
                <w:rFonts w:ascii="Times New Roman" w:eastAsia="Times New Roman" w:hAnsi="Times New Roman" w:cs="Times New Roman"/>
                <w:b/>
                <w:sz w:val="24"/>
                <w:szCs w:val="24"/>
                <w:lang w:val="en-US"/>
              </w:rPr>
              <w:t>Total number of patients examined in two polyclinics</w:t>
            </w:r>
          </w:p>
        </w:tc>
      </w:tr>
      <w:tr w:rsidR="004F7307" w:rsidRPr="004F7307" w14:paraId="30115A2C" w14:textId="77777777" w:rsidTr="00BF6D10">
        <w:tc>
          <w:tcPr>
            <w:tcW w:w="4675" w:type="dxa"/>
            <w:gridSpan w:val="2"/>
            <w:vAlign w:val="center"/>
          </w:tcPr>
          <w:p w14:paraId="3B44E147" w14:textId="3959F071"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Male</w:t>
            </w:r>
          </w:p>
        </w:tc>
        <w:tc>
          <w:tcPr>
            <w:tcW w:w="4675" w:type="dxa"/>
            <w:gridSpan w:val="2"/>
            <w:vAlign w:val="center"/>
          </w:tcPr>
          <w:p w14:paraId="5C833190"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Female</w:t>
            </w:r>
          </w:p>
        </w:tc>
      </w:tr>
      <w:tr w:rsidR="004F7307" w:rsidRPr="004F7307" w14:paraId="27488F4F" w14:textId="77777777" w:rsidTr="00BF6D10">
        <w:tc>
          <w:tcPr>
            <w:tcW w:w="4675" w:type="dxa"/>
            <w:gridSpan w:val="2"/>
            <w:vAlign w:val="center"/>
          </w:tcPr>
          <w:p w14:paraId="24BD234D"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659</w:t>
            </w:r>
          </w:p>
        </w:tc>
        <w:tc>
          <w:tcPr>
            <w:tcW w:w="4675" w:type="dxa"/>
            <w:gridSpan w:val="2"/>
            <w:vAlign w:val="center"/>
          </w:tcPr>
          <w:p w14:paraId="0700083C"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599</w:t>
            </w:r>
          </w:p>
        </w:tc>
      </w:tr>
    </w:tbl>
    <w:p w14:paraId="35A28F61" w14:textId="77777777" w:rsidR="004F7307" w:rsidRPr="004F7307" w:rsidRDefault="004F7307" w:rsidP="004F7307">
      <w:pPr>
        <w:ind w:firstLine="567"/>
        <w:jc w:val="both"/>
        <w:rPr>
          <w:rFonts w:eastAsia="Times New Roman" w:cs="Times New Roman"/>
          <w:bCs/>
          <w:sz w:val="24"/>
          <w:szCs w:val="24"/>
          <w:lang w:val="uz-Cyrl-UZ"/>
        </w:rPr>
      </w:pPr>
      <w:r w:rsidRPr="004F7307">
        <w:rPr>
          <w:rFonts w:eastAsia="Times New Roman" w:cs="Times New Roman"/>
          <w:bCs/>
          <w:sz w:val="24"/>
          <w:szCs w:val="24"/>
          <w:lang w:val="uz-Cyrl-UZ"/>
        </w:rPr>
        <w:lastRenderedPageBreak/>
        <w:t xml:space="preserve">Cases of overweight and obesity were detected at the age </w:t>
      </w:r>
      <w:r w:rsidRPr="004F7307">
        <w:rPr>
          <w:rFonts w:eastAsia="Times New Roman" w:cs="Times New Roman"/>
          <w:bCs/>
          <w:sz w:val="24"/>
          <w:szCs w:val="24"/>
        </w:rPr>
        <w:t>from</w:t>
      </w:r>
      <w:r w:rsidRPr="004F7307">
        <w:rPr>
          <w:rFonts w:eastAsia="Times New Roman" w:cs="Times New Roman"/>
          <w:bCs/>
          <w:sz w:val="24"/>
          <w:szCs w:val="24"/>
          <w:lang w:val="uz-Cyrl-UZ"/>
        </w:rPr>
        <w:t xml:space="preserve"> 6</w:t>
      </w:r>
      <w:r w:rsidRPr="004F7307">
        <w:rPr>
          <w:rFonts w:eastAsia="Times New Roman" w:cs="Times New Roman"/>
          <w:bCs/>
          <w:sz w:val="24"/>
          <w:szCs w:val="24"/>
        </w:rPr>
        <w:t xml:space="preserve"> to</w:t>
      </w:r>
      <w:r w:rsidRPr="004F7307">
        <w:rPr>
          <w:rFonts w:eastAsia="Times New Roman" w:cs="Times New Roman"/>
          <w:bCs/>
          <w:sz w:val="24"/>
          <w:szCs w:val="24"/>
          <w:lang w:val="uz-Cyrl-UZ"/>
        </w:rPr>
        <w:t xml:space="preserve">12 </w:t>
      </w:r>
      <w:r w:rsidRPr="004F7307">
        <w:rPr>
          <w:rFonts w:eastAsia="Times New Roman" w:cs="Times New Roman"/>
          <w:bCs/>
          <w:sz w:val="24"/>
          <w:szCs w:val="24"/>
        </w:rPr>
        <w:t xml:space="preserve">and from </w:t>
      </w:r>
      <w:r w:rsidRPr="004F7307">
        <w:rPr>
          <w:rFonts w:eastAsia="Times New Roman" w:cs="Times New Roman"/>
          <w:bCs/>
          <w:sz w:val="24"/>
          <w:szCs w:val="24"/>
          <w:lang w:val="uz-Cyrl-UZ"/>
        </w:rPr>
        <w:t>13</w:t>
      </w:r>
      <w:r w:rsidRPr="004F7307">
        <w:rPr>
          <w:rFonts w:eastAsia="Times New Roman" w:cs="Times New Roman"/>
          <w:bCs/>
          <w:sz w:val="24"/>
          <w:szCs w:val="24"/>
        </w:rPr>
        <w:t xml:space="preserve"> to </w:t>
      </w:r>
      <w:r w:rsidRPr="004F7307">
        <w:rPr>
          <w:rFonts w:eastAsia="Times New Roman" w:cs="Times New Roman"/>
          <w:bCs/>
          <w:sz w:val="24"/>
          <w:szCs w:val="24"/>
          <w:lang w:val="uz-Cyrl-UZ"/>
        </w:rPr>
        <w:t xml:space="preserve">16 years (school age), </w:t>
      </w:r>
      <w:r w:rsidRPr="004F7307">
        <w:rPr>
          <w:rFonts w:eastAsia="Times New Roman" w:cs="Times New Roman"/>
          <w:bCs/>
          <w:sz w:val="24"/>
          <w:szCs w:val="24"/>
        </w:rPr>
        <w:t xml:space="preserve">from </w:t>
      </w:r>
      <w:r w:rsidRPr="004F7307">
        <w:rPr>
          <w:rFonts w:eastAsia="Times New Roman" w:cs="Times New Roman"/>
          <w:bCs/>
          <w:sz w:val="24"/>
          <w:szCs w:val="24"/>
          <w:lang w:val="uz-Cyrl-UZ"/>
        </w:rPr>
        <w:t>17</w:t>
      </w:r>
      <w:r w:rsidRPr="004F7307">
        <w:rPr>
          <w:rFonts w:eastAsia="Times New Roman" w:cs="Times New Roman"/>
          <w:bCs/>
          <w:sz w:val="24"/>
          <w:szCs w:val="24"/>
        </w:rPr>
        <w:t xml:space="preserve"> to </w:t>
      </w:r>
      <w:r w:rsidRPr="004F7307">
        <w:rPr>
          <w:rFonts w:eastAsia="Times New Roman" w:cs="Times New Roman"/>
          <w:bCs/>
          <w:sz w:val="24"/>
          <w:szCs w:val="24"/>
          <w:lang w:val="uz-Cyrl-UZ"/>
        </w:rPr>
        <w:t>21 years (adolescence),</w:t>
      </w:r>
      <w:r w:rsidRPr="004F7307">
        <w:rPr>
          <w:rFonts w:eastAsia="Times New Roman" w:cs="Times New Roman"/>
          <w:bCs/>
          <w:sz w:val="24"/>
          <w:szCs w:val="24"/>
        </w:rPr>
        <w:t xml:space="preserve"> from</w:t>
      </w:r>
      <w:r w:rsidRPr="004F7307">
        <w:rPr>
          <w:rFonts w:eastAsia="Times New Roman" w:cs="Times New Roman"/>
          <w:bCs/>
          <w:sz w:val="24"/>
          <w:szCs w:val="24"/>
          <w:lang w:val="uz-Cyrl-UZ"/>
        </w:rPr>
        <w:t xml:space="preserve"> 22</w:t>
      </w:r>
      <w:r w:rsidRPr="004F7307">
        <w:rPr>
          <w:rFonts w:eastAsia="Times New Roman" w:cs="Times New Roman"/>
          <w:bCs/>
          <w:sz w:val="24"/>
          <w:szCs w:val="24"/>
        </w:rPr>
        <w:t xml:space="preserve"> to </w:t>
      </w:r>
      <w:r w:rsidRPr="004F7307">
        <w:rPr>
          <w:rFonts w:eastAsia="Times New Roman" w:cs="Times New Roman"/>
          <w:bCs/>
          <w:sz w:val="24"/>
          <w:szCs w:val="24"/>
          <w:lang w:val="uz-Cyrl-UZ"/>
        </w:rPr>
        <w:t>35 years (first adulthood),</w:t>
      </w:r>
      <w:r w:rsidRPr="004F7307">
        <w:rPr>
          <w:rFonts w:eastAsia="Times New Roman" w:cs="Times New Roman"/>
          <w:bCs/>
          <w:sz w:val="24"/>
          <w:szCs w:val="24"/>
        </w:rPr>
        <w:t xml:space="preserve"> from</w:t>
      </w:r>
      <w:r w:rsidRPr="004F7307">
        <w:rPr>
          <w:rFonts w:eastAsia="Times New Roman" w:cs="Times New Roman"/>
          <w:bCs/>
          <w:sz w:val="24"/>
          <w:szCs w:val="24"/>
          <w:lang w:val="uz-Cyrl-UZ"/>
        </w:rPr>
        <w:t xml:space="preserve"> 36</w:t>
      </w:r>
      <w:r w:rsidRPr="004F7307">
        <w:rPr>
          <w:rFonts w:eastAsia="Times New Roman" w:cs="Times New Roman"/>
          <w:bCs/>
          <w:sz w:val="24"/>
          <w:szCs w:val="24"/>
        </w:rPr>
        <w:t xml:space="preserve"> to </w:t>
      </w:r>
      <w:r w:rsidRPr="004F7307">
        <w:rPr>
          <w:rFonts w:eastAsia="Times New Roman" w:cs="Times New Roman"/>
          <w:bCs/>
          <w:sz w:val="24"/>
          <w:szCs w:val="24"/>
          <w:lang w:val="uz-Cyrl-UZ"/>
        </w:rPr>
        <w:t xml:space="preserve">60 years (second mature age), </w:t>
      </w:r>
      <w:r w:rsidRPr="004F7307">
        <w:rPr>
          <w:rFonts w:eastAsia="Times New Roman" w:cs="Times New Roman"/>
          <w:bCs/>
          <w:sz w:val="24"/>
          <w:szCs w:val="24"/>
        </w:rPr>
        <w:t xml:space="preserve">from </w:t>
      </w:r>
      <w:r w:rsidRPr="004F7307">
        <w:rPr>
          <w:rFonts w:eastAsia="Times New Roman" w:cs="Times New Roman"/>
          <w:bCs/>
          <w:sz w:val="24"/>
          <w:szCs w:val="24"/>
          <w:lang w:val="uz-Cyrl-UZ"/>
        </w:rPr>
        <w:t xml:space="preserve">61 </w:t>
      </w:r>
      <w:r w:rsidRPr="004F7307">
        <w:rPr>
          <w:rFonts w:eastAsia="Times New Roman" w:cs="Times New Roman"/>
          <w:bCs/>
          <w:sz w:val="24"/>
          <w:szCs w:val="24"/>
        </w:rPr>
        <w:t>to</w:t>
      </w:r>
      <w:r w:rsidRPr="004F7307">
        <w:rPr>
          <w:rFonts w:eastAsia="Times New Roman" w:cs="Times New Roman"/>
          <w:bCs/>
          <w:sz w:val="24"/>
          <w:szCs w:val="24"/>
          <w:lang w:val="uz-Cyrl-UZ"/>
        </w:rPr>
        <w:t xml:space="preserve"> 74 years (old age), </w:t>
      </w:r>
      <w:r w:rsidRPr="004F7307">
        <w:rPr>
          <w:rFonts w:eastAsia="Times New Roman" w:cs="Times New Roman"/>
          <w:bCs/>
          <w:sz w:val="24"/>
          <w:szCs w:val="24"/>
        </w:rPr>
        <w:t xml:space="preserve">from </w:t>
      </w:r>
      <w:r w:rsidRPr="004F7307">
        <w:rPr>
          <w:rFonts w:eastAsia="Times New Roman" w:cs="Times New Roman"/>
          <w:bCs/>
          <w:sz w:val="24"/>
          <w:szCs w:val="24"/>
          <w:lang w:val="uz-Cyrl-UZ"/>
        </w:rPr>
        <w:t xml:space="preserve">75 </w:t>
      </w:r>
      <w:r w:rsidRPr="004F7307">
        <w:rPr>
          <w:rFonts w:eastAsia="Times New Roman" w:cs="Times New Roman"/>
          <w:bCs/>
          <w:sz w:val="24"/>
          <w:szCs w:val="24"/>
        </w:rPr>
        <w:t>to</w:t>
      </w:r>
      <w:r w:rsidRPr="004F7307">
        <w:rPr>
          <w:rFonts w:eastAsia="Times New Roman" w:cs="Times New Roman"/>
          <w:bCs/>
          <w:sz w:val="24"/>
          <w:szCs w:val="24"/>
          <w:lang w:val="uz-Cyrl-UZ"/>
        </w:rPr>
        <w:t xml:space="preserve"> 90 years and above (senile age).</w:t>
      </w:r>
    </w:p>
    <w:p w14:paraId="47A401AB" w14:textId="77777777" w:rsidR="00BF6D10" w:rsidRDefault="00BF6D10" w:rsidP="00BF6D10">
      <w:pPr>
        <w:jc w:val="right"/>
        <w:rPr>
          <w:rFonts w:eastAsia="Times New Roman" w:cs="Times New Roman"/>
          <w:b/>
          <w:i/>
          <w:iCs/>
          <w:sz w:val="24"/>
          <w:szCs w:val="24"/>
        </w:rPr>
      </w:pPr>
    </w:p>
    <w:p w14:paraId="38633F00" w14:textId="2DB303C2" w:rsidR="004F7307" w:rsidRPr="004F7307" w:rsidRDefault="004F7307" w:rsidP="00BF6D10">
      <w:pPr>
        <w:jc w:val="right"/>
        <w:rPr>
          <w:rFonts w:eastAsia="Times New Roman" w:cs="Times New Roman"/>
          <w:b/>
          <w:i/>
          <w:iCs/>
          <w:sz w:val="24"/>
          <w:szCs w:val="24"/>
        </w:rPr>
      </w:pPr>
      <w:r w:rsidRPr="004F7307">
        <w:rPr>
          <w:rFonts w:eastAsia="Times New Roman" w:cs="Times New Roman"/>
          <w:b/>
          <w:i/>
          <w:iCs/>
          <w:sz w:val="24"/>
          <w:szCs w:val="24"/>
        </w:rPr>
        <w:t>Table 2</w:t>
      </w:r>
    </w:p>
    <w:p w14:paraId="62948040" w14:textId="406FDAE1" w:rsidR="004F7307" w:rsidRDefault="004F7307" w:rsidP="00BF6D10">
      <w:pPr>
        <w:jc w:val="center"/>
        <w:rPr>
          <w:rFonts w:eastAsia="Times New Roman" w:cs="Times New Roman"/>
          <w:b/>
          <w:sz w:val="24"/>
          <w:szCs w:val="24"/>
        </w:rPr>
      </w:pPr>
      <w:r w:rsidRPr="004F7307">
        <w:rPr>
          <w:rFonts w:eastAsia="Times New Roman" w:cs="Times New Roman"/>
          <w:b/>
          <w:sz w:val="24"/>
          <w:szCs w:val="24"/>
        </w:rPr>
        <w:t>The number of people examined by different age categories who are overweight and obese in polyclinics of the city of Tashkent (by age categories)</w:t>
      </w:r>
    </w:p>
    <w:p w14:paraId="1E2CAFCC" w14:textId="77777777" w:rsidR="00BF6D10" w:rsidRPr="004F7307" w:rsidRDefault="00BF6D10" w:rsidP="004F7307">
      <w:pPr>
        <w:ind w:firstLine="567"/>
        <w:jc w:val="both"/>
        <w:rPr>
          <w:rFonts w:eastAsia="Times New Roman" w:cs="Times New Roman"/>
          <w:b/>
          <w:sz w:val="24"/>
          <w:szCs w:val="24"/>
        </w:rPr>
      </w:pPr>
    </w:p>
    <w:tbl>
      <w:tblPr>
        <w:tblStyle w:val="17"/>
        <w:tblW w:w="0" w:type="auto"/>
        <w:tblLook w:val="04A0" w:firstRow="1" w:lastRow="0" w:firstColumn="1" w:lastColumn="0" w:noHBand="0" w:noVBand="1"/>
      </w:tblPr>
      <w:tblGrid>
        <w:gridCol w:w="2352"/>
        <w:gridCol w:w="2323"/>
        <w:gridCol w:w="2436"/>
        <w:gridCol w:w="2239"/>
      </w:tblGrid>
      <w:tr w:rsidR="004F7307" w:rsidRPr="004F7307" w14:paraId="7F18D668" w14:textId="77777777" w:rsidTr="00BF6D10">
        <w:tc>
          <w:tcPr>
            <w:tcW w:w="4675" w:type="dxa"/>
            <w:gridSpan w:val="2"/>
            <w:vAlign w:val="center"/>
          </w:tcPr>
          <w:p w14:paraId="76090B89"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FC</w:t>
            </w:r>
            <w:r w:rsidRPr="004F7307">
              <w:rPr>
                <w:rFonts w:ascii="Times New Roman" w:eastAsia="Calibri" w:hAnsi="Times New Roman" w:cs="Times New Roman"/>
                <w:sz w:val="24"/>
                <w:szCs w:val="24"/>
              </w:rPr>
              <w:t xml:space="preserve"> </w:t>
            </w:r>
            <w:r w:rsidRPr="004F7307">
              <w:rPr>
                <w:rFonts w:ascii="Times New Roman" w:eastAsia="Times New Roman" w:hAnsi="Times New Roman" w:cs="Times New Roman"/>
                <w:b/>
                <w:sz w:val="24"/>
                <w:szCs w:val="24"/>
              </w:rPr>
              <w:t>No 5</w:t>
            </w:r>
          </w:p>
        </w:tc>
        <w:tc>
          <w:tcPr>
            <w:tcW w:w="4675" w:type="dxa"/>
            <w:gridSpan w:val="2"/>
            <w:vAlign w:val="center"/>
          </w:tcPr>
          <w:p w14:paraId="540C8360"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FC</w:t>
            </w:r>
            <w:r w:rsidRPr="004F7307">
              <w:rPr>
                <w:rFonts w:ascii="Times New Roman" w:eastAsia="Calibri" w:hAnsi="Times New Roman" w:cs="Times New Roman"/>
                <w:sz w:val="24"/>
                <w:szCs w:val="24"/>
              </w:rPr>
              <w:t xml:space="preserve"> </w:t>
            </w:r>
            <w:r w:rsidRPr="004F7307">
              <w:rPr>
                <w:rFonts w:ascii="Times New Roman" w:eastAsia="Times New Roman" w:hAnsi="Times New Roman" w:cs="Times New Roman"/>
                <w:b/>
                <w:sz w:val="24"/>
                <w:szCs w:val="24"/>
              </w:rPr>
              <w:t>No 16</w:t>
            </w:r>
          </w:p>
        </w:tc>
      </w:tr>
      <w:tr w:rsidR="004F7307" w:rsidRPr="004F7307" w14:paraId="4377AC39" w14:textId="77777777" w:rsidTr="00BF6D10">
        <w:tc>
          <w:tcPr>
            <w:tcW w:w="2352" w:type="dxa"/>
            <w:vAlign w:val="center"/>
          </w:tcPr>
          <w:p w14:paraId="76E6607E" w14:textId="0DCAD670" w:rsidR="004F7307" w:rsidRPr="004F7307" w:rsidRDefault="004F7307" w:rsidP="00BF6D10">
            <w:pPr>
              <w:jc w:val="center"/>
              <w:rPr>
                <w:rFonts w:ascii="Times New Roman" w:eastAsia="Times New Roman" w:hAnsi="Times New Roman" w:cs="Times New Roman"/>
                <w:b/>
                <w:bCs/>
                <w:sz w:val="24"/>
                <w:szCs w:val="24"/>
              </w:rPr>
            </w:pPr>
            <w:r w:rsidRPr="004F7307">
              <w:rPr>
                <w:rFonts w:ascii="Times New Roman" w:eastAsia="Calibri" w:hAnsi="Times New Roman" w:cs="Times New Roman"/>
                <w:b/>
                <w:bCs/>
                <w:color w:val="202124"/>
                <w:sz w:val="24"/>
                <w:szCs w:val="24"/>
                <w:lang w:val="en"/>
              </w:rPr>
              <w:t>Age</w:t>
            </w:r>
          </w:p>
        </w:tc>
        <w:tc>
          <w:tcPr>
            <w:tcW w:w="2323" w:type="dxa"/>
            <w:vAlign w:val="center"/>
          </w:tcPr>
          <w:p w14:paraId="7F10C6C5" w14:textId="77777777" w:rsidR="004F7307" w:rsidRPr="004F7307" w:rsidRDefault="004F7307" w:rsidP="00BF6D10">
            <w:pPr>
              <w:jc w:val="center"/>
              <w:rPr>
                <w:rFonts w:ascii="Times New Roman" w:eastAsia="Times New Roman" w:hAnsi="Times New Roman" w:cs="Times New Roman"/>
                <w:b/>
                <w:bCs/>
                <w:sz w:val="24"/>
                <w:szCs w:val="24"/>
              </w:rPr>
            </w:pPr>
            <w:r w:rsidRPr="004F7307">
              <w:rPr>
                <w:rFonts w:ascii="Times New Roman" w:eastAsia="Calibri" w:hAnsi="Times New Roman" w:cs="Times New Roman"/>
                <w:b/>
                <w:bCs/>
                <w:color w:val="202124"/>
                <w:sz w:val="24"/>
                <w:szCs w:val="24"/>
                <w:lang w:val="en"/>
              </w:rPr>
              <w:t>Case</w:t>
            </w:r>
          </w:p>
        </w:tc>
        <w:tc>
          <w:tcPr>
            <w:tcW w:w="2436" w:type="dxa"/>
            <w:vAlign w:val="center"/>
          </w:tcPr>
          <w:p w14:paraId="41A65D4A" w14:textId="39913512"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b/>
                <w:bCs/>
                <w:color w:val="202124"/>
                <w:sz w:val="24"/>
                <w:szCs w:val="24"/>
                <w:lang w:val="en"/>
              </w:rPr>
              <w:t>Age</w:t>
            </w:r>
          </w:p>
        </w:tc>
        <w:tc>
          <w:tcPr>
            <w:tcW w:w="2239" w:type="dxa"/>
            <w:vAlign w:val="center"/>
          </w:tcPr>
          <w:p w14:paraId="2655C51D"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b/>
                <w:bCs/>
                <w:color w:val="202124"/>
                <w:sz w:val="24"/>
                <w:szCs w:val="24"/>
                <w:lang w:val="en"/>
              </w:rPr>
              <w:t>Case</w:t>
            </w:r>
          </w:p>
        </w:tc>
      </w:tr>
      <w:tr w:rsidR="004F7307" w:rsidRPr="004F7307" w14:paraId="0E8792CB" w14:textId="77777777" w:rsidTr="00BF6D10">
        <w:tc>
          <w:tcPr>
            <w:tcW w:w="2352" w:type="dxa"/>
            <w:vAlign w:val="center"/>
          </w:tcPr>
          <w:p w14:paraId="6116D382"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6 – 12 years old</w:t>
            </w:r>
          </w:p>
        </w:tc>
        <w:tc>
          <w:tcPr>
            <w:tcW w:w="2323" w:type="dxa"/>
            <w:vAlign w:val="center"/>
          </w:tcPr>
          <w:p w14:paraId="43BD0309"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w:t>
            </w:r>
          </w:p>
        </w:tc>
        <w:tc>
          <w:tcPr>
            <w:tcW w:w="2436" w:type="dxa"/>
            <w:vAlign w:val="center"/>
          </w:tcPr>
          <w:p w14:paraId="452A3DD2"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6 – 12 years old</w:t>
            </w:r>
          </w:p>
        </w:tc>
        <w:tc>
          <w:tcPr>
            <w:tcW w:w="2239" w:type="dxa"/>
            <w:vAlign w:val="center"/>
          </w:tcPr>
          <w:p w14:paraId="00927B0F"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24</w:t>
            </w:r>
          </w:p>
        </w:tc>
      </w:tr>
      <w:tr w:rsidR="004F7307" w:rsidRPr="004F7307" w14:paraId="44EF3DCD" w14:textId="77777777" w:rsidTr="00BF6D10">
        <w:tc>
          <w:tcPr>
            <w:tcW w:w="2352" w:type="dxa"/>
            <w:vAlign w:val="center"/>
          </w:tcPr>
          <w:p w14:paraId="02172CE6" w14:textId="0A0ACD8D"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13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16 years old</w:t>
            </w:r>
          </w:p>
        </w:tc>
        <w:tc>
          <w:tcPr>
            <w:tcW w:w="2323" w:type="dxa"/>
            <w:vAlign w:val="center"/>
          </w:tcPr>
          <w:p w14:paraId="4E22268B" w14:textId="7777777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Times New Roman" w:hAnsi="Times New Roman" w:cs="Times New Roman"/>
                <w:b/>
                <w:sz w:val="24"/>
                <w:szCs w:val="24"/>
              </w:rPr>
              <w:t>-</w:t>
            </w:r>
          </w:p>
        </w:tc>
        <w:tc>
          <w:tcPr>
            <w:tcW w:w="2436" w:type="dxa"/>
            <w:vAlign w:val="center"/>
          </w:tcPr>
          <w:p w14:paraId="0F2D806D" w14:textId="4B83F4C6"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13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16 years old</w:t>
            </w:r>
          </w:p>
        </w:tc>
        <w:tc>
          <w:tcPr>
            <w:tcW w:w="2239" w:type="dxa"/>
            <w:vAlign w:val="center"/>
          </w:tcPr>
          <w:p w14:paraId="5FA480D4"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45</w:t>
            </w:r>
          </w:p>
        </w:tc>
      </w:tr>
      <w:tr w:rsidR="004F7307" w:rsidRPr="004F7307" w14:paraId="2A384A1D" w14:textId="77777777" w:rsidTr="00BF6D10">
        <w:tc>
          <w:tcPr>
            <w:tcW w:w="2352" w:type="dxa"/>
            <w:vAlign w:val="center"/>
          </w:tcPr>
          <w:p w14:paraId="2922B3D2" w14:textId="0E69361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17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21 years old</w:t>
            </w:r>
          </w:p>
        </w:tc>
        <w:tc>
          <w:tcPr>
            <w:tcW w:w="2323" w:type="dxa"/>
            <w:vAlign w:val="center"/>
          </w:tcPr>
          <w:p w14:paraId="33594AAB"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5</w:t>
            </w:r>
          </w:p>
        </w:tc>
        <w:tc>
          <w:tcPr>
            <w:tcW w:w="2436" w:type="dxa"/>
            <w:vAlign w:val="center"/>
          </w:tcPr>
          <w:p w14:paraId="039251A0" w14:textId="1EB96044"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17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21 years old</w:t>
            </w:r>
          </w:p>
        </w:tc>
        <w:tc>
          <w:tcPr>
            <w:tcW w:w="2239" w:type="dxa"/>
            <w:vAlign w:val="center"/>
          </w:tcPr>
          <w:p w14:paraId="1F520FE3"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55</w:t>
            </w:r>
          </w:p>
        </w:tc>
      </w:tr>
      <w:tr w:rsidR="004F7307" w:rsidRPr="004F7307" w14:paraId="39DF6B33" w14:textId="77777777" w:rsidTr="00BF6D10">
        <w:tc>
          <w:tcPr>
            <w:tcW w:w="2352" w:type="dxa"/>
            <w:vAlign w:val="center"/>
          </w:tcPr>
          <w:p w14:paraId="4C7FFB6C" w14:textId="76D945A7"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22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35 years old</w:t>
            </w:r>
          </w:p>
        </w:tc>
        <w:tc>
          <w:tcPr>
            <w:tcW w:w="2323" w:type="dxa"/>
            <w:vAlign w:val="center"/>
          </w:tcPr>
          <w:p w14:paraId="64DD439C"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61</w:t>
            </w:r>
          </w:p>
        </w:tc>
        <w:tc>
          <w:tcPr>
            <w:tcW w:w="2436" w:type="dxa"/>
            <w:vAlign w:val="center"/>
          </w:tcPr>
          <w:p w14:paraId="1777AEA9" w14:textId="4D6DFA29"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22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35 years old</w:t>
            </w:r>
          </w:p>
        </w:tc>
        <w:tc>
          <w:tcPr>
            <w:tcW w:w="2239" w:type="dxa"/>
            <w:vAlign w:val="center"/>
          </w:tcPr>
          <w:p w14:paraId="65744DF4"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125</w:t>
            </w:r>
          </w:p>
        </w:tc>
      </w:tr>
      <w:tr w:rsidR="004F7307" w:rsidRPr="004F7307" w14:paraId="77F84D3C" w14:textId="77777777" w:rsidTr="00BF6D10">
        <w:tc>
          <w:tcPr>
            <w:tcW w:w="2352" w:type="dxa"/>
            <w:vAlign w:val="center"/>
          </w:tcPr>
          <w:p w14:paraId="4B204A09" w14:textId="4435FEE9"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36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60 years old</w:t>
            </w:r>
          </w:p>
        </w:tc>
        <w:tc>
          <w:tcPr>
            <w:tcW w:w="2323" w:type="dxa"/>
            <w:vAlign w:val="center"/>
          </w:tcPr>
          <w:p w14:paraId="30C51230"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270</w:t>
            </w:r>
          </w:p>
        </w:tc>
        <w:tc>
          <w:tcPr>
            <w:tcW w:w="2436" w:type="dxa"/>
            <w:vAlign w:val="center"/>
          </w:tcPr>
          <w:p w14:paraId="135789E4" w14:textId="7FD524B5"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 xml:space="preserve">36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60 years old</w:t>
            </w:r>
          </w:p>
        </w:tc>
        <w:tc>
          <w:tcPr>
            <w:tcW w:w="2239" w:type="dxa"/>
            <w:vAlign w:val="center"/>
          </w:tcPr>
          <w:p w14:paraId="2051AA20"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228</w:t>
            </w:r>
          </w:p>
        </w:tc>
      </w:tr>
      <w:tr w:rsidR="004F7307" w:rsidRPr="004F7307" w14:paraId="6861A8EB" w14:textId="77777777" w:rsidTr="00BF6D10">
        <w:tc>
          <w:tcPr>
            <w:tcW w:w="2352" w:type="dxa"/>
            <w:vAlign w:val="center"/>
          </w:tcPr>
          <w:p w14:paraId="0BB7FF2B" w14:textId="01550650"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61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74 years old</w:t>
            </w:r>
          </w:p>
        </w:tc>
        <w:tc>
          <w:tcPr>
            <w:tcW w:w="2323" w:type="dxa"/>
            <w:vAlign w:val="center"/>
          </w:tcPr>
          <w:p w14:paraId="2CC4DE94"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143</w:t>
            </w:r>
          </w:p>
        </w:tc>
        <w:tc>
          <w:tcPr>
            <w:tcW w:w="2436" w:type="dxa"/>
            <w:vAlign w:val="center"/>
          </w:tcPr>
          <w:p w14:paraId="179B91F5" w14:textId="672FD3E6"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 xml:space="preserve">61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74 years old</w:t>
            </w:r>
          </w:p>
        </w:tc>
        <w:tc>
          <w:tcPr>
            <w:tcW w:w="2239" w:type="dxa"/>
            <w:vAlign w:val="center"/>
          </w:tcPr>
          <w:p w14:paraId="463B34B4"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113</w:t>
            </w:r>
          </w:p>
        </w:tc>
      </w:tr>
      <w:tr w:rsidR="004F7307" w:rsidRPr="004F7307" w14:paraId="432FFF7F" w14:textId="77777777" w:rsidTr="00BF6D10">
        <w:tc>
          <w:tcPr>
            <w:tcW w:w="2352" w:type="dxa"/>
            <w:vAlign w:val="center"/>
          </w:tcPr>
          <w:p w14:paraId="059A1CD0" w14:textId="47600A68" w:rsidR="004F7307" w:rsidRPr="004F7307" w:rsidRDefault="004F7307" w:rsidP="00BF6D10">
            <w:pPr>
              <w:jc w:val="center"/>
              <w:rPr>
                <w:rFonts w:ascii="Times New Roman" w:eastAsia="Times New Roman" w:hAnsi="Times New Roman" w:cs="Times New Roman"/>
                <w:b/>
                <w:sz w:val="24"/>
                <w:szCs w:val="24"/>
              </w:rPr>
            </w:pPr>
            <w:r w:rsidRPr="004F7307">
              <w:rPr>
                <w:rFonts w:ascii="Times New Roman" w:eastAsia="Calibri" w:hAnsi="Times New Roman" w:cs="Times New Roman"/>
                <w:sz w:val="24"/>
                <w:szCs w:val="24"/>
              </w:rPr>
              <w:t xml:space="preserve">75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90 years old and above</w:t>
            </w:r>
          </w:p>
        </w:tc>
        <w:tc>
          <w:tcPr>
            <w:tcW w:w="2323" w:type="dxa"/>
            <w:vAlign w:val="center"/>
          </w:tcPr>
          <w:p w14:paraId="044FF816"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65</w:t>
            </w:r>
          </w:p>
        </w:tc>
        <w:tc>
          <w:tcPr>
            <w:tcW w:w="2436" w:type="dxa"/>
            <w:vAlign w:val="center"/>
          </w:tcPr>
          <w:p w14:paraId="0AED1107" w14:textId="15E7C4FD"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Calibri" w:hAnsi="Times New Roman" w:cs="Times New Roman"/>
                <w:sz w:val="24"/>
                <w:szCs w:val="24"/>
              </w:rPr>
              <w:t xml:space="preserve">75 </w:t>
            </w:r>
            <w:r w:rsidR="00F44A75">
              <w:rPr>
                <w:rFonts w:ascii="Times New Roman" w:eastAsia="Calibri" w:hAnsi="Times New Roman" w:cs="Times New Roman"/>
                <w:sz w:val="24"/>
                <w:szCs w:val="24"/>
              </w:rPr>
              <w:t>–</w:t>
            </w:r>
            <w:r w:rsidRPr="004F7307">
              <w:rPr>
                <w:rFonts w:ascii="Times New Roman" w:eastAsia="Calibri" w:hAnsi="Times New Roman" w:cs="Times New Roman"/>
                <w:sz w:val="24"/>
                <w:szCs w:val="24"/>
              </w:rPr>
              <w:t xml:space="preserve"> 90 years old and above</w:t>
            </w:r>
          </w:p>
        </w:tc>
        <w:tc>
          <w:tcPr>
            <w:tcW w:w="2239" w:type="dxa"/>
            <w:vAlign w:val="center"/>
          </w:tcPr>
          <w:p w14:paraId="43B2F363" w14:textId="77777777" w:rsidR="004F7307" w:rsidRPr="004F7307" w:rsidRDefault="004F7307" w:rsidP="00BF6D10">
            <w:pPr>
              <w:jc w:val="center"/>
              <w:rPr>
                <w:rFonts w:ascii="Times New Roman" w:eastAsia="Times New Roman" w:hAnsi="Times New Roman" w:cs="Times New Roman"/>
                <w:bCs/>
                <w:sz w:val="24"/>
                <w:szCs w:val="24"/>
              </w:rPr>
            </w:pPr>
            <w:r w:rsidRPr="004F7307">
              <w:rPr>
                <w:rFonts w:ascii="Times New Roman" w:eastAsia="Times New Roman" w:hAnsi="Times New Roman" w:cs="Times New Roman"/>
                <w:bCs/>
                <w:sz w:val="24"/>
                <w:szCs w:val="24"/>
              </w:rPr>
              <w:t>125</w:t>
            </w:r>
          </w:p>
        </w:tc>
      </w:tr>
    </w:tbl>
    <w:p w14:paraId="23697F82" w14:textId="77777777" w:rsidR="004F7307" w:rsidRPr="004F7307" w:rsidRDefault="004F7307" w:rsidP="004F7307">
      <w:pPr>
        <w:ind w:firstLine="567"/>
        <w:jc w:val="both"/>
        <w:rPr>
          <w:rFonts w:eastAsia="Times New Roman" w:cs="Times New Roman"/>
          <w:b/>
          <w:sz w:val="24"/>
          <w:szCs w:val="24"/>
          <w:lang w:val="ru-RU"/>
        </w:rPr>
      </w:pPr>
    </w:p>
    <w:p w14:paraId="12ADB7BA" w14:textId="77777777" w:rsidR="00BF6D10" w:rsidRDefault="00BF6D10" w:rsidP="004F7307">
      <w:pPr>
        <w:ind w:firstLine="567"/>
        <w:jc w:val="both"/>
        <w:rPr>
          <w:rFonts w:eastAsia="Times New Roman" w:cs="Times New Roman"/>
          <w:bCs/>
          <w:sz w:val="24"/>
          <w:szCs w:val="24"/>
        </w:rPr>
        <w:sectPr w:rsidR="00BF6D10" w:rsidSect="001B41EC">
          <w:type w:val="continuous"/>
          <w:pgSz w:w="11907" w:h="16840" w:code="9"/>
          <w:pgMar w:top="1418" w:right="1134" w:bottom="1134" w:left="1134" w:header="907" w:footer="794" w:gutter="0"/>
          <w:cols w:space="708"/>
          <w:docGrid w:linePitch="381"/>
        </w:sectPr>
      </w:pPr>
    </w:p>
    <w:p w14:paraId="214D65EF" w14:textId="77777777" w:rsidR="004F7307" w:rsidRPr="004F7307" w:rsidRDefault="004F7307" w:rsidP="004F7307">
      <w:pPr>
        <w:ind w:firstLine="567"/>
        <w:jc w:val="both"/>
        <w:rPr>
          <w:rFonts w:eastAsia="Times New Roman" w:cs="Times New Roman"/>
          <w:bCs/>
          <w:sz w:val="24"/>
          <w:szCs w:val="24"/>
        </w:rPr>
      </w:pPr>
      <w:r w:rsidRPr="004F7307">
        <w:rPr>
          <w:rFonts w:eastAsia="Times New Roman" w:cs="Times New Roman"/>
          <w:bCs/>
          <w:sz w:val="24"/>
          <w:szCs w:val="24"/>
        </w:rPr>
        <w:t>Of the surveyed, 82 are schoolchildren, 57 are students, 673 are persons of mature age, of which 226 are working, 148 are working in a sedentary work, 78 are working in an active work, 50 are mothers, caring for a child, 446 are pensioners.</w:t>
      </w:r>
    </w:p>
    <w:p w14:paraId="314C5525" w14:textId="31C6377A" w:rsidR="004F7307" w:rsidRPr="004F7307" w:rsidRDefault="004F7307" w:rsidP="004F7307">
      <w:pPr>
        <w:ind w:firstLine="567"/>
        <w:jc w:val="both"/>
        <w:rPr>
          <w:rFonts w:eastAsia="Calibri" w:cs="Times New Roman"/>
          <w:sz w:val="24"/>
          <w:szCs w:val="24"/>
        </w:rPr>
      </w:pPr>
      <w:r w:rsidRPr="004F7307">
        <w:rPr>
          <w:rFonts w:eastAsia="Calibri" w:cs="Times New Roman"/>
          <w:sz w:val="24"/>
          <w:szCs w:val="24"/>
        </w:rPr>
        <w:t>Excessive nutritional status is the con</w:t>
      </w:r>
      <w:r w:rsidR="00BF6D10">
        <w:rPr>
          <w:rFonts w:eastAsia="Calibri" w:cs="Times New Roman"/>
          <w:sz w:val="24"/>
          <w:szCs w:val="24"/>
        </w:rPr>
        <w:softHyphen/>
      </w:r>
      <w:r w:rsidRPr="004F7307">
        <w:rPr>
          <w:rFonts w:eastAsia="Calibri" w:cs="Times New Roman"/>
          <w:sz w:val="24"/>
          <w:szCs w:val="24"/>
        </w:rPr>
        <w:t>sumption of large quantities of foods contain</w:t>
      </w:r>
      <w:r w:rsidR="00BF6D10">
        <w:rPr>
          <w:rFonts w:eastAsia="Calibri" w:cs="Times New Roman"/>
          <w:sz w:val="24"/>
          <w:szCs w:val="24"/>
        </w:rPr>
        <w:softHyphen/>
      </w:r>
      <w:r w:rsidRPr="004F7307">
        <w:rPr>
          <w:rFonts w:eastAsia="Calibri" w:cs="Times New Roman"/>
          <w:sz w:val="24"/>
          <w:szCs w:val="24"/>
        </w:rPr>
        <w:t xml:space="preserve">ing fats and carbohydrates, a mismatch in the </w:t>
      </w:r>
      <w:r w:rsidRPr="004F7307">
        <w:rPr>
          <w:rFonts w:eastAsia="Calibri" w:cs="Times New Roman"/>
          <w:sz w:val="24"/>
          <w:szCs w:val="24"/>
        </w:rPr>
        <w:t>energy balance of food intake, a lack of vita</w:t>
      </w:r>
      <w:r w:rsidR="00BF6D10">
        <w:rPr>
          <w:rFonts w:eastAsia="Calibri" w:cs="Times New Roman"/>
          <w:sz w:val="24"/>
          <w:szCs w:val="24"/>
        </w:rPr>
        <w:softHyphen/>
      </w:r>
      <w:r w:rsidRPr="004F7307">
        <w:rPr>
          <w:rFonts w:eastAsia="Calibri" w:cs="Times New Roman"/>
          <w:sz w:val="24"/>
          <w:szCs w:val="24"/>
        </w:rPr>
        <w:t>mins and minerals in meals, a lack of protein, an excess of salts, sugar, in a word, an unbal</w:t>
      </w:r>
      <w:r w:rsidR="00BF6D10">
        <w:rPr>
          <w:rFonts w:eastAsia="Calibri" w:cs="Times New Roman"/>
          <w:sz w:val="24"/>
          <w:szCs w:val="24"/>
        </w:rPr>
        <w:softHyphen/>
      </w:r>
      <w:r w:rsidRPr="004F7307">
        <w:rPr>
          <w:rFonts w:eastAsia="Calibri" w:cs="Times New Roman"/>
          <w:sz w:val="24"/>
          <w:szCs w:val="24"/>
        </w:rPr>
        <w:t>anced diet [1]. In infants, this is fatty mother</w:t>
      </w:r>
      <w:r w:rsidR="00F44A75">
        <w:rPr>
          <w:rFonts w:eastAsia="Calibri" w:cs="Times New Roman"/>
          <w:sz w:val="24"/>
          <w:szCs w:val="24"/>
        </w:rPr>
        <w:t>’</w:t>
      </w:r>
      <w:r w:rsidRPr="004F7307">
        <w:rPr>
          <w:rFonts w:eastAsia="Calibri" w:cs="Times New Roman"/>
          <w:sz w:val="24"/>
          <w:szCs w:val="24"/>
        </w:rPr>
        <w:t>s milk, the adapted diet does not correspond to the age of the child, age norms are not observed when introducing complementary foods, adult food from an early age, which disrupt the me</w:t>
      </w:r>
      <w:r w:rsidR="00BF6D10">
        <w:rPr>
          <w:rFonts w:eastAsia="Calibri" w:cs="Times New Roman"/>
          <w:sz w:val="24"/>
          <w:szCs w:val="24"/>
        </w:rPr>
        <w:softHyphen/>
      </w:r>
      <w:r w:rsidRPr="004F7307">
        <w:rPr>
          <w:rFonts w:eastAsia="Calibri" w:cs="Times New Roman"/>
          <w:sz w:val="24"/>
          <w:szCs w:val="24"/>
        </w:rPr>
        <w:t>tabolism in the child</w:t>
      </w:r>
      <w:r w:rsidR="00F44A75">
        <w:rPr>
          <w:rFonts w:eastAsia="Calibri" w:cs="Times New Roman"/>
          <w:sz w:val="24"/>
          <w:szCs w:val="24"/>
        </w:rPr>
        <w:t>’</w:t>
      </w:r>
      <w:r w:rsidRPr="004F7307">
        <w:rPr>
          <w:rFonts w:eastAsia="Calibri" w:cs="Times New Roman"/>
          <w:sz w:val="24"/>
          <w:szCs w:val="24"/>
        </w:rPr>
        <w:t xml:space="preserve">s body [2]. </w:t>
      </w:r>
    </w:p>
    <w:p w14:paraId="2D6E1949" w14:textId="77777777" w:rsidR="00BF6D10" w:rsidRPr="00BF6D10" w:rsidRDefault="00BF6D10" w:rsidP="004F7307">
      <w:pPr>
        <w:ind w:firstLine="567"/>
        <w:jc w:val="both"/>
        <w:rPr>
          <w:rFonts w:eastAsia="Times New Roman" w:cs="Times New Roman"/>
          <w:b/>
          <w:sz w:val="24"/>
          <w:szCs w:val="24"/>
        </w:rPr>
        <w:sectPr w:rsidR="00BF6D10" w:rsidRPr="00BF6D10" w:rsidSect="00BF6D10">
          <w:type w:val="continuous"/>
          <w:pgSz w:w="11907" w:h="16840" w:code="9"/>
          <w:pgMar w:top="1418" w:right="1134" w:bottom="1134" w:left="1134" w:header="907" w:footer="794" w:gutter="0"/>
          <w:cols w:num="2" w:space="708"/>
          <w:docGrid w:linePitch="381"/>
        </w:sectPr>
      </w:pPr>
    </w:p>
    <w:p w14:paraId="12E9FA40" w14:textId="77777777" w:rsidR="00BF6D10" w:rsidRPr="00B71C19" w:rsidRDefault="00BF6D10" w:rsidP="004F7307">
      <w:pPr>
        <w:ind w:firstLine="567"/>
        <w:jc w:val="both"/>
        <w:rPr>
          <w:rFonts w:eastAsia="Times New Roman" w:cs="Times New Roman"/>
          <w:b/>
          <w:sz w:val="24"/>
          <w:szCs w:val="24"/>
        </w:rPr>
      </w:pPr>
    </w:p>
    <w:p w14:paraId="586B45AE" w14:textId="4A64AA66" w:rsidR="004F7307" w:rsidRPr="004F7307" w:rsidRDefault="004F7307" w:rsidP="004F7307">
      <w:pPr>
        <w:ind w:firstLine="567"/>
        <w:jc w:val="both"/>
        <w:rPr>
          <w:rFonts w:eastAsia="Times New Roman" w:cs="Times New Roman"/>
          <w:b/>
          <w:sz w:val="24"/>
          <w:szCs w:val="24"/>
          <w:lang w:val="ru-RU"/>
        </w:rPr>
      </w:pPr>
      <w:r w:rsidRPr="004F7307">
        <w:rPr>
          <w:rFonts w:eastAsia="Times New Roman" w:cs="Times New Roman"/>
          <w:b/>
          <w:noProof/>
          <w:sz w:val="24"/>
          <w:szCs w:val="24"/>
          <w:lang w:val="ru-RU" w:eastAsia="ru-RU"/>
        </w:rPr>
        <w:drawing>
          <wp:inline distT="0" distB="0" distL="0" distR="0" wp14:anchorId="4A8B74AB" wp14:editId="63079F28">
            <wp:extent cx="5486400" cy="3200400"/>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9014D2" w14:textId="77777777" w:rsidR="00BF6D10" w:rsidRDefault="00BF6D10" w:rsidP="004F7307">
      <w:pPr>
        <w:ind w:firstLine="567"/>
        <w:jc w:val="both"/>
        <w:rPr>
          <w:rFonts w:eastAsia="Times New Roman" w:cs="Times New Roman"/>
          <w:b/>
          <w:sz w:val="24"/>
          <w:szCs w:val="24"/>
        </w:rPr>
      </w:pPr>
    </w:p>
    <w:p w14:paraId="265D0ADD" w14:textId="0045E5DE" w:rsidR="004F7307" w:rsidRPr="004F7307" w:rsidRDefault="004F7307" w:rsidP="00BF6D10">
      <w:pPr>
        <w:jc w:val="center"/>
        <w:rPr>
          <w:rFonts w:eastAsia="Times New Roman" w:cs="Times New Roman"/>
          <w:b/>
          <w:sz w:val="24"/>
          <w:szCs w:val="24"/>
        </w:rPr>
      </w:pPr>
      <w:r w:rsidRPr="004F7307">
        <w:rPr>
          <w:rFonts w:eastAsia="Times New Roman" w:cs="Times New Roman"/>
          <w:b/>
          <w:i/>
          <w:iCs/>
          <w:sz w:val="24"/>
          <w:szCs w:val="24"/>
        </w:rPr>
        <w:t>Picture 1.</w:t>
      </w:r>
      <w:r w:rsidRPr="004F7307">
        <w:rPr>
          <w:rFonts w:eastAsia="Times New Roman" w:cs="Times New Roman"/>
          <w:b/>
          <w:sz w:val="24"/>
          <w:szCs w:val="24"/>
        </w:rPr>
        <w:t xml:space="preserve"> The frequency of overweight and obesity among the population of different age categories in two districts of the city of Tashkent (in absolute numbers).</w:t>
      </w:r>
    </w:p>
    <w:p w14:paraId="61B53883" w14:textId="77777777" w:rsidR="00BF6D10" w:rsidRDefault="00BF6D10" w:rsidP="004F7307">
      <w:pPr>
        <w:ind w:firstLine="567"/>
        <w:jc w:val="both"/>
        <w:rPr>
          <w:rFonts w:eastAsia="Calibri" w:cs="Times New Roman"/>
          <w:sz w:val="24"/>
          <w:szCs w:val="24"/>
        </w:rPr>
      </w:pPr>
    </w:p>
    <w:p w14:paraId="28EEE7C5" w14:textId="77777777" w:rsidR="00BF6D10" w:rsidRDefault="00BF6D10" w:rsidP="004F7307">
      <w:pPr>
        <w:ind w:firstLine="567"/>
        <w:jc w:val="both"/>
        <w:rPr>
          <w:rFonts w:eastAsia="Calibri" w:cs="Times New Roman"/>
          <w:sz w:val="24"/>
          <w:szCs w:val="24"/>
        </w:rPr>
        <w:sectPr w:rsidR="00BF6D10" w:rsidSect="001B41EC">
          <w:type w:val="continuous"/>
          <w:pgSz w:w="11907" w:h="16840" w:code="9"/>
          <w:pgMar w:top="1418" w:right="1134" w:bottom="1134" w:left="1134" w:header="907" w:footer="794" w:gutter="0"/>
          <w:cols w:space="708"/>
          <w:docGrid w:linePitch="381"/>
        </w:sectPr>
      </w:pPr>
    </w:p>
    <w:p w14:paraId="5A769447" w14:textId="6010F7B4" w:rsidR="004F7307" w:rsidRPr="004F7307" w:rsidRDefault="004F7307" w:rsidP="004F7307">
      <w:pPr>
        <w:ind w:firstLine="567"/>
        <w:jc w:val="both"/>
        <w:rPr>
          <w:rFonts w:eastAsia="Calibri" w:cs="Times New Roman"/>
          <w:sz w:val="24"/>
          <w:szCs w:val="24"/>
        </w:rPr>
      </w:pPr>
      <w:r w:rsidRPr="004F7307">
        <w:rPr>
          <w:rFonts w:eastAsia="Calibri" w:cs="Times New Roman"/>
          <w:sz w:val="24"/>
          <w:szCs w:val="24"/>
        </w:rPr>
        <w:lastRenderedPageBreak/>
        <w:t>The BMI data show that, in the two re</w:t>
      </w:r>
      <w:r w:rsidR="00BF6D10">
        <w:rPr>
          <w:rFonts w:eastAsia="Calibri" w:cs="Times New Roman"/>
          <w:sz w:val="24"/>
          <w:szCs w:val="24"/>
        </w:rPr>
        <w:softHyphen/>
      </w:r>
      <w:r w:rsidRPr="004F7307">
        <w:rPr>
          <w:rFonts w:eastAsia="Calibri" w:cs="Times New Roman"/>
          <w:sz w:val="24"/>
          <w:szCs w:val="24"/>
        </w:rPr>
        <w:t>gions surveyed, there is no sufficient sleep or an excess of sleep, a violation of the sensitivity of sleep, an unhealthy diet, a lack of walks in the fresh air, a lack of interest in sports, as well as a lack of cultural, spiritual, mental rest, a lack of morning physical activity, stabbing, swimming. In total, 220 people are physically active outdoors from time to time, 181 people go in for sports.</w:t>
      </w:r>
    </w:p>
    <w:p w14:paraId="12235963" w14:textId="5188BB16" w:rsidR="004F7307" w:rsidRPr="004F7307" w:rsidRDefault="004F7307" w:rsidP="004F7307">
      <w:pPr>
        <w:ind w:firstLine="567"/>
        <w:jc w:val="both"/>
        <w:rPr>
          <w:rFonts w:eastAsia="Calibri" w:cs="Times New Roman"/>
          <w:sz w:val="24"/>
          <w:szCs w:val="24"/>
        </w:rPr>
      </w:pPr>
      <w:r w:rsidRPr="004F7307">
        <w:rPr>
          <w:rFonts w:eastAsia="Calibri" w:cs="Times New Roman"/>
          <w:sz w:val="24"/>
          <w:szCs w:val="24"/>
        </w:rPr>
        <w:t>According to the forecasts of the World Health Organization (WHO), since the middle of the 20</w:t>
      </w:r>
      <w:r w:rsidRPr="00F44A75">
        <w:rPr>
          <w:rFonts w:eastAsia="Calibri" w:cs="Times New Roman"/>
          <w:sz w:val="24"/>
          <w:szCs w:val="24"/>
          <w:vertAlign w:val="superscript"/>
        </w:rPr>
        <w:t>th</w:t>
      </w:r>
      <w:r w:rsidRPr="004F7307">
        <w:rPr>
          <w:rFonts w:eastAsia="Calibri" w:cs="Times New Roman"/>
          <w:sz w:val="24"/>
          <w:szCs w:val="24"/>
        </w:rPr>
        <w:t xml:space="preserve"> century, non-communicable dis</w:t>
      </w:r>
      <w:r w:rsidR="00BF6D10">
        <w:rPr>
          <w:rFonts w:eastAsia="Calibri" w:cs="Times New Roman"/>
          <w:sz w:val="24"/>
          <w:szCs w:val="24"/>
        </w:rPr>
        <w:softHyphen/>
      </w:r>
      <w:r w:rsidRPr="004F7307">
        <w:rPr>
          <w:rFonts w:eastAsia="Calibri" w:cs="Times New Roman"/>
          <w:sz w:val="24"/>
          <w:szCs w:val="24"/>
        </w:rPr>
        <w:t xml:space="preserve">eases have begun to spread on a large scale, which already today are the cause of 60% of all </w:t>
      </w:r>
      <w:r w:rsidRPr="004F7307">
        <w:rPr>
          <w:rFonts w:eastAsia="Calibri" w:cs="Times New Roman"/>
          <w:sz w:val="24"/>
          <w:szCs w:val="24"/>
        </w:rPr>
        <w:t>deaths in the world. [2]. In Uzbekistan, these figures account for 78% of all deaths. Accord</w:t>
      </w:r>
      <w:r w:rsidR="00BF6D10">
        <w:rPr>
          <w:rFonts w:eastAsia="Calibri" w:cs="Times New Roman"/>
          <w:sz w:val="24"/>
          <w:szCs w:val="24"/>
        </w:rPr>
        <w:softHyphen/>
      </w:r>
      <w:r w:rsidRPr="004F7307">
        <w:rPr>
          <w:rFonts w:eastAsia="Calibri" w:cs="Times New Roman"/>
          <w:sz w:val="24"/>
          <w:szCs w:val="24"/>
        </w:rPr>
        <w:t>ing to the Ministry of Health of the Republic of Uzbekistan, together with the World Health Organization among the population of the Re</w:t>
      </w:r>
      <w:r w:rsidR="00BF6D10">
        <w:rPr>
          <w:rFonts w:eastAsia="Calibri" w:cs="Times New Roman"/>
          <w:sz w:val="24"/>
          <w:szCs w:val="24"/>
        </w:rPr>
        <w:softHyphen/>
      </w:r>
      <w:r w:rsidRPr="004F7307">
        <w:rPr>
          <w:rFonts w:eastAsia="Calibri" w:cs="Times New Roman"/>
          <w:sz w:val="24"/>
          <w:szCs w:val="24"/>
        </w:rPr>
        <w:t>public of Uzbekistan, in 2017, mortality rates among women and men were studied. The first place was occupied by such diseases as: circu</w:t>
      </w:r>
      <w:r w:rsidR="00BF6D10">
        <w:rPr>
          <w:rFonts w:eastAsia="Calibri" w:cs="Times New Roman"/>
          <w:sz w:val="24"/>
          <w:szCs w:val="24"/>
        </w:rPr>
        <w:softHyphen/>
      </w:r>
      <w:r w:rsidRPr="004F7307">
        <w:rPr>
          <w:rFonts w:eastAsia="Calibri" w:cs="Times New Roman"/>
          <w:sz w:val="24"/>
          <w:szCs w:val="24"/>
        </w:rPr>
        <w:t>latory system disorders (69%), coronary heart disease, arterial hypertension and their compli</w:t>
      </w:r>
      <w:r w:rsidR="00BF6D10">
        <w:rPr>
          <w:rFonts w:eastAsia="Calibri" w:cs="Times New Roman"/>
          <w:sz w:val="24"/>
          <w:szCs w:val="24"/>
        </w:rPr>
        <w:softHyphen/>
      </w:r>
      <w:r w:rsidRPr="004F7307">
        <w:rPr>
          <w:rFonts w:eastAsia="Calibri" w:cs="Times New Roman"/>
          <w:sz w:val="24"/>
          <w:szCs w:val="24"/>
        </w:rPr>
        <w:t xml:space="preserve">cations (myocardial infarction, cerebral stroke) (8%), malignant neoplasms (8%), diabetes mellitus (3%), chronic respiratory diseases (3%) </w:t>
      </w:r>
      <w:r w:rsidRPr="004F7307">
        <w:rPr>
          <w:rFonts w:eastAsia="Times New Roman" w:cs="Times New Roman"/>
          <w:sz w:val="24"/>
          <w:szCs w:val="24"/>
        </w:rPr>
        <w:t>[3].</w:t>
      </w:r>
    </w:p>
    <w:p w14:paraId="703E4190" w14:textId="77777777" w:rsidR="00BF6D10" w:rsidRDefault="00BF6D10" w:rsidP="004F7307">
      <w:pPr>
        <w:ind w:firstLine="567"/>
        <w:jc w:val="both"/>
        <w:rPr>
          <w:rFonts w:eastAsia="Calibri" w:cs="Times New Roman"/>
          <w:sz w:val="24"/>
          <w:szCs w:val="24"/>
        </w:rPr>
        <w:sectPr w:rsidR="00BF6D10" w:rsidSect="00BF6D10">
          <w:type w:val="continuous"/>
          <w:pgSz w:w="11907" w:h="16840" w:code="9"/>
          <w:pgMar w:top="1418" w:right="1134" w:bottom="1134" w:left="1134" w:header="907" w:footer="794" w:gutter="0"/>
          <w:cols w:num="2" w:space="708"/>
          <w:docGrid w:linePitch="381"/>
        </w:sectPr>
      </w:pPr>
    </w:p>
    <w:p w14:paraId="7128EC86" w14:textId="77777777" w:rsidR="004F7307" w:rsidRPr="004F7307" w:rsidRDefault="004F7307" w:rsidP="00BF6D10">
      <w:pPr>
        <w:ind w:firstLine="567"/>
        <w:jc w:val="center"/>
        <w:rPr>
          <w:rFonts w:eastAsia="Calibri" w:cs="Times New Roman"/>
          <w:sz w:val="24"/>
          <w:szCs w:val="24"/>
        </w:rPr>
      </w:pPr>
    </w:p>
    <w:p w14:paraId="7A75A97B" w14:textId="77777777" w:rsidR="00BF6D10" w:rsidRDefault="004F7307" w:rsidP="00BF6D10">
      <w:pPr>
        <w:jc w:val="center"/>
        <w:rPr>
          <w:rFonts w:eastAsia="Times New Roman" w:cs="Times New Roman"/>
          <w:b/>
          <w:sz w:val="24"/>
          <w:szCs w:val="24"/>
        </w:rPr>
      </w:pPr>
      <w:r w:rsidRPr="004F7307">
        <w:rPr>
          <w:rFonts w:eastAsia="Times New Roman" w:cs="Times New Roman"/>
          <w:bCs/>
          <w:noProof/>
          <w:sz w:val="24"/>
          <w:szCs w:val="24"/>
          <w:lang w:val="ru-RU" w:eastAsia="ru-RU"/>
        </w:rPr>
        <w:drawing>
          <wp:inline distT="0" distB="0" distL="0" distR="0" wp14:anchorId="3671B5F9" wp14:editId="74C1C490">
            <wp:extent cx="5486400" cy="3756660"/>
            <wp:effectExtent l="0" t="0" r="0" b="1524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E7AB7F" w14:textId="77777777" w:rsidR="00BF6D10" w:rsidRDefault="00BF6D10" w:rsidP="00BF6D10">
      <w:pPr>
        <w:jc w:val="center"/>
        <w:rPr>
          <w:rFonts w:eastAsia="Times New Roman" w:cs="Times New Roman"/>
          <w:b/>
          <w:sz w:val="24"/>
          <w:szCs w:val="24"/>
        </w:rPr>
      </w:pPr>
    </w:p>
    <w:p w14:paraId="4A06CE69" w14:textId="02568AC1" w:rsidR="004F7307" w:rsidRPr="00BF6D10" w:rsidRDefault="004F7307" w:rsidP="00BF6D10">
      <w:pPr>
        <w:jc w:val="center"/>
        <w:rPr>
          <w:rFonts w:eastAsia="Times New Roman" w:cs="Times New Roman"/>
          <w:b/>
          <w:sz w:val="24"/>
          <w:szCs w:val="24"/>
        </w:rPr>
      </w:pPr>
      <w:r w:rsidRPr="004F7307">
        <w:rPr>
          <w:rFonts w:eastAsia="Times New Roman" w:cs="Times New Roman"/>
          <w:b/>
          <w:i/>
          <w:iCs/>
          <w:sz w:val="24"/>
          <w:szCs w:val="24"/>
        </w:rPr>
        <w:t>Picture</w:t>
      </w:r>
      <w:r w:rsidR="00BF6D10" w:rsidRPr="00BF6D10">
        <w:rPr>
          <w:rFonts w:eastAsia="Times New Roman" w:cs="Times New Roman"/>
          <w:b/>
          <w:i/>
          <w:iCs/>
          <w:sz w:val="24"/>
          <w:szCs w:val="24"/>
        </w:rPr>
        <w:t xml:space="preserve"> </w:t>
      </w:r>
      <w:r w:rsidRPr="004F7307">
        <w:rPr>
          <w:rFonts w:eastAsia="Times New Roman" w:cs="Times New Roman"/>
          <w:b/>
          <w:i/>
          <w:iCs/>
          <w:sz w:val="24"/>
          <w:szCs w:val="24"/>
        </w:rPr>
        <w:t>2.</w:t>
      </w:r>
      <w:r w:rsidRPr="004F7307">
        <w:rPr>
          <w:rFonts w:eastAsia="Times New Roman" w:cs="Times New Roman"/>
          <w:b/>
          <w:sz w:val="24"/>
          <w:szCs w:val="24"/>
        </w:rPr>
        <w:t xml:space="preserve"> Identified diseases of non-infectious origin in the population of different age categories with overweight and obesity.</w:t>
      </w:r>
    </w:p>
    <w:p w14:paraId="0C578AC4" w14:textId="77777777" w:rsidR="00BF6D10" w:rsidRPr="004F7307" w:rsidRDefault="00BF6D10" w:rsidP="00BF6D10">
      <w:pPr>
        <w:jc w:val="center"/>
        <w:rPr>
          <w:rFonts w:eastAsia="Times New Roman" w:cs="Times New Roman"/>
          <w:bCs/>
          <w:sz w:val="24"/>
          <w:szCs w:val="24"/>
        </w:rPr>
      </w:pPr>
    </w:p>
    <w:p w14:paraId="4D15C004" w14:textId="77777777" w:rsidR="00BF6D10" w:rsidRDefault="00BF6D10" w:rsidP="004F7307">
      <w:pPr>
        <w:ind w:firstLine="567"/>
        <w:jc w:val="both"/>
        <w:rPr>
          <w:rFonts w:eastAsia="Calibri" w:cs="Times New Roman"/>
          <w:sz w:val="24"/>
          <w:szCs w:val="24"/>
        </w:rPr>
        <w:sectPr w:rsidR="00BF6D10" w:rsidSect="001B41EC">
          <w:type w:val="continuous"/>
          <w:pgSz w:w="11907" w:h="16840" w:code="9"/>
          <w:pgMar w:top="1418" w:right="1134" w:bottom="1134" w:left="1134" w:header="907" w:footer="794" w:gutter="0"/>
          <w:cols w:space="708"/>
          <w:docGrid w:linePitch="381"/>
        </w:sectPr>
      </w:pPr>
    </w:p>
    <w:p w14:paraId="02296432" w14:textId="7C0E48FC" w:rsidR="004F7307" w:rsidRPr="004F7307" w:rsidRDefault="004F7307" w:rsidP="004F7307">
      <w:pPr>
        <w:ind w:firstLine="567"/>
        <w:jc w:val="both"/>
        <w:rPr>
          <w:rFonts w:eastAsia="Calibri" w:cs="Times New Roman"/>
          <w:sz w:val="24"/>
          <w:szCs w:val="24"/>
        </w:rPr>
      </w:pPr>
      <w:r w:rsidRPr="004F7307">
        <w:rPr>
          <w:rFonts w:eastAsia="Calibri" w:cs="Times New Roman"/>
          <w:sz w:val="24"/>
          <w:szCs w:val="24"/>
        </w:rPr>
        <w:t>To determine the physiological state, data were taken from outpatient charts of over</w:t>
      </w:r>
      <w:r w:rsidR="00BF6D10">
        <w:rPr>
          <w:rFonts w:eastAsia="Calibri" w:cs="Times New Roman"/>
          <w:sz w:val="24"/>
          <w:szCs w:val="24"/>
        </w:rPr>
        <w:softHyphen/>
      </w:r>
      <w:r w:rsidRPr="004F7307">
        <w:rPr>
          <w:rFonts w:eastAsia="Calibri" w:cs="Times New Roman"/>
          <w:sz w:val="24"/>
          <w:szCs w:val="24"/>
        </w:rPr>
        <w:t>weight and obese subjects, recorded by narrow specialists of two polyclinics of Mirzo Ulug</w:t>
      </w:r>
      <w:r w:rsidR="00BF6D10">
        <w:rPr>
          <w:rFonts w:eastAsia="Calibri" w:cs="Times New Roman"/>
          <w:sz w:val="24"/>
          <w:szCs w:val="24"/>
        </w:rPr>
        <w:softHyphen/>
      </w:r>
      <w:r w:rsidRPr="004F7307">
        <w:rPr>
          <w:rFonts w:eastAsia="Calibri" w:cs="Times New Roman"/>
          <w:sz w:val="24"/>
          <w:szCs w:val="24"/>
        </w:rPr>
        <w:t>bek No. 5 and Almazar No. 16 districts of the city of Tashkent, a number of diseases of non-infectious origin were identified. On the part of the cardiovascular system: hypertension, vege</w:t>
      </w:r>
      <w:r w:rsidR="00BF6D10">
        <w:rPr>
          <w:rFonts w:eastAsia="Calibri" w:cs="Times New Roman"/>
          <w:sz w:val="24"/>
          <w:szCs w:val="24"/>
        </w:rPr>
        <w:softHyphen/>
      </w:r>
      <w:r w:rsidRPr="004F7307">
        <w:rPr>
          <w:rFonts w:eastAsia="Calibri" w:cs="Times New Roman"/>
          <w:sz w:val="24"/>
          <w:szCs w:val="24"/>
        </w:rPr>
        <w:t>tovascular dystonia, coronary heart disease, angina pectoris and acute cerebrovascular ac</w:t>
      </w:r>
      <w:r w:rsidR="00BF6D10">
        <w:rPr>
          <w:rFonts w:eastAsia="Calibri" w:cs="Times New Roman"/>
          <w:sz w:val="24"/>
          <w:szCs w:val="24"/>
        </w:rPr>
        <w:softHyphen/>
      </w:r>
      <w:r w:rsidRPr="004F7307">
        <w:rPr>
          <w:rFonts w:eastAsia="Calibri" w:cs="Times New Roman"/>
          <w:sz w:val="24"/>
          <w:szCs w:val="24"/>
        </w:rPr>
        <w:t xml:space="preserve">cident </w:t>
      </w:r>
      <w:r w:rsidR="00F44A75">
        <w:rPr>
          <w:rFonts w:eastAsia="Calibri" w:cs="Times New Roman"/>
          <w:sz w:val="24"/>
          <w:szCs w:val="24"/>
        </w:rPr>
        <w:t>–</w:t>
      </w:r>
      <w:r w:rsidRPr="004F7307">
        <w:rPr>
          <w:rFonts w:eastAsia="Calibri" w:cs="Times New Roman"/>
          <w:sz w:val="24"/>
          <w:szCs w:val="24"/>
        </w:rPr>
        <w:t xml:space="preserve"> 62%; from the respiratory system: chronic obstructive bronchitis </w:t>
      </w:r>
      <w:r w:rsidR="00F44A75">
        <w:rPr>
          <w:rFonts w:eastAsia="Calibri" w:cs="Times New Roman"/>
          <w:sz w:val="24"/>
          <w:szCs w:val="24"/>
        </w:rPr>
        <w:t>–</w:t>
      </w:r>
      <w:r w:rsidRPr="004F7307">
        <w:rPr>
          <w:rFonts w:eastAsia="Calibri" w:cs="Times New Roman"/>
          <w:sz w:val="24"/>
          <w:szCs w:val="24"/>
        </w:rPr>
        <w:t xml:space="preserve"> 4%; endocrine diseases: type 2 diabetes, total strumectomy; neurological diseases: myasthenia gravis, Parkinson</w:t>
      </w:r>
      <w:r w:rsidR="00F44A75">
        <w:rPr>
          <w:rFonts w:eastAsia="Calibri" w:cs="Times New Roman"/>
          <w:sz w:val="24"/>
          <w:szCs w:val="24"/>
        </w:rPr>
        <w:t>’</w:t>
      </w:r>
      <w:r w:rsidRPr="004F7307">
        <w:rPr>
          <w:rFonts w:eastAsia="Calibri" w:cs="Times New Roman"/>
          <w:sz w:val="24"/>
          <w:szCs w:val="24"/>
        </w:rPr>
        <w:t xml:space="preserve">s disease, convulsive syndrome </w:t>
      </w:r>
      <w:r w:rsidR="00F44A75">
        <w:rPr>
          <w:rFonts w:eastAsia="Calibri" w:cs="Times New Roman"/>
          <w:sz w:val="24"/>
          <w:szCs w:val="24"/>
        </w:rPr>
        <w:t>–</w:t>
      </w:r>
      <w:r w:rsidRPr="004F7307">
        <w:rPr>
          <w:rFonts w:eastAsia="Calibri" w:cs="Times New Roman"/>
          <w:sz w:val="24"/>
          <w:szCs w:val="24"/>
        </w:rPr>
        <w:t xml:space="preserve"> 2%; diseases of the musculoskeletal system: arthrosis, deforming osteoarthritis, osteoporo</w:t>
      </w:r>
      <w:r w:rsidR="00BF6D10">
        <w:rPr>
          <w:rFonts w:eastAsia="Calibri" w:cs="Times New Roman"/>
          <w:sz w:val="24"/>
          <w:szCs w:val="24"/>
        </w:rPr>
        <w:softHyphen/>
      </w:r>
      <w:r w:rsidRPr="004F7307">
        <w:rPr>
          <w:rFonts w:eastAsia="Calibri" w:cs="Times New Roman"/>
          <w:sz w:val="24"/>
          <w:szCs w:val="24"/>
        </w:rPr>
        <w:t xml:space="preserve">sis, osteochondrosis, rheumatoid arthritis </w:t>
      </w:r>
      <w:r w:rsidR="00F44A75">
        <w:rPr>
          <w:rFonts w:eastAsia="Calibri" w:cs="Times New Roman"/>
          <w:sz w:val="24"/>
          <w:szCs w:val="24"/>
        </w:rPr>
        <w:t>–</w:t>
      </w:r>
      <w:r w:rsidRPr="004F7307">
        <w:rPr>
          <w:rFonts w:eastAsia="Calibri" w:cs="Times New Roman"/>
          <w:sz w:val="24"/>
          <w:szCs w:val="24"/>
        </w:rPr>
        <w:t xml:space="preserve"> 6%; diseases of the digestive system: gastritis, pan</w:t>
      </w:r>
      <w:r w:rsidR="00BF6D10">
        <w:rPr>
          <w:rFonts w:eastAsia="Calibri" w:cs="Times New Roman"/>
          <w:sz w:val="24"/>
          <w:szCs w:val="24"/>
        </w:rPr>
        <w:softHyphen/>
      </w:r>
      <w:r w:rsidRPr="004F7307">
        <w:rPr>
          <w:rFonts w:eastAsia="Calibri" w:cs="Times New Roman"/>
          <w:sz w:val="24"/>
          <w:szCs w:val="24"/>
        </w:rPr>
        <w:t xml:space="preserve">creatitis, reactive hepatitis, cholecystitis, </w:t>
      </w:r>
      <w:r w:rsidRPr="004F7307">
        <w:rPr>
          <w:rFonts w:eastAsia="Calibri" w:cs="Times New Roman"/>
          <w:sz w:val="24"/>
          <w:szCs w:val="24"/>
        </w:rPr>
        <w:lastRenderedPageBreak/>
        <w:t>chronic gastritis, chronic hepatitis, chronic hepatocholecystitis, chronic cholecystitis, gas</w:t>
      </w:r>
      <w:r w:rsidR="00BF6D10">
        <w:rPr>
          <w:rFonts w:eastAsia="Calibri" w:cs="Times New Roman"/>
          <w:sz w:val="24"/>
          <w:szCs w:val="24"/>
        </w:rPr>
        <w:softHyphen/>
      </w:r>
      <w:r w:rsidRPr="004F7307">
        <w:rPr>
          <w:rFonts w:eastAsia="Calibri" w:cs="Times New Roman"/>
          <w:sz w:val="24"/>
          <w:szCs w:val="24"/>
        </w:rPr>
        <w:t xml:space="preserve">tric ulcer </w:t>
      </w:r>
      <w:r w:rsidR="00F44A75">
        <w:rPr>
          <w:rFonts w:eastAsia="Calibri" w:cs="Times New Roman"/>
          <w:sz w:val="24"/>
          <w:szCs w:val="24"/>
        </w:rPr>
        <w:t>–</w:t>
      </w:r>
      <w:r w:rsidRPr="004F7307">
        <w:rPr>
          <w:rFonts w:eastAsia="Calibri" w:cs="Times New Roman"/>
          <w:sz w:val="24"/>
          <w:szCs w:val="24"/>
        </w:rPr>
        <w:t xml:space="preserve"> 4%; diseases of the urinary system: urolithiasis, pyelonephritis, prostatitis, cystitis </w:t>
      </w:r>
      <w:r w:rsidR="00F44A75">
        <w:rPr>
          <w:rFonts w:eastAsia="Calibri" w:cs="Times New Roman"/>
          <w:sz w:val="24"/>
          <w:szCs w:val="24"/>
        </w:rPr>
        <w:t>–</w:t>
      </w:r>
      <w:r w:rsidRPr="004F7307">
        <w:rPr>
          <w:rFonts w:eastAsia="Calibri" w:cs="Times New Roman"/>
          <w:sz w:val="24"/>
          <w:szCs w:val="24"/>
        </w:rPr>
        <w:t xml:space="preserve"> 2%; oncological diseases: cancer of the fe</w:t>
      </w:r>
      <w:r w:rsidR="00BF6D10">
        <w:rPr>
          <w:rFonts w:eastAsia="Calibri" w:cs="Times New Roman"/>
          <w:sz w:val="24"/>
          <w:szCs w:val="24"/>
        </w:rPr>
        <w:softHyphen/>
      </w:r>
      <w:r w:rsidRPr="004F7307">
        <w:rPr>
          <w:rFonts w:eastAsia="Calibri" w:cs="Times New Roman"/>
          <w:sz w:val="24"/>
          <w:szCs w:val="24"/>
        </w:rPr>
        <w:t xml:space="preserve">male organs, bladder cancer, breast cancer, bowel cancer </w:t>
      </w:r>
      <w:r w:rsidR="00F44A75">
        <w:rPr>
          <w:rFonts w:eastAsia="Calibri" w:cs="Times New Roman"/>
          <w:sz w:val="24"/>
          <w:szCs w:val="24"/>
        </w:rPr>
        <w:t>–</w:t>
      </w:r>
      <w:r w:rsidRPr="004F7307">
        <w:rPr>
          <w:rFonts w:eastAsia="Calibri" w:cs="Times New Roman"/>
          <w:sz w:val="24"/>
          <w:szCs w:val="24"/>
        </w:rPr>
        <w:t xml:space="preserve"> 3%; other pathologies: myopia, viral hepatitis C </w:t>
      </w:r>
      <w:r w:rsidR="00F44A75">
        <w:rPr>
          <w:rFonts w:eastAsia="Calibri" w:cs="Times New Roman"/>
          <w:sz w:val="24"/>
          <w:szCs w:val="24"/>
        </w:rPr>
        <w:t>–</w:t>
      </w:r>
      <w:r w:rsidRPr="004F7307">
        <w:rPr>
          <w:rFonts w:eastAsia="Calibri" w:cs="Times New Roman"/>
          <w:sz w:val="24"/>
          <w:szCs w:val="24"/>
        </w:rPr>
        <w:t xml:space="preserve"> 13%.</w:t>
      </w:r>
    </w:p>
    <w:p w14:paraId="08F581AC" w14:textId="5B5F7338" w:rsidR="004F7307" w:rsidRPr="004F7307" w:rsidRDefault="004F7307" w:rsidP="004F7307">
      <w:pPr>
        <w:autoSpaceDE w:val="0"/>
        <w:autoSpaceDN w:val="0"/>
        <w:ind w:firstLine="567"/>
        <w:jc w:val="both"/>
        <w:rPr>
          <w:rFonts w:eastAsia="Calibri" w:cs="Times New Roman"/>
          <w:sz w:val="24"/>
          <w:szCs w:val="24"/>
        </w:rPr>
      </w:pPr>
      <w:r w:rsidRPr="004F7307">
        <w:rPr>
          <w:rFonts w:eastAsia="Calibri" w:cs="Times New Roman"/>
          <w:sz w:val="24"/>
          <w:szCs w:val="24"/>
        </w:rPr>
        <w:t>The reason for all this is poor nutrition, which begins with the period of pregnancy, which leads to the birth of children with pa</w:t>
      </w:r>
      <w:r w:rsidR="00BF6D10">
        <w:rPr>
          <w:rFonts w:eastAsia="Calibri" w:cs="Times New Roman"/>
          <w:sz w:val="24"/>
          <w:szCs w:val="24"/>
        </w:rPr>
        <w:softHyphen/>
      </w:r>
      <w:r w:rsidRPr="004F7307">
        <w:rPr>
          <w:rFonts w:eastAsia="Calibri" w:cs="Times New Roman"/>
          <w:sz w:val="24"/>
          <w:szCs w:val="24"/>
        </w:rPr>
        <w:t>thologies, with metabolic changes. Malnutri</w:t>
      </w:r>
      <w:r w:rsidR="00BF6D10">
        <w:rPr>
          <w:rFonts w:eastAsia="Calibri" w:cs="Times New Roman"/>
          <w:sz w:val="24"/>
          <w:szCs w:val="24"/>
        </w:rPr>
        <w:softHyphen/>
      </w:r>
      <w:r w:rsidRPr="004F7307">
        <w:rPr>
          <w:rFonts w:eastAsia="Calibri" w:cs="Times New Roman"/>
          <w:sz w:val="24"/>
          <w:szCs w:val="24"/>
        </w:rPr>
        <w:t>tion in young children, characterized by an in</w:t>
      </w:r>
      <w:r w:rsidR="00BF6D10">
        <w:rPr>
          <w:rFonts w:eastAsia="Calibri" w:cs="Times New Roman"/>
          <w:sz w:val="24"/>
          <w:szCs w:val="24"/>
        </w:rPr>
        <w:softHyphen/>
      </w:r>
      <w:r w:rsidRPr="004F7307">
        <w:rPr>
          <w:rFonts w:eastAsia="Calibri" w:cs="Times New Roman"/>
          <w:sz w:val="24"/>
          <w:szCs w:val="24"/>
        </w:rPr>
        <w:t>crease in body weight, a decrease in immunity, and the appearance of a series of pathologies on the part of organs and systems, this indi</w:t>
      </w:r>
      <w:r w:rsidR="00BF6D10">
        <w:rPr>
          <w:rFonts w:eastAsia="Calibri" w:cs="Times New Roman"/>
          <w:sz w:val="24"/>
          <w:szCs w:val="24"/>
        </w:rPr>
        <w:softHyphen/>
      </w:r>
      <w:r w:rsidRPr="004F7307">
        <w:rPr>
          <w:rFonts w:eastAsia="Calibri" w:cs="Times New Roman"/>
          <w:sz w:val="24"/>
          <w:szCs w:val="24"/>
        </w:rPr>
        <w:t>cates the need to form an optimal approach to the nutrition of a child in the family, and, above all, where there is a family history of obesity, atherosclerosis and arterial hypertension. Opti</w:t>
      </w:r>
      <w:r w:rsidR="00BF6D10">
        <w:rPr>
          <w:rFonts w:eastAsia="Calibri" w:cs="Times New Roman"/>
          <w:sz w:val="24"/>
          <w:szCs w:val="24"/>
        </w:rPr>
        <w:softHyphen/>
      </w:r>
      <w:r w:rsidRPr="004F7307">
        <w:rPr>
          <w:rFonts w:eastAsia="Calibri" w:cs="Times New Roman"/>
          <w:sz w:val="24"/>
          <w:szCs w:val="24"/>
        </w:rPr>
        <w:t>mization of nutrition in childhood helps to con</w:t>
      </w:r>
      <w:r w:rsidR="00BF6D10">
        <w:rPr>
          <w:rFonts w:eastAsia="Calibri" w:cs="Times New Roman"/>
          <w:sz w:val="24"/>
          <w:szCs w:val="24"/>
        </w:rPr>
        <w:softHyphen/>
      </w:r>
      <w:r w:rsidRPr="004F7307">
        <w:rPr>
          <w:rFonts w:eastAsia="Calibri" w:cs="Times New Roman"/>
          <w:sz w:val="24"/>
          <w:szCs w:val="24"/>
        </w:rPr>
        <w:t>solidate eating habits in adulthood [10].</w:t>
      </w:r>
    </w:p>
    <w:p w14:paraId="5674323F" w14:textId="77777777" w:rsidR="00BF6D10" w:rsidRDefault="00BF6D10" w:rsidP="004F7307">
      <w:pPr>
        <w:autoSpaceDE w:val="0"/>
        <w:autoSpaceDN w:val="0"/>
        <w:ind w:firstLine="567"/>
        <w:jc w:val="both"/>
        <w:rPr>
          <w:rFonts w:eastAsia="Times New Roman" w:cs="Times New Roman"/>
          <w:bCs/>
          <w:sz w:val="24"/>
          <w:szCs w:val="24"/>
        </w:rPr>
        <w:sectPr w:rsidR="00BF6D10" w:rsidSect="00BF6D10">
          <w:type w:val="continuous"/>
          <w:pgSz w:w="11907" w:h="16840" w:code="9"/>
          <w:pgMar w:top="1418" w:right="1134" w:bottom="1134" w:left="1134" w:header="907" w:footer="794" w:gutter="0"/>
          <w:cols w:num="2" w:space="708"/>
          <w:docGrid w:linePitch="381"/>
        </w:sectPr>
      </w:pPr>
    </w:p>
    <w:p w14:paraId="1853BFC6" w14:textId="77777777" w:rsidR="00BF6D10" w:rsidRDefault="00BF6D10" w:rsidP="004F7307">
      <w:pPr>
        <w:autoSpaceDE w:val="0"/>
        <w:autoSpaceDN w:val="0"/>
        <w:ind w:firstLine="567"/>
        <w:jc w:val="both"/>
        <w:rPr>
          <w:rFonts w:eastAsia="Times New Roman" w:cs="Times New Roman"/>
          <w:bCs/>
          <w:sz w:val="24"/>
          <w:szCs w:val="24"/>
        </w:rPr>
      </w:pPr>
    </w:p>
    <w:p w14:paraId="4D7C5D1B" w14:textId="04D2715D" w:rsidR="004F7307" w:rsidRPr="004F7307" w:rsidRDefault="004F7307" w:rsidP="004F7307">
      <w:pPr>
        <w:autoSpaceDE w:val="0"/>
        <w:autoSpaceDN w:val="0"/>
        <w:ind w:firstLine="567"/>
        <w:jc w:val="both"/>
        <w:rPr>
          <w:rFonts w:eastAsia="Times New Roman" w:cs="Times New Roman"/>
          <w:bCs/>
          <w:sz w:val="24"/>
          <w:szCs w:val="24"/>
        </w:rPr>
      </w:pPr>
      <w:r w:rsidRPr="004F7307">
        <w:rPr>
          <w:rFonts w:eastAsia="Times New Roman" w:cs="Times New Roman"/>
          <w:bCs/>
          <w:noProof/>
          <w:sz w:val="24"/>
          <w:szCs w:val="24"/>
          <w:lang w:val="ru-RU" w:eastAsia="ru-RU"/>
        </w:rPr>
        <w:drawing>
          <wp:inline distT="0" distB="0" distL="0" distR="0" wp14:anchorId="274284A7" wp14:editId="15C5FCAC">
            <wp:extent cx="5399405" cy="3429000"/>
            <wp:effectExtent l="0" t="0" r="10795" b="0"/>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72C07A" w14:textId="77777777" w:rsidR="00BF6D10" w:rsidRDefault="00BF6D10" w:rsidP="00BF6D10">
      <w:pPr>
        <w:autoSpaceDE w:val="0"/>
        <w:autoSpaceDN w:val="0"/>
        <w:jc w:val="both"/>
        <w:rPr>
          <w:rFonts w:eastAsia="Times New Roman" w:cs="Times New Roman"/>
          <w:b/>
          <w:bCs/>
          <w:sz w:val="24"/>
          <w:szCs w:val="24"/>
        </w:rPr>
      </w:pPr>
    </w:p>
    <w:p w14:paraId="370CB96E" w14:textId="6DD3EA3A" w:rsidR="004F7307" w:rsidRPr="00BF6D10" w:rsidRDefault="004F7307" w:rsidP="00BF6D10">
      <w:pPr>
        <w:autoSpaceDE w:val="0"/>
        <w:autoSpaceDN w:val="0"/>
        <w:jc w:val="center"/>
        <w:rPr>
          <w:rFonts w:eastAsia="Times New Roman" w:cs="Times New Roman"/>
          <w:b/>
          <w:bCs/>
          <w:sz w:val="24"/>
          <w:szCs w:val="24"/>
        </w:rPr>
      </w:pPr>
      <w:r w:rsidRPr="004F7307">
        <w:rPr>
          <w:rFonts w:eastAsia="Times New Roman" w:cs="Times New Roman"/>
          <w:b/>
          <w:bCs/>
          <w:i/>
          <w:iCs/>
          <w:sz w:val="24"/>
          <w:szCs w:val="24"/>
        </w:rPr>
        <w:t>Picture</w:t>
      </w:r>
      <w:r w:rsidR="00BF6D10" w:rsidRPr="00BF6D10">
        <w:rPr>
          <w:rFonts w:eastAsia="Times New Roman" w:cs="Times New Roman"/>
          <w:b/>
          <w:bCs/>
          <w:i/>
          <w:iCs/>
          <w:sz w:val="24"/>
          <w:szCs w:val="24"/>
        </w:rPr>
        <w:t xml:space="preserve"> </w:t>
      </w:r>
      <w:r w:rsidRPr="004F7307">
        <w:rPr>
          <w:rFonts w:eastAsia="Times New Roman" w:cs="Times New Roman"/>
          <w:b/>
          <w:bCs/>
          <w:i/>
          <w:iCs/>
          <w:sz w:val="24"/>
          <w:szCs w:val="24"/>
        </w:rPr>
        <w:t>4.</w:t>
      </w:r>
      <w:r w:rsidRPr="004F7307">
        <w:rPr>
          <w:rFonts w:eastAsia="Times New Roman" w:cs="Times New Roman"/>
          <w:b/>
          <w:bCs/>
          <w:sz w:val="24"/>
          <w:szCs w:val="24"/>
        </w:rPr>
        <w:t xml:space="preserve"> The number of different drinks consumed among the overweight and obese population.</w:t>
      </w:r>
    </w:p>
    <w:p w14:paraId="36511602" w14:textId="77777777" w:rsidR="00BF6D10" w:rsidRPr="004F7307" w:rsidRDefault="00BF6D10" w:rsidP="004F7307">
      <w:pPr>
        <w:autoSpaceDE w:val="0"/>
        <w:autoSpaceDN w:val="0"/>
        <w:ind w:firstLine="567"/>
        <w:jc w:val="both"/>
        <w:rPr>
          <w:rFonts w:eastAsia="Times New Roman" w:cs="Times New Roman"/>
          <w:bCs/>
          <w:sz w:val="24"/>
          <w:szCs w:val="24"/>
        </w:rPr>
      </w:pPr>
    </w:p>
    <w:p w14:paraId="164A9180" w14:textId="77777777" w:rsidR="00BF6D10" w:rsidRDefault="00BF6D10" w:rsidP="004F7307">
      <w:pPr>
        <w:ind w:firstLine="567"/>
        <w:jc w:val="both"/>
        <w:rPr>
          <w:rFonts w:eastAsia="Times New Roman" w:cs="Times New Roman"/>
          <w:bCs/>
          <w:sz w:val="24"/>
          <w:szCs w:val="24"/>
        </w:rPr>
        <w:sectPr w:rsidR="00BF6D10" w:rsidSect="001B41EC">
          <w:type w:val="continuous"/>
          <w:pgSz w:w="11907" w:h="16840" w:code="9"/>
          <w:pgMar w:top="1418" w:right="1134" w:bottom="1134" w:left="1134" w:header="907" w:footer="794" w:gutter="0"/>
          <w:cols w:space="708"/>
          <w:docGrid w:linePitch="381"/>
        </w:sectPr>
      </w:pPr>
    </w:p>
    <w:p w14:paraId="7E327957" w14:textId="638FE549" w:rsidR="004F7307" w:rsidRPr="004F7307" w:rsidRDefault="004F7307" w:rsidP="004F7307">
      <w:pPr>
        <w:ind w:firstLine="567"/>
        <w:jc w:val="both"/>
        <w:rPr>
          <w:rFonts w:eastAsia="Times New Roman" w:cs="Times New Roman"/>
          <w:bCs/>
          <w:sz w:val="24"/>
          <w:szCs w:val="24"/>
        </w:rPr>
      </w:pPr>
      <w:r w:rsidRPr="004F7307">
        <w:rPr>
          <w:rFonts w:eastAsia="Times New Roman" w:cs="Times New Roman"/>
          <w:bCs/>
          <w:sz w:val="24"/>
          <w:szCs w:val="24"/>
        </w:rPr>
        <w:t>In the study of the nutritional status among the population with overweight and obesity, registered in the polyclinics of two districts of Mirzo Ulugbek No. 5 and Almazar No. 16 of the city of Tashkent, the nature of nutrition was studied by a questionnaire method, in which all food consumed was rec</w:t>
      </w:r>
      <w:r w:rsidR="00BF6D10">
        <w:rPr>
          <w:rFonts w:eastAsia="Times New Roman" w:cs="Times New Roman"/>
          <w:bCs/>
          <w:sz w:val="24"/>
          <w:szCs w:val="24"/>
        </w:rPr>
        <w:softHyphen/>
      </w:r>
      <w:r w:rsidRPr="004F7307">
        <w:rPr>
          <w:rFonts w:eastAsia="Times New Roman" w:cs="Times New Roman"/>
          <w:bCs/>
          <w:sz w:val="24"/>
          <w:szCs w:val="24"/>
        </w:rPr>
        <w:t xml:space="preserve">orded in order to determine the quality of </w:t>
      </w:r>
      <w:r w:rsidR="00BF6D10" w:rsidRPr="004F7307">
        <w:rPr>
          <w:rFonts w:eastAsia="Times New Roman" w:cs="Times New Roman"/>
          <w:bCs/>
          <w:sz w:val="24"/>
          <w:szCs w:val="24"/>
        </w:rPr>
        <w:t>nu</w:t>
      </w:r>
      <w:r w:rsidR="00BF6D10">
        <w:rPr>
          <w:rFonts w:eastAsia="Times New Roman" w:cs="Times New Roman"/>
          <w:bCs/>
          <w:sz w:val="24"/>
          <w:szCs w:val="24"/>
        </w:rPr>
        <w:softHyphen/>
      </w:r>
      <w:r w:rsidR="00BF6D10" w:rsidRPr="004F7307">
        <w:rPr>
          <w:rFonts w:eastAsia="Times New Roman" w:cs="Times New Roman"/>
          <w:bCs/>
          <w:sz w:val="24"/>
          <w:szCs w:val="24"/>
        </w:rPr>
        <w:t>trition,</w:t>
      </w:r>
      <w:r w:rsidRPr="004F7307">
        <w:rPr>
          <w:rFonts w:eastAsia="Times New Roman" w:cs="Times New Roman"/>
          <w:bCs/>
          <w:sz w:val="24"/>
          <w:szCs w:val="24"/>
        </w:rPr>
        <w:t xml:space="preserve"> a set of products of the daily diet, its multiplicity, intervals between meals, daily calorie content, as well as heat treatment. </w:t>
      </w:r>
    </w:p>
    <w:p w14:paraId="7165EA46" w14:textId="078F3DD9" w:rsidR="004F7307" w:rsidRPr="004F7307" w:rsidRDefault="004F7307" w:rsidP="004F7307">
      <w:pPr>
        <w:ind w:firstLine="567"/>
        <w:jc w:val="both"/>
        <w:rPr>
          <w:rFonts w:eastAsia="Times New Roman" w:cs="Times New Roman"/>
          <w:bCs/>
          <w:sz w:val="24"/>
          <w:szCs w:val="24"/>
        </w:rPr>
      </w:pPr>
      <w:r w:rsidRPr="004F7307">
        <w:rPr>
          <w:rFonts w:eastAsia="Times New Roman" w:cs="Times New Roman"/>
          <w:bCs/>
          <w:sz w:val="24"/>
          <w:szCs w:val="24"/>
        </w:rPr>
        <w:t>The survey was conducted among over</w:t>
      </w:r>
      <w:r w:rsidR="00BF6D10">
        <w:rPr>
          <w:rFonts w:eastAsia="Times New Roman" w:cs="Times New Roman"/>
          <w:bCs/>
          <w:sz w:val="24"/>
          <w:szCs w:val="24"/>
        </w:rPr>
        <w:softHyphen/>
      </w:r>
      <w:r w:rsidRPr="004F7307">
        <w:rPr>
          <w:rFonts w:eastAsia="Times New Roman" w:cs="Times New Roman"/>
          <w:bCs/>
          <w:sz w:val="24"/>
          <w:szCs w:val="24"/>
        </w:rPr>
        <w:t xml:space="preserve">weight and obese school-aged, middle-aged and elderly people, data on nutritional status </w:t>
      </w:r>
      <w:r w:rsidRPr="004F7307">
        <w:rPr>
          <w:rFonts w:eastAsia="Times New Roman" w:cs="Times New Roman"/>
          <w:bCs/>
          <w:sz w:val="24"/>
          <w:szCs w:val="24"/>
        </w:rPr>
        <w:t>were collected through a questionnaire and the following questions were asked to determine the list of foods used in the diet, nutrient com</w:t>
      </w:r>
      <w:r w:rsidR="00BF6D10">
        <w:rPr>
          <w:rFonts w:eastAsia="Times New Roman" w:cs="Times New Roman"/>
          <w:bCs/>
          <w:sz w:val="24"/>
          <w:szCs w:val="24"/>
        </w:rPr>
        <w:softHyphen/>
      </w:r>
      <w:r w:rsidRPr="004F7307">
        <w:rPr>
          <w:rFonts w:eastAsia="Times New Roman" w:cs="Times New Roman"/>
          <w:bCs/>
          <w:sz w:val="24"/>
          <w:szCs w:val="24"/>
        </w:rPr>
        <w:t>position, as well as the mode and intake of food: confectionery, sauces (tomato, mayon</w:t>
      </w:r>
      <w:r w:rsidR="00BF6D10">
        <w:rPr>
          <w:rFonts w:eastAsia="Times New Roman" w:cs="Times New Roman"/>
          <w:bCs/>
          <w:sz w:val="24"/>
          <w:szCs w:val="24"/>
        </w:rPr>
        <w:softHyphen/>
      </w:r>
      <w:r w:rsidRPr="004F7307">
        <w:rPr>
          <w:rFonts w:eastAsia="Times New Roman" w:cs="Times New Roman"/>
          <w:bCs/>
          <w:sz w:val="24"/>
          <w:szCs w:val="24"/>
        </w:rPr>
        <w:t>naise), an excess of dairy products, frequent consumption of coffee and tea, colored car</w:t>
      </w:r>
      <w:r w:rsidR="00BF6D10">
        <w:rPr>
          <w:rFonts w:eastAsia="Times New Roman" w:cs="Times New Roman"/>
          <w:bCs/>
          <w:sz w:val="24"/>
          <w:szCs w:val="24"/>
        </w:rPr>
        <w:softHyphen/>
      </w:r>
      <w:r w:rsidRPr="004F7307">
        <w:rPr>
          <w:rFonts w:eastAsia="Times New Roman" w:cs="Times New Roman"/>
          <w:bCs/>
          <w:sz w:val="24"/>
          <w:szCs w:val="24"/>
        </w:rPr>
        <w:t>bonated drinks, packaging juices, an excess of fatty, carbohydrate-containing foods (fast food), excessive consumption of salt, sugar, smoked meats, chocolate and other sweets. In addition: fruits, berries, vegetables, greens, legumes, cereals, meat products, offal, sea</w:t>
      </w:r>
      <w:r w:rsidR="00BF6D10">
        <w:rPr>
          <w:rFonts w:eastAsia="Times New Roman" w:cs="Times New Roman"/>
          <w:bCs/>
          <w:sz w:val="24"/>
          <w:szCs w:val="24"/>
        </w:rPr>
        <w:softHyphen/>
      </w:r>
      <w:r w:rsidRPr="004F7307">
        <w:rPr>
          <w:rFonts w:eastAsia="Times New Roman" w:cs="Times New Roman"/>
          <w:bCs/>
          <w:sz w:val="24"/>
          <w:szCs w:val="24"/>
        </w:rPr>
        <w:t>food, fish, eggs, dairy products, nuts.</w:t>
      </w:r>
    </w:p>
    <w:p w14:paraId="45BC8A55" w14:textId="77777777" w:rsidR="00BF6D10" w:rsidRDefault="00BF6D10" w:rsidP="004F7307">
      <w:pPr>
        <w:autoSpaceDE w:val="0"/>
        <w:autoSpaceDN w:val="0"/>
        <w:ind w:firstLine="567"/>
        <w:jc w:val="both"/>
        <w:rPr>
          <w:rFonts w:eastAsia="Times New Roman" w:cs="Times New Roman"/>
          <w:b/>
          <w:bCs/>
          <w:sz w:val="24"/>
          <w:szCs w:val="24"/>
        </w:rPr>
        <w:sectPr w:rsidR="00BF6D10" w:rsidSect="00BF6D10">
          <w:type w:val="continuous"/>
          <w:pgSz w:w="11907" w:h="16840" w:code="9"/>
          <w:pgMar w:top="1418" w:right="1134" w:bottom="1134" w:left="1134" w:header="907" w:footer="794" w:gutter="0"/>
          <w:cols w:num="2" w:space="708"/>
          <w:docGrid w:linePitch="381"/>
        </w:sectPr>
      </w:pPr>
    </w:p>
    <w:p w14:paraId="59276A27" w14:textId="77777777" w:rsidR="00800FAD" w:rsidRDefault="004F7307" w:rsidP="00BF6D10">
      <w:pPr>
        <w:autoSpaceDE w:val="0"/>
        <w:autoSpaceDN w:val="0"/>
        <w:jc w:val="center"/>
        <w:rPr>
          <w:rFonts w:eastAsia="Times New Roman" w:cs="Times New Roman"/>
          <w:b/>
          <w:bCs/>
          <w:i/>
          <w:iCs/>
          <w:sz w:val="24"/>
          <w:szCs w:val="24"/>
        </w:rPr>
      </w:pPr>
      <w:r w:rsidRPr="004F7307">
        <w:rPr>
          <w:rFonts w:eastAsia="Times New Roman" w:cs="Times New Roman"/>
          <w:b/>
          <w:bCs/>
          <w:i/>
          <w:iCs/>
          <w:noProof/>
          <w:sz w:val="24"/>
          <w:szCs w:val="24"/>
          <w:lang w:val="ru-RU" w:eastAsia="ru-RU"/>
        </w:rPr>
        <w:lastRenderedPageBreak/>
        <w:drawing>
          <wp:inline distT="0" distB="0" distL="0" distR="0" wp14:anchorId="7D02083F" wp14:editId="0495EB98">
            <wp:extent cx="5341620" cy="3009900"/>
            <wp:effectExtent l="0" t="0" r="1143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8BCA79" w14:textId="77777777" w:rsidR="00800FAD" w:rsidRDefault="00800FAD" w:rsidP="00BF6D10">
      <w:pPr>
        <w:autoSpaceDE w:val="0"/>
        <w:autoSpaceDN w:val="0"/>
        <w:jc w:val="center"/>
        <w:rPr>
          <w:rFonts w:eastAsia="Times New Roman" w:cs="Times New Roman"/>
          <w:b/>
          <w:bCs/>
          <w:i/>
          <w:iCs/>
          <w:sz w:val="24"/>
          <w:szCs w:val="24"/>
        </w:rPr>
      </w:pPr>
    </w:p>
    <w:p w14:paraId="6DD98061" w14:textId="582041DE" w:rsidR="004F7307" w:rsidRDefault="004F7307" w:rsidP="00BF6D10">
      <w:pPr>
        <w:autoSpaceDE w:val="0"/>
        <w:autoSpaceDN w:val="0"/>
        <w:jc w:val="center"/>
        <w:rPr>
          <w:rFonts w:eastAsia="Times New Roman" w:cs="Times New Roman"/>
          <w:b/>
          <w:bCs/>
          <w:sz w:val="24"/>
          <w:szCs w:val="24"/>
        </w:rPr>
      </w:pPr>
      <w:r w:rsidRPr="004F7307">
        <w:rPr>
          <w:rFonts w:eastAsia="Times New Roman" w:cs="Times New Roman"/>
          <w:b/>
          <w:bCs/>
          <w:i/>
          <w:iCs/>
          <w:sz w:val="24"/>
          <w:szCs w:val="24"/>
        </w:rPr>
        <w:t>Picture</w:t>
      </w:r>
      <w:r w:rsidR="00800FAD">
        <w:rPr>
          <w:rFonts w:eastAsia="Times New Roman" w:cs="Times New Roman"/>
          <w:b/>
          <w:bCs/>
          <w:i/>
          <w:iCs/>
          <w:sz w:val="24"/>
          <w:szCs w:val="24"/>
        </w:rPr>
        <w:t xml:space="preserve"> </w:t>
      </w:r>
      <w:r w:rsidRPr="004F7307">
        <w:rPr>
          <w:rFonts w:eastAsia="Times New Roman" w:cs="Times New Roman"/>
          <w:b/>
          <w:bCs/>
          <w:i/>
          <w:iCs/>
          <w:sz w:val="24"/>
          <w:szCs w:val="24"/>
        </w:rPr>
        <w:t>5.</w:t>
      </w:r>
      <w:r w:rsidRPr="004F7307">
        <w:rPr>
          <w:rFonts w:eastAsia="Times New Roman" w:cs="Times New Roman"/>
          <w:b/>
          <w:bCs/>
          <w:sz w:val="24"/>
          <w:szCs w:val="24"/>
        </w:rPr>
        <w:t xml:space="preserve"> The use of meat products among the population of different age categories with overweight and obesity.</w:t>
      </w:r>
    </w:p>
    <w:p w14:paraId="57E059EA" w14:textId="77777777" w:rsidR="00800FAD" w:rsidRPr="004F7307" w:rsidRDefault="00800FAD" w:rsidP="00BF6D10">
      <w:pPr>
        <w:autoSpaceDE w:val="0"/>
        <w:autoSpaceDN w:val="0"/>
        <w:jc w:val="center"/>
        <w:rPr>
          <w:rFonts w:eastAsia="Times New Roman" w:cs="Times New Roman"/>
          <w:b/>
          <w:bCs/>
          <w:sz w:val="24"/>
          <w:szCs w:val="24"/>
        </w:rPr>
      </w:pPr>
    </w:p>
    <w:p w14:paraId="4C1EFA4E" w14:textId="77777777" w:rsidR="004F7307" w:rsidRPr="004F7307" w:rsidRDefault="004F7307" w:rsidP="00800FAD">
      <w:pPr>
        <w:autoSpaceDE w:val="0"/>
        <w:autoSpaceDN w:val="0"/>
        <w:jc w:val="center"/>
        <w:rPr>
          <w:rFonts w:eastAsia="Times New Roman" w:cs="Times New Roman"/>
          <w:sz w:val="24"/>
          <w:szCs w:val="24"/>
        </w:rPr>
      </w:pPr>
      <w:r w:rsidRPr="004F7307">
        <w:rPr>
          <w:rFonts w:eastAsia="Times New Roman" w:cs="Times New Roman"/>
          <w:noProof/>
          <w:sz w:val="24"/>
          <w:szCs w:val="24"/>
          <w:lang w:val="ru-RU" w:eastAsia="ru-RU"/>
        </w:rPr>
        <w:drawing>
          <wp:inline distT="0" distB="0" distL="0" distR="0" wp14:anchorId="6549DB6E" wp14:editId="6B7A8FE3">
            <wp:extent cx="5486400" cy="3543300"/>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B6E275" w14:textId="77777777" w:rsidR="00800FAD" w:rsidRDefault="00800FAD" w:rsidP="00800FAD">
      <w:pPr>
        <w:tabs>
          <w:tab w:val="left" w:pos="1721"/>
        </w:tabs>
        <w:autoSpaceDE w:val="0"/>
        <w:autoSpaceDN w:val="0"/>
        <w:jc w:val="both"/>
        <w:rPr>
          <w:rFonts w:eastAsia="Times New Roman" w:cs="Times New Roman"/>
          <w:bCs/>
          <w:sz w:val="24"/>
          <w:szCs w:val="24"/>
        </w:rPr>
      </w:pPr>
    </w:p>
    <w:p w14:paraId="40EDB58E" w14:textId="7492C8DF" w:rsidR="004F7307" w:rsidRPr="00800FAD" w:rsidRDefault="004F7307" w:rsidP="00800FAD">
      <w:pPr>
        <w:tabs>
          <w:tab w:val="left" w:pos="1721"/>
        </w:tabs>
        <w:autoSpaceDE w:val="0"/>
        <w:autoSpaceDN w:val="0"/>
        <w:jc w:val="center"/>
        <w:rPr>
          <w:rFonts w:eastAsia="Times New Roman" w:cs="Times New Roman"/>
          <w:b/>
          <w:bCs/>
          <w:sz w:val="24"/>
          <w:szCs w:val="24"/>
        </w:rPr>
      </w:pPr>
      <w:r w:rsidRPr="004F7307">
        <w:rPr>
          <w:rFonts w:eastAsia="Times New Roman" w:cs="Times New Roman"/>
          <w:b/>
          <w:bCs/>
          <w:i/>
          <w:iCs/>
          <w:sz w:val="24"/>
          <w:szCs w:val="24"/>
        </w:rPr>
        <w:t>Picture-6.</w:t>
      </w:r>
      <w:r w:rsidRPr="004F7307">
        <w:rPr>
          <w:rFonts w:eastAsia="Times New Roman" w:cs="Times New Roman"/>
          <w:b/>
          <w:bCs/>
          <w:sz w:val="24"/>
          <w:szCs w:val="24"/>
        </w:rPr>
        <w:t xml:space="preserve"> Products consumed by the population of different age categories with overweight and obesity.</w:t>
      </w:r>
    </w:p>
    <w:p w14:paraId="2DC8617C" w14:textId="77777777" w:rsidR="00800FAD" w:rsidRPr="004F7307" w:rsidRDefault="00800FAD" w:rsidP="004F7307">
      <w:pPr>
        <w:tabs>
          <w:tab w:val="left" w:pos="1721"/>
        </w:tabs>
        <w:autoSpaceDE w:val="0"/>
        <w:autoSpaceDN w:val="0"/>
        <w:ind w:firstLine="567"/>
        <w:jc w:val="both"/>
        <w:rPr>
          <w:rFonts w:eastAsia="Times New Roman" w:cs="Times New Roman"/>
          <w:sz w:val="24"/>
          <w:szCs w:val="24"/>
        </w:rPr>
      </w:pPr>
    </w:p>
    <w:p w14:paraId="320685DF" w14:textId="77777777" w:rsidR="00800FAD" w:rsidRDefault="00800FAD" w:rsidP="004F7307">
      <w:pPr>
        <w:ind w:firstLine="567"/>
        <w:jc w:val="both"/>
        <w:rPr>
          <w:rFonts w:eastAsia="Calibri" w:cs="Times New Roman"/>
          <w:b/>
          <w:bCs/>
          <w:sz w:val="24"/>
          <w:szCs w:val="24"/>
        </w:rPr>
        <w:sectPr w:rsidR="00800FAD" w:rsidSect="001B41EC">
          <w:type w:val="continuous"/>
          <w:pgSz w:w="11907" w:h="16840" w:code="9"/>
          <w:pgMar w:top="1418" w:right="1134" w:bottom="1134" w:left="1134" w:header="907" w:footer="794" w:gutter="0"/>
          <w:cols w:space="708"/>
          <w:docGrid w:linePitch="381"/>
        </w:sectPr>
      </w:pPr>
    </w:p>
    <w:p w14:paraId="7A5AD3BC" w14:textId="30B65A75" w:rsidR="004F7307" w:rsidRPr="004F7307" w:rsidRDefault="004F7307" w:rsidP="004F7307">
      <w:pPr>
        <w:ind w:firstLine="567"/>
        <w:jc w:val="both"/>
        <w:rPr>
          <w:rFonts w:eastAsia="Calibri" w:cs="Times New Roman"/>
          <w:sz w:val="24"/>
          <w:szCs w:val="24"/>
        </w:rPr>
      </w:pPr>
      <w:r w:rsidRPr="004F7307">
        <w:rPr>
          <w:rFonts w:eastAsia="Calibri" w:cs="Times New Roman"/>
          <w:b/>
          <w:bCs/>
          <w:sz w:val="24"/>
          <w:szCs w:val="24"/>
        </w:rPr>
        <w:t xml:space="preserve">Conclusion. </w:t>
      </w:r>
      <w:r w:rsidRPr="004F7307">
        <w:rPr>
          <w:rFonts w:eastAsia="Calibri" w:cs="Times New Roman"/>
          <w:sz w:val="24"/>
          <w:szCs w:val="24"/>
        </w:rPr>
        <w:t>The revealed data will fur</w:t>
      </w:r>
      <w:r w:rsidR="00800FAD">
        <w:rPr>
          <w:rFonts w:eastAsia="Calibri" w:cs="Times New Roman"/>
          <w:sz w:val="24"/>
          <w:szCs w:val="24"/>
        </w:rPr>
        <w:softHyphen/>
      </w:r>
      <w:r w:rsidRPr="004F7307">
        <w:rPr>
          <w:rFonts w:eastAsia="Calibri" w:cs="Times New Roman"/>
          <w:sz w:val="24"/>
          <w:szCs w:val="24"/>
        </w:rPr>
        <w:t>ther help general practitioners to eliminate the gaps in people with obesity of different age categories, taking into account the risks of pa</w:t>
      </w:r>
      <w:r w:rsidR="00800FAD">
        <w:rPr>
          <w:rFonts w:eastAsia="Calibri" w:cs="Times New Roman"/>
          <w:sz w:val="24"/>
          <w:szCs w:val="24"/>
        </w:rPr>
        <w:softHyphen/>
      </w:r>
      <w:r w:rsidRPr="004F7307">
        <w:rPr>
          <w:rFonts w:eastAsia="Calibri" w:cs="Times New Roman"/>
          <w:sz w:val="24"/>
          <w:szCs w:val="24"/>
        </w:rPr>
        <w:t>thology and nutrition of the population. Elimi</w:t>
      </w:r>
      <w:r w:rsidR="00800FAD">
        <w:rPr>
          <w:rFonts w:eastAsia="Calibri" w:cs="Times New Roman"/>
          <w:sz w:val="24"/>
          <w:szCs w:val="24"/>
        </w:rPr>
        <w:softHyphen/>
      </w:r>
      <w:r w:rsidRPr="004F7307">
        <w:rPr>
          <w:rFonts w:eastAsia="Calibri" w:cs="Times New Roman"/>
          <w:sz w:val="24"/>
          <w:szCs w:val="24"/>
        </w:rPr>
        <w:t xml:space="preserve">nating the problem of excess weight, timely </w:t>
      </w:r>
      <w:r w:rsidRPr="004F7307">
        <w:rPr>
          <w:rFonts w:eastAsia="Calibri" w:cs="Times New Roman"/>
          <w:sz w:val="24"/>
          <w:szCs w:val="24"/>
        </w:rPr>
        <w:t>implementation of preventive measures to pro</w:t>
      </w:r>
      <w:r w:rsidR="00800FAD">
        <w:rPr>
          <w:rFonts w:eastAsia="Calibri" w:cs="Times New Roman"/>
          <w:sz w:val="24"/>
          <w:szCs w:val="24"/>
        </w:rPr>
        <w:softHyphen/>
      </w:r>
      <w:r w:rsidRPr="004F7307">
        <w:rPr>
          <w:rFonts w:eastAsia="Calibri" w:cs="Times New Roman"/>
          <w:sz w:val="24"/>
          <w:szCs w:val="24"/>
        </w:rPr>
        <w:t>tect public health, maintain a healthy lifestyle, maintain healthy nutrition and physical activity among the population of the Republic of Uz</w:t>
      </w:r>
      <w:r w:rsidR="00800FAD">
        <w:rPr>
          <w:rFonts w:eastAsia="Calibri" w:cs="Times New Roman"/>
          <w:sz w:val="24"/>
          <w:szCs w:val="24"/>
        </w:rPr>
        <w:softHyphen/>
      </w:r>
      <w:r w:rsidRPr="004F7307">
        <w:rPr>
          <w:rFonts w:eastAsia="Calibri" w:cs="Times New Roman"/>
          <w:sz w:val="24"/>
          <w:szCs w:val="24"/>
        </w:rPr>
        <w:t>bekistan is one of the priority areas of medi</w:t>
      </w:r>
      <w:r w:rsidR="00800FAD">
        <w:rPr>
          <w:rFonts w:eastAsia="Calibri" w:cs="Times New Roman"/>
          <w:sz w:val="24"/>
          <w:szCs w:val="24"/>
        </w:rPr>
        <w:softHyphen/>
      </w:r>
      <w:r w:rsidRPr="004F7307">
        <w:rPr>
          <w:rFonts w:eastAsia="Calibri" w:cs="Times New Roman"/>
          <w:sz w:val="24"/>
          <w:szCs w:val="24"/>
        </w:rPr>
        <w:t>cine.</w:t>
      </w:r>
    </w:p>
    <w:p w14:paraId="0979DA9F" w14:textId="1B0CC538" w:rsidR="004F7307" w:rsidRDefault="00800FAD" w:rsidP="00800FAD">
      <w:pPr>
        <w:jc w:val="center"/>
        <w:rPr>
          <w:rFonts w:eastAsia="Calibri" w:cs="Times New Roman"/>
          <w:b/>
          <w:bCs/>
          <w:sz w:val="24"/>
          <w:szCs w:val="24"/>
          <w:lang w:val="ru-RU"/>
        </w:rPr>
      </w:pPr>
      <w:r w:rsidRPr="004F7307">
        <w:rPr>
          <w:rFonts w:eastAsia="Calibri" w:cs="Times New Roman"/>
          <w:b/>
          <w:bCs/>
          <w:sz w:val="24"/>
          <w:szCs w:val="24"/>
          <w:lang w:val="ru-RU"/>
        </w:rPr>
        <w:lastRenderedPageBreak/>
        <w:t>LITERATURE</w:t>
      </w:r>
    </w:p>
    <w:p w14:paraId="53F6B734" w14:textId="77777777" w:rsidR="00800FAD" w:rsidRPr="004F7307" w:rsidRDefault="00800FAD" w:rsidP="00800FAD">
      <w:pPr>
        <w:jc w:val="center"/>
        <w:rPr>
          <w:rFonts w:eastAsia="Calibri" w:cs="Times New Roman"/>
          <w:b/>
          <w:bCs/>
          <w:sz w:val="24"/>
          <w:szCs w:val="24"/>
        </w:rPr>
      </w:pPr>
    </w:p>
    <w:p w14:paraId="719F156C" w14:textId="2131B3C2" w:rsidR="00F45F40"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Batsukova N.L., Hygienic assessment of nutrition Minkh, A.A. General hygiene, 1984. S. 347–352.</w:t>
      </w:r>
    </w:p>
    <w:p w14:paraId="7F05D095" w14:textId="5699DFDE" w:rsidR="00F45F40"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Vasyukova O.V. Insulin, leptin, lipids and peripheral growth factors in childhood obesity, 2006; 24.</w:t>
      </w:r>
    </w:p>
    <w:p w14:paraId="1D1FEA2E" w14:textId="5F60B49E" w:rsidR="00F45F40"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 xml:space="preserve">World Health Organization, </w:t>
      </w:r>
      <w:r w:rsidR="00F44A75">
        <w:rPr>
          <w:rFonts w:eastAsia="Calibri" w:cs="Times New Roman"/>
          <w:sz w:val="24"/>
          <w:szCs w:val="24"/>
        </w:rPr>
        <w:t>“</w:t>
      </w:r>
      <w:r w:rsidRPr="00F45F40">
        <w:rPr>
          <w:rFonts w:eastAsia="Calibri" w:cs="Times New Roman"/>
          <w:sz w:val="24"/>
          <w:szCs w:val="24"/>
        </w:rPr>
        <w:t>Prevalence of risk factors for noncommunicable diseases in the Republic of Uzbekistan</w:t>
      </w:r>
      <w:r w:rsidR="00F44A75">
        <w:rPr>
          <w:rFonts w:eastAsia="Calibri" w:cs="Times New Roman"/>
          <w:sz w:val="24"/>
          <w:szCs w:val="24"/>
        </w:rPr>
        <w:t>”</w:t>
      </w:r>
      <w:r w:rsidRPr="00F45F40">
        <w:rPr>
          <w:rFonts w:eastAsia="Calibri" w:cs="Times New Roman"/>
          <w:sz w:val="24"/>
          <w:szCs w:val="24"/>
        </w:rPr>
        <w:t>, 2015</w:t>
      </w:r>
    </w:p>
    <w:p w14:paraId="6C679889" w14:textId="6D404C89" w:rsidR="00F45F40"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Lavinsky Kh. Kh., N. L. Batsukova, I. I. Kedrova Guidelines for monitoring the actual nutrition of school-age children, 2000. 30 p.</w:t>
      </w:r>
    </w:p>
    <w:p w14:paraId="5D53B7F4" w14:textId="348C109D" w:rsidR="00F45F40"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Pivovarov Yu. P., Hygiene and fundamentals of human ecology, 2004, pp. 148–207.</w:t>
      </w:r>
    </w:p>
    <w:p w14:paraId="21D6EE20" w14:textId="74EA9995" w:rsidR="004F7307" w:rsidRPr="00F45F40" w:rsidRDefault="00F45F40" w:rsidP="00F45F40">
      <w:pPr>
        <w:numPr>
          <w:ilvl w:val="0"/>
          <w:numId w:val="37"/>
        </w:numPr>
        <w:tabs>
          <w:tab w:val="left" w:pos="851"/>
        </w:tabs>
        <w:ind w:left="0" w:firstLine="567"/>
        <w:contextualSpacing/>
        <w:jc w:val="both"/>
        <w:rPr>
          <w:rFonts w:eastAsia="Calibri" w:cs="Times New Roman"/>
          <w:sz w:val="24"/>
          <w:szCs w:val="24"/>
        </w:rPr>
      </w:pPr>
      <w:r w:rsidRPr="00F45F40">
        <w:rPr>
          <w:rFonts w:eastAsia="Calibri" w:cs="Times New Roman"/>
          <w:sz w:val="24"/>
          <w:szCs w:val="24"/>
        </w:rPr>
        <w:t>Shaykhova G.I., Rakhimov B.B., Analysis of the incidence and prevalence of obesity in a group of children and adolescents living in the Republic of Uzbekistan, 2017.</w:t>
      </w:r>
    </w:p>
    <w:p w14:paraId="4D7A031D" w14:textId="6CF715D4" w:rsidR="004F7307" w:rsidRPr="004F7307" w:rsidRDefault="004F7307" w:rsidP="00800FAD">
      <w:pPr>
        <w:numPr>
          <w:ilvl w:val="0"/>
          <w:numId w:val="37"/>
        </w:numPr>
        <w:tabs>
          <w:tab w:val="left" w:pos="851"/>
        </w:tabs>
        <w:ind w:left="0" w:firstLine="567"/>
        <w:contextualSpacing/>
        <w:jc w:val="both"/>
        <w:rPr>
          <w:rFonts w:eastAsia="Calibri" w:cs="Times New Roman"/>
          <w:sz w:val="24"/>
          <w:szCs w:val="24"/>
        </w:rPr>
      </w:pPr>
      <w:r w:rsidRPr="004F7307">
        <w:rPr>
          <w:rFonts w:eastAsia="Calibri" w:cs="Times New Roman"/>
          <w:sz w:val="24"/>
          <w:szCs w:val="24"/>
        </w:rPr>
        <w:t>Kosti R.I., Panagiotakos D.B. The ep</w:t>
      </w:r>
      <w:r w:rsidR="00800FAD">
        <w:rPr>
          <w:rFonts w:eastAsia="Calibri" w:cs="Times New Roman"/>
          <w:sz w:val="24"/>
          <w:szCs w:val="24"/>
        </w:rPr>
        <w:softHyphen/>
      </w:r>
      <w:r w:rsidRPr="004F7307">
        <w:rPr>
          <w:rFonts w:eastAsia="Calibri" w:cs="Times New Roman"/>
          <w:sz w:val="24"/>
          <w:szCs w:val="24"/>
        </w:rPr>
        <w:t>idemic of obesity in children and adolescents in the world, 2006; 14 (4): 151–9.</w:t>
      </w:r>
    </w:p>
    <w:p w14:paraId="5CD63FEF" w14:textId="7E8DD5DD" w:rsidR="004F7307" w:rsidRPr="004F7307" w:rsidRDefault="004F7307" w:rsidP="00800FAD">
      <w:pPr>
        <w:numPr>
          <w:ilvl w:val="0"/>
          <w:numId w:val="37"/>
        </w:numPr>
        <w:tabs>
          <w:tab w:val="left" w:pos="851"/>
        </w:tabs>
        <w:ind w:left="0" w:firstLine="567"/>
        <w:contextualSpacing/>
        <w:jc w:val="both"/>
        <w:rPr>
          <w:rFonts w:eastAsia="Calibri" w:cs="Times New Roman"/>
          <w:sz w:val="24"/>
          <w:szCs w:val="24"/>
        </w:rPr>
      </w:pPr>
      <w:r w:rsidRPr="004F7307">
        <w:rPr>
          <w:rFonts w:eastAsia="Calibri" w:cs="Times New Roman"/>
          <w:sz w:val="24"/>
          <w:szCs w:val="24"/>
        </w:rPr>
        <w:t>Kavey R., Daniels S., Lauer R., et al. American Heart Association Guidelines for Primary Prevention of Atherosclerotic Cardio</w:t>
      </w:r>
      <w:r w:rsidR="00800FAD">
        <w:rPr>
          <w:rFonts w:eastAsia="Calibri" w:cs="Times New Roman"/>
          <w:sz w:val="24"/>
          <w:szCs w:val="24"/>
        </w:rPr>
        <w:softHyphen/>
      </w:r>
      <w:r w:rsidRPr="004F7307">
        <w:rPr>
          <w:rFonts w:eastAsia="Calibri" w:cs="Times New Roman"/>
          <w:sz w:val="24"/>
          <w:szCs w:val="24"/>
        </w:rPr>
        <w:t>vascular Disease Beginning in</w:t>
      </w:r>
    </w:p>
    <w:p w14:paraId="225F89D8" w14:textId="26C9C5A2" w:rsidR="004F7307" w:rsidRPr="004F7307" w:rsidRDefault="004F7307" w:rsidP="00800FAD">
      <w:pPr>
        <w:numPr>
          <w:ilvl w:val="0"/>
          <w:numId w:val="37"/>
        </w:numPr>
        <w:tabs>
          <w:tab w:val="left" w:pos="851"/>
        </w:tabs>
        <w:ind w:left="0" w:firstLine="567"/>
        <w:contextualSpacing/>
        <w:jc w:val="both"/>
        <w:rPr>
          <w:rFonts w:eastAsia="Calibri" w:cs="Times New Roman"/>
          <w:sz w:val="24"/>
          <w:szCs w:val="24"/>
        </w:rPr>
      </w:pPr>
      <w:r w:rsidRPr="004F7307">
        <w:rPr>
          <w:rFonts w:eastAsia="Calibri" w:cs="Times New Roman"/>
          <w:sz w:val="24"/>
          <w:szCs w:val="24"/>
        </w:rPr>
        <w:t>Moreno L.A., Rodriguez G. Dietary risk factors for development of childhood obe</w:t>
      </w:r>
      <w:r w:rsidR="00800FAD">
        <w:rPr>
          <w:rFonts w:eastAsia="Calibri" w:cs="Times New Roman"/>
          <w:sz w:val="24"/>
          <w:szCs w:val="24"/>
        </w:rPr>
        <w:softHyphen/>
      </w:r>
      <w:r w:rsidRPr="004F7307">
        <w:rPr>
          <w:rFonts w:eastAsia="Calibri" w:cs="Times New Roman"/>
          <w:sz w:val="24"/>
          <w:szCs w:val="24"/>
        </w:rPr>
        <w:t>sity, 2007; 10(3): 336–41.</w:t>
      </w:r>
    </w:p>
    <w:p w14:paraId="4637EB06" w14:textId="50DC428E" w:rsidR="004F7307" w:rsidRPr="004F7307" w:rsidRDefault="004F7307" w:rsidP="00800FAD">
      <w:pPr>
        <w:numPr>
          <w:ilvl w:val="0"/>
          <w:numId w:val="37"/>
        </w:numPr>
        <w:tabs>
          <w:tab w:val="left" w:pos="993"/>
        </w:tabs>
        <w:ind w:left="0" w:firstLine="567"/>
        <w:contextualSpacing/>
        <w:jc w:val="both"/>
        <w:rPr>
          <w:rFonts w:eastAsia="Calibri" w:cs="Times New Roman"/>
          <w:sz w:val="24"/>
          <w:szCs w:val="24"/>
        </w:rPr>
      </w:pPr>
      <w:r w:rsidRPr="004F7307">
        <w:rPr>
          <w:rFonts w:eastAsia="Calibri" w:cs="Times New Roman"/>
          <w:sz w:val="24"/>
          <w:szCs w:val="24"/>
        </w:rPr>
        <w:t>Szurkowska M., Szafraniek U., Gil</w:t>
      </w:r>
      <w:r w:rsidR="00800FAD">
        <w:rPr>
          <w:rFonts w:eastAsia="Calibri" w:cs="Times New Roman"/>
          <w:sz w:val="24"/>
          <w:szCs w:val="24"/>
        </w:rPr>
        <w:softHyphen/>
      </w:r>
      <w:r w:rsidRPr="004F7307">
        <w:rPr>
          <w:rFonts w:eastAsia="Calibri" w:cs="Times New Roman"/>
          <w:sz w:val="24"/>
          <w:szCs w:val="24"/>
        </w:rPr>
        <w:t>lis-Jameszemska A., et al. Metabolic hazards of obesity, 2006; 21: 141.</w:t>
      </w:r>
    </w:p>
    <w:p w14:paraId="3F4A79AE" w14:textId="77777777" w:rsidR="00800FAD" w:rsidRPr="00800FAD" w:rsidRDefault="00800FAD" w:rsidP="004F7307">
      <w:pPr>
        <w:ind w:firstLine="567"/>
        <w:jc w:val="both"/>
        <w:rPr>
          <w:rFonts w:eastAsia="Calibri" w:cs="Times New Roman"/>
          <w:b/>
          <w:bCs/>
          <w:sz w:val="24"/>
          <w:szCs w:val="24"/>
        </w:rPr>
        <w:sectPr w:rsidR="00800FAD" w:rsidRPr="00800FAD" w:rsidSect="00800FAD">
          <w:type w:val="continuous"/>
          <w:pgSz w:w="11907" w:h="16840" w:code="9"/>
          <w:pgMar w:top="1418" w:right="1134" w:bottom="1134" w:left="1134" w:header="907" w:footer="794" w:gutter="0"/>
          <w:cols w:num="2" w:space="708"/>
          <w:docGrid w:linePitch="381"/>
        </w:sectPr>
      </w:pPr>
    </w:p>
    <w:p w14:paraId="6A4030ED" w14:textId="77777777" w:rsidR="004F7307" w:rsidRPr="004F7307" w:rsidRDefault="004F7307" w:rsidP="004F7307">
      <w:pPr>
        <w:ind w:firstLine="567"/>
        <w:jc w:val="both"/>
        <w:rPr>
          <w:rFonts w:eastAsia="Calibri" w:cs="Times New Roman"/>
          <w:b/>
          <w:bCs/>
          <w:sz w:val="24"/>
          <w:szCs w:val="24"/>
        </w:rPr>
      </w:pPr>
    </w:p>
    <w:p w14:paraId="3BA1D594" w14:textId="77777777" w:rsidR="004F7307" w:rsidRPr="004F7307" w:rsidRDefault="004F7307" w:rsidP="004F7307">
      <w:pPr>
        <w:ind w:firstLine="567"/>
        <w:jc w:val="both"/>
        <w:rPr>
          <w:rFonts w:eastAsia="Calibri" w:cs="Times New Roman"/>
          <w:b/>
          <w:bCs/>
          <w:sz w:val="24"/>
          <w:szCs w:val="24"/>
        </w:rPr>
      </w:pPr>
    </w:p>
    <w:p w14:paraId="27EFCE6C" w14:textId="35CED0EA" w:rsidR="0002083A" w:rsidRPr="004F7307" w:rsidRDefault="0002083A" w:rsidP="004F7307">
      <w:pPr>
        <w:ind w:firstLine="567"/>
        <w:jc w:val="both"/>
        <w:rPr>
          <w:rFonts w:cs="Times New Roman"/>
          <w:sz w:val="24"/>
          <w:szCs w:val="24"/>
          <w:lang w:val="uz-Latn-UZ"/>
        </w:rPr>
      </w:pPr>
    </w:p>
    <w:p w14:paraId="5A316604" w14:textId="34238C75" w:rsidR="0002083A" w:rsidRPr="004F7307" w:rsidRDefault="0002083A" w:rsidP="004F7307">
      <w:pPr>
        <w:ind w:firstLine="567"/>
        <w:jc w:val="both"/>
        <w:rPr>
          <w:rFonts w:cs="Times New Roman"/>
          <w:sz w:val="24"/>
          <w:szCs w:val="24"/>
          <w:lang w:val="uz-Latn-UZ"/>
        </w:rPr>
      </w:pPr>
    </w:p>
    <w:p w14:paraId="52D038A6" w14:textId="191A1179" w:rsidR="0002083A" w:rsidRPr="004F7307" w:rsidRDefault="0002083A" w:rsidP="004F7307">
      <w:pPr>
        <w:ind w:firstLine="567"/>
        <w:jc w:val="both"/>
        <w:rPr>
          <w:rFonts w:cs="Times New Roman"/>
          <w:sz w:val="24"/>
          <w:szCs w:val="24"/>
          <w:lang w:val="uz-Latn-UZ"/>
        </w:rPr>
      </w:pPr>
    </w:p>
    <w:p w14:paraId="181D0848" w14:textId="2CD363E9" w:rsidR="0002083A" w:rsidRPr="004F7307" w:rsidRDefault="0002083A" w:rsidP="004F7307">
      <w:pPr>
        <w:ind w:firstLine="567"/>
        <w:jc w:val="both"/>
        <w:rPr>
          <w:rFonts w:cs="Times New Roman"/>
          <w:sz w:val="24"/>
          <w:szCs w:val="24"/>
          <w:lang w:val="uz-Latn-UZ"/>
        </w:rPr>
      </w:pPr>
    </w:p>
    <w:p w14:paraId="44ACAC7F" w14:textId="2F626F96" w:rsidR="0002083A" w:rsidRDefault="0002083A" w:rsidP="00C51D8C">
      <w:pPr>
        <w:ind w:firstLine="567"/>
        <w:jc w:val="both"/>
        <w:rPr>
          <w:sz w:val="24"/>
          <w:lang w:val="uz-Latn-UZ"/>
        </w:rPr>
      </w:pPr>
    </w:p>
    <w:p w14:paraId="6E5F9319" w14:textId="639B1C78" w:rsidR="0002083A" w:rsidRDefault="0002083A" w:rsidP="00C51D8C">
      <w:pPr>
        <w:ind w:firstLine="567"/>
        <w:jc w:val="both"/>
        <w:rPr>
          <w:sz w:val="24"/>
          <w:lang w:val="uz-Latn-UZ"/>
        </w:rPr>
      </w:pPr>
    </w:p>
    <w:p w14:paraId="50A00122" w14:textId="25585184" w:rsidR="0002083A" w:rsidRDefault="0002083A" w:rsidP="00C51D8C">
      <w:pPr>
        <w:ind w:firstLine="567"/>
        <w:jc w:val="both"/>
        <w:rPr>
          <w:sz w:val="24"/>
          <w:lang w:val="uz-Latn-UZ"/>
        </w:rPr>
      </w:pPr>
    </w:p>
    <w:p w14:paraId="483BF877" w14:textId="3FB7B9F5" w:rsidR="0002083A" w:rsidRDefault="0002083A" w:rsidP="00C51D8C">
      <w:pPr>
        <w:ind w:firstLine="567"/>
        <w:jc w:val="both"/>
        <w:rPr>
          <w:sz w:val="24"/>
          <w:lang w:val="uz-Latn-UZ"/>
        </w:rPr>
      </w:pPr>
    </w:p>
    <w:p w14:paraId="0665C5D9" w14:textId="0963C125" w:rsidR="0002083A" w:rsidRDefault="0002083A" w:rsidP="00C51D8C">
      <w:pPr>
        <w:ind w:firstLine="567"/>
        <w:jc w:val="both"/>
        <w:rPr>
          <w:sz w:val="24"/>
          <w:lang w:val="uz-Latn-UZ"/>
        </w:rPr>
      </w:pPr>
    </w:p>
    <w:p w14:paraId="52F55B77" w14:textId="29C2D8D2" w:rsidR="0002083A" w:rsidRDefault="0002083A" w:rsidP="00C51D8C">
      <w:pPr>
        <w:ind w:firstLine="567"/>
        <w:jc w:val="both"/>
        <w:rPr>
          <w:sz w:val="24"/>
          <w:lang w:val="uz-Latn-UZ"/>
        </w:rPr>
      </w:pPr>
    </w:p>
    <w:p w14:paraId="3304BC0B" w14:textId="57AEBDF9" w:rsidR="0002083A" w:rsidRDefault="0002083A" w:rsidP="00C51D8C">
      <w:pPr>
        <w:ind w:firstLine="567"/>
        <w:jc w:val="both"/>
        <w:rPr>
          <w:sz w:val="24"/>
          <w:lang w:val="uz-Latn-UZ"/>
        </w:rPr>
      </w:pPr>
    </w:p>
    <w:p w14:paraId="65BADA56" w14:textId="4C571020" w:rsidR="0002083A" w:rsidRDefault="0002083A" w:rsidP="00C51D8C">
      <w:pPr>
        <w:ind w:firstLine="567"/>
        <w:jc w:val="both"/>
        <w:rPr>
          <w:sz w:val="24"/>
          <w:lang w:val="uz-Latn-UZ"/>
        </w:rPr>
      </w:pPr>
    </w:p>
    <w:p w14:paraId="43127145" w14:textId="35902F25" w:rsidR="0002083A" w:rsidRDefault="0002083A" w:rsidP="00C51D8C">
      <w:pPr>
        <w:ind w:firstLine="567"/>
        <w:jc w:val="both"/>
        <w:rPr>
          <w:sz w:val="24"/>
          <w:lang w:val="uz-Latn-UZ"/>
        </w:rPr>
      </w:pPr>
    </w:p>
    <w:p w14:paraId="776D786D" w14:textId="3DB1F392" w:rsidR="0002083A" w:rsidRDefault="0002083A" w:rsidP="00C51D8C">
      <w:pPr>
        <w:ind w:firstLine="567"/>
        <w:jc w:val="both"/>
        <w:rPr>
          <w:sz w:val="24"/>
          <w:lang w:val="uz-Latn-UZ"/>
        </w:rPr>
      </w:pPr>
    </w:p>
    <w:p w14:paraId="6ED9F92F" w14:textId="3B39756A" w:rsidR="0002083A" w:rsidRDefault="0002083A" w:rsidP="00C51D8C">
      <w:pPr>
        <w:ind w:firstLine="567"/>
        <w:jc w:val="both"/>
        <w:rPr>
          <w:sz w:val="24"/>
          <w:lang w:val="uz-Latn-UZ"/>
        </w:rPr>
      </w:pPr>
    </w:p>
    <w:p w14:paraId="265A285E" w14:textId="6BCB7536" w:rsidR="0002083A" w:rsidRDefault="0002083A" w:rsidP="00C51D8C">
      <w:pPr>
        <w:ind w:firstLine="567"/>
        <w:jc w:val="both"/>
        <w:rPr>
          <w:sz w:val="24"/>
          <w:lang w:val="uz-Latn-UZ"/>
        </w:rPr>
      </w:pPr>
    </w:p>
    <w:p w14:paraId="775C9B5D" w14:textId="36C13DA4" w:rsidR="0002083A" w:rsidRDefault="0002083A" w:rsidP="00C51D8C">
      <w:pPr>
        <w:ind w:firstLine="567"/>
        <w:jc w:val="both"/>
        <w:rPr>
          <w:sz w:val="24"/>
          <w:lang w:val="uz-Latn-UZ"/>
        </w:rPr>
      </w:pPr>
    </w:p>
    <w:p w14:paraId="2E6683FC" w14:textId="2DE2385C" w:rsidR="0002083A" w:rsidRDefault="0002083A" w:rsidP="00C51D8C">
      <w:pPr>
        <w:ind w:firstLine="567"/>
        <w:jc w:val="both"/>
        <w:rPr>
          <w:sz w:val="24"/>
          <w:lang w:val="uz-Latn-UZ"/>
        </w:rPr>
      </w:pPr>
    </w:p>
    <w:p w14:paraId="5A98E4C8" w14:textId="77777777" w:rsidR="0002083A" w:rsidRPr="00E0463D" w:rsidRDefault="0002083A" w:rsidP="00C51D8C">
      <w:pPr>
        <w:ind w:firstLine="567"/>
        <w:jc w:val="both"/>
        <w:rPr>
          <w:sz w:val="24"/>
          <w:lang w:val="uz-Latn-UZ"/>
        </w:rPr>
      </w:pPr>
    </w:p>
    <w:p w14:paraId="0327A814" w14:textId="2367A8FC" w:rsidR="00F50458" w:rsidRPr="00E0463D" w:rsidRDefault="00F50458" w:rsidP="00C51D8C">
      <w:pPr>
        <w:ind w:firstLine="567"/>
        <w:jc w:val="both"/>
        <w:rPr>
          <w:sz w:val="24"/>
          <w:lang w:val="uz-Latn-UZ"/>
        </w:rPr>
      </w:pPr>
    </w:p>
    <w:p w14:paraId="5ACA9B59" w14:textId="29B680F9" w:rsidR="00F50458" w:rsidRPr="00E0463D" w:rsidRDefault="00F50458" w:rsidP="00C51D8C">
      <w:pPr>
        <w:ind w:firstLine="567"/>
        <w:jc w:val="both"/>
        <w:rPr>
          <w:sz w:val="24"/>
          <w:lang w:val="uz-Latn-UZ"/>
        </w:rPr>
      </w:pPr>
    </w:p>
    <w:p w14:paraId="597E898D" w14:textId="666FCFCB" w:rsidR="00F50458" w:rsidRPr="00E0463D" w:rsidRDefault="00F50458" w:rsidP="00C51D8C">
      <w:pPr>
        <w:ind w:firstLine="567"/>
        <w:jc w:val="both"/>
        <w:rPr>
          <w:sz w:val="24"/>
          <w:lang w:val="uz-Latn-UZ"/>
        </w:rPr>
      </w:pPr>
    </w:p>
    <w:p w14:paraId="6A839C53" w14:textId="56110679" w:rsidR="00F50458" w:rsidRPr="00E0463D" w:rsidRDefault="00F50458" w:rsidP="00C51D8C">
      <w:pPr>
        <w:ind w:firstLine="567"/>
        <w:jc w:val="both"/>
        <w:rPr>
          <w:sz w:val="24"/>
          <w:lang w:val="uz-Latn-UZ"/>
        </w:rPr>
      </w:pPr>
    </w:p>
    <w:p w14:paraId="6632467E" w14:textId="31C73740" w:rsidR="00F50458" w:rsidRPr="00E0463D" w:rsidRDefault="00F50458" w:rsidP="00C51D8C">
      <w:pPr>
        <w:ind w:firstLine="567"/>
        <w:jc w:val="both"/>
        <w:rPr>
          <w:sz w:val="24"/>
          <w:lang w:val="uz-Latn-UZ"/>
        </w:rPr>
      </w:pPr>
    </w:p>
    <w:p w14:paraId="429F662B" w14:textId="781F6A3E" w:rsidR="00F50458" w:rsidRPr="00E0463D" w:rsidRDefault="00F50458" w:rsidP="00C51D8C">
      <w:pPr>
        <w:ind w:firstLine="567"/>
        <w:jc w:val="both"/>
        <w:rPr>
          <w:sz w:val="24"/>
          <w:lang w:val="uz-Latn-UZ"/>
        </w:rPr>
      </w:pPr>
    </w:p>
    <w:p w14:paraId="683BB891" w14:textId="5624902E" w:rsidR="00F50458" w:rsidRPr="00E0463D" w:rsidRDefault="00F50458" w:rsidP="00C51D8C">
      <w:pPr>
        <w:ind w:firstLine="567"/>
        <w:jc w:val="both"/>
        <w:rPr>
          <w:sz w:val="24"/>
          <w:lang w:val="uz-Latn-UZ"/>
        </w:rPr>
      </w:pPr>
    </w:p>
    <w:p w14:paraId="53BC1811" w14:textId="71F41878" w:rsidR="00F50458" w:rsidRPr="00E0463D" w:rsidRDefault="00F50458" w:rsidP="00C51D8C">
      <w:pPr>
        <w:ind w:firstLine="567"/>
        <w:jc w:val="both"/>
        <w:rPr>
          <w:sz w:val="24"/>
          <w:lang w:val="uz-Latn-UZ"/>
        </w:rPr>
      </w:pPr>
    </w:p>
    <w:p w14:paraId="3C5B9AB2" w14:textId="214A761C" w:rsidR="00F50458" w:rsidRPr="00E0463D" w:rsidRDefault="00F50458" w:rsidP="00C51D8C">
      <w:pPr>
        <w:ind w:firstLine="567"/>
        <w:jc w:val="both"/>
        <w:rPr>
          <w:sz w:val="24"/>
          <w:lang w:val="uz-Latn-UZ"/>
        </w:rPr>
      </w:pPr>
    </w:p>
    <w:p w14:paraId="40A1C2AD" w14:textId="18B62AA9" w:rsidR="00F50458" w:rsidRPr="00E0463D" w:rsidRDefault="00F50458" w:rsidP="00C51D8C">
      <w:pPr>
        <w:ind w:firstLine="567"/>
        <w:jc w:val="both"/>
        <w:rPr>
          <w:sz w:val="24"/>
          <w:lang w:val="uz-Latn-UZ"/>
        </w:rPr>
      </w:pPr>
    </w:p>
    <w:p w14:paraId="1F8F57A2" w14:textId="5921AB35" w:rsidR="00F50458" w:rsidRPr="00E0463D" w:rsidRDefault="00F50458" w:rsidP="00C51D8C">
      <w:pPr>
        <w:ind w:firstLine="567"/>
        <w:jc w:val="both"/>
        <w:rPr>
          <w:sz w:val="24"/>
          <w:lang w:val="uz-Latn-UZ"/>
        </w:rPr>
      </w:pPr>
    </w:p>
    <w:p w14:paraId="75FEFB23" w14:textId="62D359F2" w:rsidR="00B53C0B" w:rsidRPr="00B53C0B" w:rsidRDefault="00B53C0B" w:rsidP="00752EAA">
      <w:pPr>
        <w:pStyle w:val="1"/>
        <w:rPr>
          <w:rFonts w:eastAsia="Calibri"/>
        </w:rPr>
      </w:pPr>
      <w:bookmarkStart w:id="22" w:name="_Toc104745741"/>
      <w:r w:rsidRPr="00B53C0B">
        <w:rPr>
          <w:rFonts w:eastAsia="Calibri"/>
        </w:rPr>
        <w:lastRenderedPageBreak/>
        <w:t xml:space="preserve">STUDY AND ANALYSIS OF THE ANTHROPOMETRIC INDICATORS OF THE </w:t>
      </w:r>
      <w:r>
        <w:rPr>
          <w:rFonts w:eastAsia="Calibri"/>
        </w:rPr>
        <w:t xml:space="preserve">    </w:t>
      </w:r>
      <w:r w:rsidRPr="00B53C0B">
        <w:rPr>
          <w:rFonts w:eastAsia="Calibri"/>
        </w:rPr>
        <w:t>COVID-19 PATIENTS</w:t>
      </w:r>
      <w:bookmarkEnd w:id="22"/>
    </w:p>
    <w:p w14:paraId="247A5ED4" w14:textId="77777777" w:rsidR="00B53C0B" w:rsidRDefault="00B53C0B" w:rsidP="00735EB7">
      <w:pPr>
        <w:spacing w:line="300" w:lineRule="auto"/>
        <w:jc w:val="center"/>
        <w:rPr>
          <w:rFonts w:eastAsia="Calibri" w:cs="Times New Roman"/>
          <w:sz w:val="24"/>
          <w:szCs w:val="24"/>
        </w:rPr>
      </w:pPr>
    </w:p>
    <w:p w14:paraId="51F5720A" w14:textId="568E19A3" w:rsidR="00B53C0B" w:rsidRPr="00B53C0B" w:rsidRDefault="00B53C0B" w:rsidP="00735EB7">
      <w:pPr>
        <w:spacing w:line="300" w:lineRule="auto"/>
        <w:jc w:val="center"/>
        <w:rPr>
          <w:rFonts w:eastAsia="Calibri" w:cs="Times New Roman"/>
          <w:b/>
          <w:bCs/>
          <w:sz w:val="24"/>
          <w:szCs w:val="24"/>
        </w:rPr>
      </w:pPr>
      <w:r w:rsidRPr="00B53C0B">
        <w:rPr>
          <w:rFonts w:eastAsia="Calibri" w:cs="Times New Roman"/>
          <w:b/>
          <w:bCs/>
          <w:sz w:val="24"/>
          <w:szCs w:val="24"/>
        </w:rPr>
        <w:t>Ortikov Bobomurod Baymamatovich</w:t>
      </w:r>
    </w:p>
    <w:p w14:paraId="5024BB14" w14:textId="301DDEF5" w:rsidR="00B53C0B" w:rsidRPr="00B53C0B" w:rsidRDefault="00B53C0B" w:rsidP="00735EB7">
      <w:pPr>
        <w:spacing w:line="300" w:lineRule="auto"/>
        <w:jc w:val="center"/>
        <w:rPr>
          <w:rFonts w:eastAsia="Calibri" w:cs="Times New Roman"/>
          <w:sz w:val="24"/>
          <w:szCs w:val="24"/>
        </w:rPr>
      </w:pPr>
      <w:r w:rsidRPr="00B53C0B">
        <w:rPr>
          <w:rFonts w:eastAsia="Calibri" w:cs="Times New Roman"/>
          <w:sz w:val="24"/>
          <w:szCs w:val="24"/>
        </w:rPr>
        <w:t>Tashkent Medical Academy</w:t>
      </w:r>
      <w:r>
        <w:rPr>
          <w:rFonts w:eastAsia="Calibri" w:cs="Times New Roman"/>
          <w:sz w:val="24"/>
          <w:szCs w:val="24"/>
        </w:rPr>
        <w:t xml:space="preserve">, </w:t>
      </w:r>
      <w:r w:rsidRPr="00B53C0B">
        <w:rPr>
          <w:rFonts w:eastAsia="Calibri" w:cs="Times New Roman"/>
          <w:sz w:val="24"/>
          <w:szCs w:val="24"/>
        </w:rPr>
        <w:t>Tashkent, Uzbekistan</w:t>
      </w:r>
    </w:p>
    <w:p w14:paraId="13F5332A" w14:textId="77777777" w:rsidR="00B53C0B" w:rsidRDefault="00B53C0B" w:rsidP="00735EB7">
      <w:pPr>
        <w:spacing w:line="300" w:lineRule="auto"/>
        <w:ind w:firstLine="567"/>
        <w:jc w:val="both"/>
        <w:rPr>
          <w:rFonts w:eastAsia="Calibri" w:cs="Times New Roman"/>
          <w:b/>
          <w:sz w:val="24"/>
          <w:szCs w:val="24"/>
        </w:rPr>
      </w:pPr>
    </w:p>
    <w:p w14:paraId="5C7B081F" w14:textId="31134DD7" w:rsidR="00B53C0B" w:rsidRPr="00B53C0B" w:rsidRDefault="00B53C0B" w:rsidP="00735EB7">
      <w:pPr>
        <w:spacing w:line="300" w:lineRule="auto"/>
        <w:ind w:firstLine="567"/>
        <w:jc w:val="both"/>
        <w:rPr>
          <w:rFonts w:eastAsia="Calibri" w:cs="Times New Roman"/>
          <w:i/>
          <w:iCs/>
          <w:sz w:val="24"/>
          <w:szCs w:val="24"/>
        </w:rPr>
      </w:pPr>
      <w:r w:rsidRPr="00B53C0B">
        <w:rPr>
          <w:rFonts w:eastAsia="Calibri" w:cs="Times New Roman"/>
          <w:b/>
          <w:i/>
          <w:iCs/>
          <w:sz w:val="24"/>
          <w:szCs w:val="24"/>
        </w:rPr>
        <w:t xml:space="preserve">Abstract. </w:t>
      </w:r>
      <w:r w:rsidRPr="00B53C0B">
        <w:rPr>
          <w:rFonts w:eastAsia="Calibri" w:cs="Times New Roman"/>
          <w:i/>
          <w:iCs/>
          <w:sz w:val="24"/>
          <w:szCs w:val="24"/>
        </w:rPr>
        <w:t xml:space="preserve">The average age of patients was 51.6 ± 0.82 (men </w:t>
      </w:r>
      <w:r w:rsidR="00F44A75">
        <w:rPr>
          <w:rFonts w:eastAsia="Calibri" w:cs="Times New Roman"/>
          <w:i/>
          <w:iCs/>
          <w:sz w:val="24"/>
          <w:szCs w:val="24"/>
        </w:rPr>
        <w:t>–</w:t>
      </w:r>
      <w:r w:rsidRPr="00B53C0B">
        <w:rPr>
          <w:rFonts w:eastAsia="Calibri" w:cs="Times New Roman"/>
          <w:i/>
          <w:iCs/>
          <w:sz w:val="24"/>
          <w:szCs w:val="24"/>
        </w:rPr>
        <w:t xml:space="preserve"> 51.6 ± 2.70, women </w:t>
      </w:r>
      <w:r w:rsidR="00F44A75">
        <w:rPr>
          <w:rFonts w:eastAsia="Calibri" w:cs="Times New Roman"/>
          <w:i/>
          <w:iCs/>
          <w:sz w:val="24"/>
          <w:szCs w:val="24"/>
        </w:rPr>
        <w:t>–</w:t>
      </w:r>
      <w:r w:rsidRPr="00B53C0B">
        <w:rPr>
          <w:rFonts w:eastAsia="Calibri" w:cs="Times New Roman"/>
          <w:i/>
          <w:iCs/>
          <w:sz w:val="24"/>
          <w:szCs w:val="24"/>
        </w:rPr>
        <w:t xml:space="preserve"> 54.7 ± 1.48), body mass index (BMI) was 27.3 ± 3.926. It should be noted that the prevalence and severity of the disease were higher in overweight patients.</w:t>
      </w:r>
    </w:p>
    <w:p w14:paraId="76F37E40" w14:textId="67082CB8" w:rsidR="00B53C0B" w:rsidRPr="00B53C0B" w:rsidRDefault="00B53C0B" w:rsidP="00735EB7">
      <w:pPr>
        <w:spacing w:line="300" w:lineRule="auto"/>
        <w:ind w:firstLine="567"/>
        <w:jc w:val="both"/>
        <w:rPr>
          <w:rFonts w:eastAsia="Calibri" w:cs="Times New Roman"/>
          <w:i/>
          <w:iCs/>
          <w:sz w:val="24"/>
          <w:szCs w:val="24"/>
        </w:rPr>
      </w:pPr>
      <w:r w:rsidRPr="00B53C0B">
        <w:rPr>
          <w:rFonts w:eastAsia="Calibri" w:cs="Times New Roman"/>
          <w:i/>
          <w:iCs/>
          <w:sz w:val="24"/>
          <w:szCs w:val="24"/>
        </w:rPr>
        <w:t>The study analyzed the incidence of the disease by dividing into age groups of 938 patients (375 males and 563 females) at the 1</w:t>
      </w:r>
      <w:r w:rsidRPr="00B53C0B">
        <w:rPr>
          <w:rFonts w:eastAsia="Calibri" w:cs="Times New Roman"/>
          <w:i/>
          <w:iCs/>
          <w:sz w:val="24"/>
          <w:szCs w:val="24"/>
          <w:vertAlign w:val="superscript"/>
        </w:rPr>
        <w:t>st</w:t>
      </w:r>
      <w:r w:rsidRPr="00B53C0B">
        <w:rPr>
          <w:rFonts w:eastAsia="Calibri" w:cs="Times New Roman"/>
          <w:i/>
          <w:iCs/>
          <w:sz w:val="24"/>
          <w:szCs w:val="24"/>
        </w:rPr>
        <w:t xml:space="preserve"> and 2</w:t>
      </w:r>
      <w:r w:rsidRPr="00B53C0B">
        <w:rPr>
          <w:rFonts w:eastAsia="Calibri" w:cs="Times New Roman"/>
          <w:i/>
          <w:iCs/>
          <w:sz w:val="24"/>
          <w:szCs w:val="24"/>
          <w:vertAlign w:val="superscript"/>
        </w:rPr>
        <w:t>nd</w:t>
      </w:r>
      <w:r w:rsidRPr="00B53C0B">
        <w:rPr>
          <w:rFonts w:eastAsia="Calibri" w:cs="Times New Roman"/>
          <w:i/>
          <w:iCs/>
          <w:sz w:val="24"/>
          <w:szCs w:val="24"/>
        </w:rPr>
        <w:t xml:space="preserve"> Infectious Diseases Hospitals in Zangiota district of Tashkent region; 1</w:t>
      </w:r>
      <w:r w:rsidRPr="00B53C0B">
        <w:rPr>
          <w:rFonts w:eastAsia="Calibri" w:cs="Times New Roman"/>
          <w:i/>
          <w:iCs/>
          <w:sz w:val="24"/>
          <w:szCs w:val="24"/>
          <w:vertAlign w:val="superscript"/>
        </w:rPr>
        <w:t>st</w:t>
      </w:r>
      <w:r w:rsidRPr="00B53C0B">
        <w:rPr>
          <w:rFonts w:eastAsia="Calibri" w:cs="Times New Roman"/>
          <w:i/>
          <w:iCs/>
          <w:sz w:val="24"/>
          <w:szCs w:val="24"/>
        </w:rPr>
        <w:t xml:space="preserve"> group included patients until 18 years of age and it consisted 4.1%, 2</w:t>
      </w:r>
      <w:r w:rsidRPr="00B53C0B">
        <w:rPr>
          <w:rFonts w:eastAsia="Calibri" w:cs="Times New Roman"/>
          <w:i/>
          <w:iCs/>
          <w:sz w:val="24"/>
          <w:szCs w:val="24"/>
          <w:vertAlign w:val="superscript"/>
        </w:rPr>
        <w:t>nd</w:t>
      </w:r>
      <w:r w:rsidRPr="00B53C0B">
        <w:rPr>
          <w:rFonts w:eastAsia="Calibri" w:cs="Times New Roman"/>
          <w:i/>
          <w:iCs/>
          <w:sz w:val="24"/>
          <w:szCs w:val="24"/>
        </w:rPr>
        <w:t xml:space="preserve"> group included patients from 18 up to 29 years of age, it consisted 5.7%, 3</w:t>
      </w:r>
      <w:r w:rsidRPr="00F44A75">
        <w:rPr>
          <w:rFonts w:eastAsia="Calibri" w:cs="Times New Roman"/>
          <w:i/>
          <w:iCs/>
          <w:sz w:val="24"/>
          <w:szCs w:val="24"/>
          <w:vertAlign w:val="superscript"/>
        </w:rPr>
        <w:t>rd</w:t>
      </w:r>
      <w:r w:rsidRPr="00B53C0B">
        <w:rPr>
          <w:rFonts w:eastAsia="Calibri" w:cs="Times New Roman"/>
          <w:i/>
          <w:iCs/>
          <w:sz w:val="24"/>
          <w:szCs w:val="24"/>
        </w:rPr>
        <w:t xml:space="preserve"> group was 12.3% of those aged 30-39, the highest rate was 40-59 in group no.4 </w:t>
      </w:r>
      <w:r w:rsidR="00F44A75">
        <w:rPr>
          <w:rFonts w:eastAsia="Calibri" w:cs="Times New Roman"/>
          <w:i/>
          <w:iCs/>
          <w:sz w:val="24"/>
          <w:szCs w:val="24"/>
        </w:rPr>
        <w:t>–</w:t>
      </w:r>
      <w:r w:rsidRPr="00B53C0B">
        <w:rPr>
          <w:rFonts w:eastAsia="Calibri" w:cs="Times New Roman"/>
          <w:i/>
          <w:iCs/>
          <w:sz w:val="24"/>
          <w:szCs w:val="24"/>
        </w:rPr>
        <w:t xml:space="preserve"> 39.7% , and lastly group no.5 – patients older than 60 years of age was 37.9%.</w:t>
      </w:r>
    </w:p>
    <w:p w14:paraId="763F5A27" w14:textId="05955435" w:rsidR="00B53C0B" w:rsidRPr="00B53C0B" w:rsidRDefault="00B53C0B" w:rsidP="00735EB7">
      <w:pPr>
        <w:spacing w:line="300" w:lineRule="auto"/>
        <w:ind w:firstLine="567"/>
        <w:jc w:val="both"/>
        <w:rPr>
          <w:rFonts w:eastAsia="Calibri" w:cs="Times New Roman"/>
          <w:i/>
          <w:iCs/>
          <w:sz w:val="24"/>
          <w:szCs w:val="24"/>
        </w:rPr>
      </w:pPr>
      <w:r w:rsidRPr="00B53C0B">
        <w:rPr>
          <w:rFonts w:eastAsia="Calibri" w:cs="Times New Roman"/>
          <w:b/>
          <w:i/>
          <w:iCs/>
          <w:sz w:val="24"/>
          <w:szCs w:val="24"/>
        </w:rPr>
        <w:t>Key words:</w:t>
      </w:r>
      <w:r w:rsidRPr="00B53C0B">
        <w:rPr>
          <w:rFonts w:eastAsia="Calibri" w:cs="Times New Roman"/>
          <w:i/>
          <w:iCs/>
          <w:sz w:val="24"/>
          <w:szCs w:val="24"/>
        </w:rPr>
        <w:t xml:space="preserve"> Covid-19, age groups, anthropometric indicators</w:t>
      </w:r>
      <w:r>
        <w:rPr>
          <w:rFonts w:eastAsia="Calibri" w:cs="Times New Roman"/>
          <w:i/>
          <w:iCs/>
          <w:sz w:val="24"/>
          <w:szCs w:val="24"/>
        </w:rPr>
        <w:t>.</w:t>
      </w:r>
    </w:p>
    <w:p w14:paraId="5192BE24" w14:textId="77777777" w:rsidR="00B53C0B" w:rsidRDefault="00B53C0B" w:rsidP="00735EB7">
      <w:pPr>
        <w:spacing w:line="300" w:lineRule="auto"/>
        <w:ind w:firstLine="567"/>
        <w:jc w:val="both"/>
        <w:rPr>
          <w:rFonts w:eastAsia="Calibri" w:cs="Times New Roman"/>
          <w:sz w:val="24"/>
          <w:szCs w:val="24"/>
        </w:rPr>
      </w:pPr>
    </w:p>
    <w:p w14:paraId="4CCC22A9" w14:textId="77777777" w:rsidR="00B53C0B" w:rsidRDefault="00B53C0B" w:rsidP="00735EB7">
      <w:pPr>
        <w:spacing w:line="300" w:lineRule="auto"/>
        <w:ind w:firstLine="567"/>
        <w:jc w:val="both"/>
        <w:rPr>
          <w:rFonts w:eastAsia="Calibri" w:cs="Times New Roman"/>
          <w:sz w:val="24"/>
          <w:szCs w:val="24"/>
        </w:rPr>
        <w:sectPr w:rsidR="00B53C0B" w:rsidSect="001B41EC">
          <w:type w:val="continuous"/>
          <w:pgSz w:w="11907" w:h="16840" w:code="9"/>
          <w:pgMar w:top="1418" w:right="1134" w:bottom="1134" w:left="1134" w:header="907" w:footer="794" w:gutter="0"/>
          <w:cols w:space="708"/>
          <w:docGrid w:linePitch="381"/>
        </w:sectPr>
      </w:pPr>
    </w:p>
    <w:p w14:paraId="77728293" w14:textId="6E77732F"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sz w:val="24"/>
          <w:szCs w:val="24"/>
        </w:rPr>
        <w:t>Today, along with various infectious dis</w:t>
      </w:r>
      <w:r>
        <w:rPr>
          <w:rFonts w:eastAsia="Calibri" w:cs="Times New Roman"/>
          <w:sz w:val="24"/>
          <w:szCs w:val="24"/>
        </w:rPr>
        <w:softHyphen/>
      </w:r>
      <w:r w:rsidRPr="00B53C0B">
        <w:rPr>
          <w:rFonts w:eastAsia="Calibri" w:cs="Times New Roman"/>
          <w:sz w:val="24"/>
          <w:szCs w:val="24"/>
        </w:rPr>
        <w:t>eases, Covid-19 disease is showing its compli</w:t>
      </w:r>
      <w:r>
        <w:rPr>
          <w:rFonts w:eastAsia="Calibri" w:cs="Times New Roman"/>
          <w:sz w:val="24"/>
          <w:szCs w:val="24"/>
        </w:rPr>
        <w:softHyphen/>
      </w:r>
      <w:r w:rsidRPr="00B53C0B">
        <w:rPr>
          <w:rFonts w:eastAsia="Calibri" w:cs="Times New Roman"/>
          <w:sz w:val="24"/>
          <w:szCs w:val="24"/>
        </w:rPr>
        <w:t>cations among different social groups of the population. These complications include high blood pressure, exacerbation of various so</w:t>
      </w:r>
      <w:r>
        <w:rPr>
          <w:rFonts w:eastAsia="Calibri" w:cs="Times New Roman"/>
          <w:sz w:val="24"/>
          <w:szCs w:val="24"/>
        </w:rPr>
        <w:softHyphen/>
      </w:r>
      <w:r w:rsidRPr="00B53C0B">
        <w:rPr>
          <w:rFonts w:eastAsia="Calibri" w:cs="Times New Roman"/>
          <w:sz w:val="24"/>
          <w:szCs w:val="24"/>
        </w:rPr>
        <w:t>matic diseases, shortness of breath and fatigue. Covid-19, which is considered to be a disease of the respiratory system, is distinguished by its infectious nature, disease incidence rates and post-disease complications.</w:t>
      </w:r>
    </w:p>
    <w:p w14:paraId="7F083DB4" w14:textId="4FF21B7F"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sz w:val="24"/>
          <w:szCs w:val="24"/>
        </w:rPr>
        <w:t>Numerous studies have shown that 40–50% of hospitalized patients with COVID-19 are obese and 30% are overweight [1,2,4]. Overweight and obesity are the leading risk factors for death in people over the age of 65 [2]. Overweight or obesity is primarily due to an imbalance of adipocytokines (cytokines re</w:t>
      </w:r>
      <w:r>
        <w:rPr>
          <w:rFonts w:eastAsia="Calibri" w:cs="Times New Roman"/>
          <w:sz w:val="24"/>
          <w:szCs w:val="24"/>
        </w:rPr>
        <w:softHyphen/>
      </w:r>
      <w:r w:rsidRPr="00B53C0B">
        <w:rPr>
          <w:rFonts w:eastAsia="Calibri" w:cs="Times New Roman"/>
          <w:sz w:val="24"/>
          <w:szCs w:val="24"/>
        </w:rPr>
        <w:t>leased from adipose tissue) that respond to the immune system’s reaction, which will cause an inflammation even if at lower levels [3].</w:t>
      </w:r>
    </w:p>
    <w:p w14:paraId="7A342FC7" w14:textId="16F90FA7"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b/>
          <w:sz w:val="24"/>
          <w:szCs w:val="24"/>
        </w:rPr>
        <w:t xml:space="preserve">Aim of the research: </w:t>
      </w:r>
      <w:r w:rsidRPr="00B53C0B">
        <w:rPr>
          <w:rFonts w:eastAsia="Calibri" w:cs="Times New Roman"/>
          <w:sz w:val="24"/>
          <w:szCs w:val="24"/>
        </w:rPr>
        <w:t>Hygienic assess</w:t>
      </w:r>
      <w:r>
        <w:rPr>
          <w:rFonts w:eastAsia="Calibri" w:cs="Times New Roman"/>
          <w:sz w:val="24"/>
          <w:szCs w:val="24"/>
        </w:rPr>
        <w:softHyphen/>
      </w:r>
      <w:r w:rsidRPr="00B53C0B">
        <w:rPr>
          <w:rFonts w:eastAsia="Calibri" w:cs="Times New Roman"/>
          <w:sz w:val="24"/>
          <w:szCs w:val="24"/>
        </w:rPr>
        <w:t xml:space="preserve">ment and analysis of some obtained results </w:t>
      </w:r>
      <w:r w:rsidRPr="00B53C0B">
        <w:rPr>
          <w:rFonts w:eastAsia="Calibri" w:cs="Times New Roman"/>
          <w:sz w:val="24"/>
          <w:szCs w:val="24"/>
        </w:rPr>
        <w:t>from the anthropometric indicators of the Covid-19 patients.</w:t>
      </w:r>
    </w:p>
    <w:p w14:paraId="3F19DC34" w14:textId="24468899"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b/>
          <w:sz w:val="24"/>
          <w:szCs w:val="24"/>
        </w:rPr>
        <w:t>Material and methods of the research:</w:t>
      </w:r>
      <w:r w:rsidRPr="00B53C0B">
        <w:rPr>
          <w:rFonts w:eastAsia="Calibri" w:cs="Times New Roman"/>
          <w:sz w:val="24"/>
          <w:szCs w:val="24"/>
        </w:rPr>
        <w:t xml:space="preserve"> Patients from the Zangiota District Infectious Diseases Hospital No. 1 and No. 2 in 2020-2021with Covid-19; measuring their anthropo</w:t>
      </w:r>
      <w:r>
        <w:rPr>
          <w:rFonts w:eastAsia="Calibri" w:cs="Times New Roman"/>
          <w:sz w:val="24"/>
          <w:szCs w:val="24"/>
        </w:rPr>
        <w:softHyphen/>
      </w:r>
      <w:r w:rsidRPr="00B53C0B">
        <w:rPr>
          <w:rFonts w:eastAsia="Calibri" w:cs="Times New Roman"/>
          <w:sz w:val="24"/>
          <w:szCs w:val="24"/>
        </w:rPr>
        <w:t>metric parameters and a deliberately developed questionnaire to study the disease were the taken materials for the study, and the obtained results were processed using the personal com</w:t>
      </w:r>
      <w:r>
        <w:rPr>
          <w:rFonts w:eastAsia="Calibri" w:cs="Times New Roman"/>
          <w:sz w:val="24"/>
          <w:szCs w:val="24"/>
        </w:rPr>
        <w:softHyphen/>
      </w:r>
      <w:r w:rsidRPr="00B53C0B">
        <w:rPr>
          <w:rFonts w:eastAsia="Calibri" w:cs="Times New Roman"/>
          <w:sz w:val="24"/>
          <w:szCs w:val="24"/>
        </w:rPr>
        <w:t>puter software package “Statistics for Win</w:t>
      </w:r>
      <w:r>
        <w:rPr>
          <w:rFonts w:eastAsia="Calibri" w:cs="Times New Roman"/>
          <w:sz w:val="24"/>
          <w:szCs w:val="24"/>
        </w:rPr>
        <w:softHyphen/>
      </w:r>
      <w:r w:rsidRPr="00B53C0B">
        <w:rPr>
          <w:rFonts w:eastAsia="Calibri" w:cs="Times New Roman"/>
          <w:sz w:val="24"/>
          <w:szCs w:val="24"/>
        </w:rPr>
        <w:t>dows 7.0”.</w:t>
      </w:r>
    </w:p>
    <w:p w14:paraId="5E219AEB" w14:textId="77777777"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b/>
          <w:sz w:val="24"/>
          <w:szCs w:val="24"/>
        </w:rPr>
        <w:t xml:space="preserve">Results: </w:t>
      </w:r>
      <w:r w:rsidRPr="00B53C0B">
        <w:rPr>
          <w:rFonts w:eastAsia="Calibri" w:cs="Times New Roman"/>
          <w:sz w:val="24"/>
          <w:szCs w:val="24"/>
        </w:rPr>
        <w:t>The study was provided with 938 patients (375 males and 563 females) at the 1</w:t>
      </w:r>
      <w:r w:rsidRPr="00F44A75">
        <w:rPr>
          <w:rFonts w:eastAsia="Calibri" w:cs="Times New Roman"/>
          <w:sz w:val="24"/>
          <w:szCs w:val="24"/>
          <w:vertAlign w:val="superscript"/>
        </w:rPr>
        <w:t>st</w:t>
      </w:r>
      <w:r w:rsidRPr="00B53C0B">
        <w:rPr>
          <w:rFonts w:eastAsia="Calibri" w:cs="Times New Roman"/>
          <w:sz w:val="24"/>
          <w:szCs w:val="24"/>
        </w:rPr>
        <w:t xml:space="preserve"> and 2</w:t>
      </w:r>
      <w:r w:rsidRPr="00F44A75">
        <w:rPr>
          <w:rFonts w:eastAsia="Calibri" w:cs="Times New Roman"/>
          <w:sz w:val="24"/>
          <w:szCs w:val="24"/>
          <w:vertAlign w:val="superscript"/>
        </w:rPr>
        <w:t>nd</w:t>
      </w:r>
      <w:r w:rsidRPr="00B53C0B">
        <w:rPr>
          <w:rFonts w:eastAsia="Calibri" w:cs="Times New Roman"/>
          <w:sz w:val="24"/>
          <w:szCs w:val="24"/>
        </w:rPr>
        <w:t xml:space="preserve"> Infectious Diseases Hospitals in Zangiota district of Tashkent region.</w:t>
      </w:r>
    </w:p>
    <w:p w14:paraId="4A411604" w14:textId="77777777" w:rsidR="00B53C0B" w:rsidRPr="00B53C0B" w:rsidRDefault="00B53C0B" w:rsidP="00735EB7">
      <w:pPr>
        <w:spacing w:line="300" w:lineRule="auto"/>
        <w:ind w:firstLine="567"/>
        <w:jc w:val="both"/>
        <w:rPr>
          <w:rFonts w:eastAsia="Calibri" w:cs="Times New Roman"/>
          <w:sz w:val="24"/>
          <w:szCs w:val="24"/>
        </w:rPr>
      </w:pPr>
      <w:r w:rsidRPr="00B53C0B">
        <w:rPr>
          <w:rFonts w:eastAsia="Calibri" w:cs="Times New Roman"/>
          <w:sz w:val="24"/>
          <w:szCs w:val="24"/>
        </w:rPr>
        <w:t>We have divided the population that had Covid-19 into following groups, i.e. 5 groups. The group distribution by age is provided in the table 1.</w:t>
      </w:r>
    </w:p>
    <w:p w14:paraId="4E5A8A15" w14:textId="77777777" w:rsidR="00B53C0B" w:rsidRDefault="00B53C0B" w:rsidP="00B53C0B">
      <w:pPr>
        <w:spacing w:line="276" w:lineRule="auto"/>
        <w:ind w:firstLine="567"/>
        <w:jc w:val="both"/>
        <w:rPr>
          <w:rFonts w:eastAsia="Batang" w:cs="Times New Roman"/>
          <w:b/>
          <w:sz w:val="24"/>
          <w:szCs w:val="24"/>
          <w:lang w:val="uz-Cyrl-UZ" w:eastAsia="ru-RU"/>
        </w:rPr>
        <w:sectPr w:rsidR="00B53C0B" w:rsidSect="00B53C0B">
          <w:type w:val="continuous"/>
          <w:pgSz w:w="11907" w:h="16840" w:code="9"/>
          <w:pgMar w:top="1418" w:right="1134" w:bottom="1134" w:left="1134" w:header="907" w:footer="794" w:gutter="0"/>
          <w:cols w:num="2" w:space="708"/>
          <w:docGrid w:linePitch="381"/>
        </w:sectPr>
      </w:pPr>
    </w:p>
    <w:p w14:paraId="0854F688" w14:textId="77777777" w:rsidR="00735EB7" w:rsidRDefault="00735EB7" w:rsidP="00B53C0B">
      <w:pPr>
        <w:spacing w:line="276" w:lineRule="auto"/>
        <w:ind w:firstLine="567"/>
        <w:jc w:val="both"/>
        <w:rPr>
          <w:rFonts w:eastAsia="Batang" w:cs="Times New Roman"/>
          <w:b/>
          <w:sz w:val="24"/>
          <w:szCs w:val="24"/>
          <w:lang w:val="uz-Cyrl-UZ" w:eastAsia="ru-RU"/>
        </w:rPr>
      </w:pPr>
    </w:p>
    <w:p w14:paraId="649F2710" w14:textId="77777777" w:rsidR="00735EB7" w:rsidRDefault="00735EB7" w:rsidP="00735EB7">
      <w:pPr>
        <w:spacing w:line="276" w:lineRule="auto"/>
        <w:ind w:firstLine="567"/>
        <w:jc w:val="right"/>
        <w:rPr>
          <w:rFonts w:eastAsia="Batang" w:cs="Times New Roman"/>
          <w:b/>
          <w:sz w:val="24"/>
          <w:szCs w:val="24"/>
          <w:lang w:val="uz-Cyrl-UZ" w:eastAsia="ru-RU"/>
        </w:rPr>
      </w:pPr>
    </w:p>
    <w:p w14:paraId="3DF67FD4" w14:textId="2039CDF6" w:rsidR="00B53C0B" w:rsidRPr="00B53C0B" w:rsidRDefault="00B53C0B" w:rsidP="00735EB7">
      <w:pPr>
        <w:spacing w:line="276" w:lineRule="auto"/>
        <w:ind w:firstLine="567"/>
        <w:jc w:val="right"/>
        <w:rPr>
          <w:rFonts w:eastAsia="Batang" w:cs="Times New Roman"/>
          <w:b/>
          <w:i/>
          <w:iCs/>
          <w:sz w:val="24"/>
          <w:szCs w:val="24"/>
          <w:lang w:val="uz-Cyrl-UZ" w:eastAsia="ru-RU"/>
        </w:rPr>
      </w:pPr>
      <w:r w:rsidRPr="00B53C0B">
        <w:rPr>
          <w:rFonts w:eastAsia="Batang" w:cs="Times New Roman"/>
          <w:b/>
          <w:i/>
          <w:iCs/>
          <w:sz w:val="24"/>
          <w:szCs w:val="24"/>
          <w:lang w:val="uz-Cyrl-UZ" w:eastAsia="ru-RU"/>
        </w:rPr>
        <w:lastRenderedPageBreak/>
        <w:t>1-</w:t>
      </w:r>
      <w:r w:rsidRPr="00B53C0B">
        <w:rPr>
          <w:rFonts w:eastAsia="Batang" w:cs="Times New Roman"/>
          <w:b/>
          <w:i/>
          <w:iCs/>
          <w:sz w:val="24"/>
          <w:szCs w:val="24"/>
          <w:lang w:eastAsia="ru-RU"/>
        </w:rPr>
        <w:t>Table</w:t>
      </w:r>
    </w:p>
    <w:p w14:paraId="3492C2D4" w14:textId="48AA82B4" w:rsidR="00B53C0B" w:rsidRDefault="00B53C0B" w:rsidP="00735EB7">
      <w:pPr>
        <w:spacing w:line="276" w:lineRule="auto"/>
        <w:jc w:val="center"/>
        <w:rPr>
          <w:rFonts w:eastAsia="Batang" w:cs="Times New Roman"/>
          <w:b/>
          <w:sz w:val="24"/>
          <w:szCs w:val="24"/>
          <w:lang w:eastAsia="ru-RU"/>
        </w:rPr>
      </w:pPr>
      <w:r w:rsidRPr="00B53C0B">
        <w:rPr>
          <w:rFonts w:eastAsia="Batang" w:cs="Times New Roman"/>
          <w:b/>
          <w:sz w:val="24"/>
          <w:szCs w:val="24"/>
          <w:lang w:eastAsia="ru-RU"/>
        </w:rPr>
        <w:t>Distribution of patients with Covid-19 by gender and age group (%)</w:t>
      </w:r>
    </w:p>
    <w:p w14:paraId="506510D3" w14:textId="77777777" w:rsidR="00735EB7" w:rsidRPr="00B53C0B" w:rsidRDefault="00735EB7" w:rsidP="00735EB7">
      <w:pPr>
        <w:spacing w:line="276" w:lineRule="auto"/>
        <w:jc w:val="center"/>
        <w:rPr>
          <w:rFonts w:eastAsia="Batang" w:cs="Times New Roman"/>
          <w:b/>
          <w:sz w:val="24"/>
          <w:szCs w:val="24"/>
          <w:lang w:val="uz-Cyrl-UZ"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9"/>
        <w:gridCol w:w="2548"/>
        <w:gridCol w:w="2544"/>
        <w:gridCol w:w="2138"/>
      </w:tblGrid>
      <w:tr w:rsidR="00B53C0B" w:rsidRPr="00B53C0B" w14:paraId="37315A30" w14:textId="77777777" w:rsidTr="003C7FF4">
        <w:trPr>
          <w:trHeight w:val="272"/>
        </w:trPr>
        <w:tc>
          <w:tcPr>
            <w:tcW w:w="1246" w:type="pct"/>
            <w:vAlign w:val="center"/>
          </w:tcPr>
          <w:p w14:paraId="7D491E8C"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eastAsia="ru-RU"/>
              </w:rPr>
              <w:t>Age, year</w:t>
            </w:r>
          </w:p>
        </w:tc>
        <w:tc>
          <w:tcPr>
            <w:tcW w:w="1323" w:type="pct"/>
            <w:vAlign w:val="center"/>
          </w:tcPr>
          <w:p w14:paraId="7925D166"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eastAsia="ru-RU"/>
              </w:rPr>
              <w:t>Men</w:t>
            </w:r>
            <w:r w:rsidRPr="00B53C0B">
              <w:rPr>
                <w:rFonts w:eastAsia="Batang" w:cs="Times New Roman"/>
                <w:sz w:val="24"/>
                <w:szCs w:val="24"/>
                <w:lang w:val="uz-Cyrl-UZ" w:eastAsia="ru-RU"/>
              </w:rPr>
              <w:t>, n=375</w:t>
            </w:r>
          </w:p>
        </w:tc>
        <w:tc>
          <w:tcPr>
            <w:tcW w:w="1321" w:type="pct"/>
            <w:vAlign w:val="center"/>
          </w:tcPr>
          <w:p w14:paraId="3ADF2FAA"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eastAsia="ru-RU"/>
              </w:rPr>
              <w:t>Women</w:t>
            </w:r>
            <w:r w:rsidRPr="00B53C0B">
              <w:rPr>
                <w:rFonts w:eastAsia="Batang" w:cs="Times New Roman"/>
                <w:sz w:val="24"/>
                <w:szCs w:val="24"/>
                <w:lang w:val="uz-Cyrl-UZ" w:eastAsia="ru-RU"/>
              </w:rPr>
              <w:t>, n=563</w:t>
            </w:r>
          </w:p>
        </w:tc>
        <w:tc>
          <w:tcPr>
            <w:tcW w:w="1110" w:type="pct"/>
            <w:vAlign w:val="center"/>
          </w:tcPr>
          <w:p w14:paraId="1F345F1B"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eastAsia="ru-RU"/>
              </w:rPr>
              <w:t>Overall</w:t>
            </w:r>
            <w:r w:rsidRPr="00B53C0B">
              <w:rPr>
                <w:rFonts w:eastAsia="Batang" w:cs="Times New Roman"/>
                <w:sz w:val="24"/>
                <w:szCs w:val="24"/>
                <w:lang w:val="ru-RU" w:eastAsia="ru-RU"/>
              </w:rPr>
              <w:t>, n=</w:t>
            </w:r>
            <w:r w:rsidRPr="00B53C0B">
              <w:rPr>
                <w:rFonts w:eastAsia="Batang" w:cs="Times New Roman"/>
                <w:sz w:val="24"/>
                <w:szCs w:val="24"/>
                <w:lang w:val="uz-Cyrl-UZ" w:eastAsia="ru-RU"/>
              </w:rPr>
              <w:t>938</w:t>
            </w:r>
          </w:p>
        </w:tc>
      </w:tr>
      <w:tr w:rsidR="00B53C0B" w:rsidRPr="00B53C0B" w14:paraId="70AF4DBD" w14:textId="77777777" w:rsidTr="003C7FF4">
        <w:trPr>
          <w:trHeight w:val="272"/>
        </w:trPr>
        <w:tc>
          <w:tcPr>
            <w:tcW w:w="1246" w:type="pct"/>
            <w:vAlign w:val="center"/>
          </w:tcPr>
          <w:p w14:paraId="7B5DB2EF"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&gt;18</w:t>
            </w:r>
          </w:p>
        </w:tc>
        <w:tc>
          <w:tcPr>
            <w:tcW w:w="1323" w:type="pct"/>
            <w:vAlign w:val="center"/>
          </w:tcPr>
          <w:p w14:paraId="54A67050"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6(3,4)</w:t>
            </w:r>
          </w:p>
        </w:tc>
        <w:tc>
          <w:tcPr>
            <w:tcW w:w="1321" w:type="pct"/>
            <w:vAlign w:val="center"/>
          </w:tcPr>
          <w:p w14:paraId="102F7FB6"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25 (4,56)</w:t>
            </w:r>
          </w:p>
        </w:tc>
        <w:tc>
          <w:tcPr>
            <w:tcW w:w="1110" w:type="pct"/>
            <w:vAlign w:val="center"/>
          </w:tcPr>
          <w:p w14:paraId="09432A02"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18(4,1)</w:t>
            </w:r>
          </w:p>
        </w:tc>
      </w:tr>
      <w:tr w:rsidR="00B53C0B" w:rsidRPr="00B53C0B" w14:paraId="251C6E8E" w14:textId="77777777" w:rsidTr="003C7FF4">
        <w:tc>
          <w:tcPr>
            <w:tcW w:w="1246" w:type="pct"/>
            <w:vAlign w:val="center"/>
          </w:tcPr>
          <w:p w14:paraId="104642A6"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18-29</w:t>
            </w:r>
          </w:p>
        </w:tc>
        <w:tc>
          <w:tcPr>
            <w:tcW w:w="1323" w:type="pct"/>
            <w:vAlign w:val="center"/>
          </w:tcPr>
          <w:p w14:paraId="72779EDC"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9</w:t>
            </w:r>
            <w:r w:rsidRPr="00B53C0B">
              <w:rPr>
                <w:rFonts w:eastAsia="Batang" w:cs="Times New Roman"/>
                <w:sz w:val="24"/>
                <w:szCs w:val="24"/>
                <w:lang w:val="ru-RU" w:eastAsia="ru-RU"/>
              </w:rPr>
              <w:t xml:space="preserve"> (5,14)</w:t>
            </w:r>
          </w:p>
        </w:tc>
        <w:tc>
          <w:tcPr>
            <w:tcW w:w="1321" w:type="pct"/>
            <w:vAlign w:val="center"/>
          </w:tcPr>
          <w:p w14:paraId="721665D7"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16</w:t>
            </w:r>
            <w:r w:rsidRPr="00B53C0B">
              <w:rPr>
                <w:rFonts w:eastAsia="Batang" w:cs="Times New Roman"/>
                <w:sz w:val="24"/>
                <w:szCs w:val="24"/>
                <w:lang w:val="ru-RU" w:eastAsia="ru-RU"/>
              </w:rPr>
              <w:t xml:space="preserve"> (6,08)</w:t>
            </w:r>
          </w:p>
        </w:tc>
        <w:tc>
          <w:tcPr>
            <w:tcW w:w="1110" w:type="pct"/>
            <w:vAlign w:val="center"/>
          </w:tcPr>
          <w:p w14:paraId="604DD620"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25</w:t>
            </w:r>
            <w:r w:rsidRPr="00B53C0B">
              <w:rPr>
                <w:rFonts w:eastAsia="Batang" w:cs="Times New Roman"/>
                <w:sz w:val="24"/>
                <w:szCs w:val="24"/>
                <w:lang w:val="ru-RU" w:eastAsia="ru-RU"/>
              </w:rPr>
              <w:t xml:space="preserve"> (5,7)</w:t>
            </w:r>
          </w:p>
        </w:tc>
      </w:tr>
      <w:tr w:rsidR="00B53C0B" w:rsidRPr="00B53C0B" w14:paraId="3EB01C54" w14:textId="77777777" w:rsidTr="003C7FF4">
        <w:tc>
          <w:tcPr>
            <w:tcW w:w="1246" w:type="pct"/>
            <w:vAlign w:val="center"/>
          </w:tcPr>
          <w:p w14:paraId="4ECA0AC3"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30-39</w:t>
            </w:r>
          </w:p>
        </w:tc>
        <w:tc>
          <w:tcPr>
            <w:tcW w:w="1323" w:type="pct"/>
            <w:vAlign w:val="center"/>
          </w:tcPr>
          <w:p w14:paraId="380BB820"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29</w:t>
            </w:r>
            <w:r w:rsidRPr="00B53C0B">
              <w:rPr>
                <w:rFonts w:eastAsia="Batang" w:cs="Times New Roman"/>
                <w:sz w:val="24"/>
                <w:szCs w:val="24"/>
                <w:lang w:val="ru-RU" w:eastAsia="ru-RU"/>
              </w:rPr>
              <w:t xml:space="preserve"> (16,57)</w:t>
            </w:r>
          </w:p>
        </w:tc>
        <w:tc>
          <w:tcPr>
            <w:tcW w:w="1321" w:type="pct"/>
            <w:vAlign w:val="center"/>
          </w:tcPr>
          <w:p w14:paraId="34A382EF"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25</w:t>
            </w:r>
            <w:r w:rsidRPr="00B53C0B">
              <w:rPr>
                <w:rFonts w:eastAsia="Batang" w:cs="Times New Roman"/>
                <w:sz w:val="24"/>
                <w:szCs w:val="24"/>
                <w:lang w:val="ru-RU" w:eastAsia="ru-RU"/>
              </w:rPr>
              <w:t xml:space="preserve"> (9,5)</w:t>
            </w:r>
          </w:p>
        </w:tc>
        <w:tc>
          <w:tcPr>
            <w:tcW w:w="1110" w:type="pct"/>
            <w:vAlign w:val="center"/>
          </w:tcPr>
          <w:p w14:paraId="7FE2E675"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54</w:t>
            </w:r>
            <w:r w:rsidRPr="00B53C0B">
              <w:rPr>
                <w:rFonts w:eastAsia="Batang" w:cs="Times New Roman"/>
                <w:sz w:val="24"/>
                <w:szCs w:val="24"/>
                <w:lang w:val="ru-RU" w:eastAsia="ru-RU"/>
              </w:rPr>
              <w:t>(12,3)</w:t>
            </w:r>
          </w:p>
        </w:tc>
      </w:tr>
      <w:tr w:rsidR="00B53C0B" w:rsidRPr="00B53C0B" w14:paraId="5E4B2F4A" w14:textId="77777777" w:rsidTr="003C7FF4">
        <w:tc>
          <w:tcPr>
            <w:tcW w:w="1246" w:type="pct"/>
            <w:vAlign w:val="center"/>
          </w:tcPr>
          <w:p w14:paraId="053B85E1" w14:textId="012AA356"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40-59</w:t>
            </w:r>
          </w:p>
        </w:tc>
        <w:tc>
          <w:tcPr>
            <w:tcW w:w="1323" w:type="pct"/>
            <w:vAlign w:val="center"/>
          </w:tcPr>
          <w:p w14:paraId="578BC787"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71</w:t>
            </w:r>
            <w:r w:rsidRPr="00B53C0B">
              <w:rPr>
                <w:rFonts w:eastAsia="Batang" w:cs="Times New Roman"/>
                <w:sz w:val="24"/>
                <w:szCs w:val="24"/>
                <w:lang w:val="ru-RU" w:eastAsia="ru-RU"/>
              </w:rPr>
              <w:t xml:space="preserve"> (40,57)</w:t>
            </w:r>
          </w:p>
        </w:tc>
        <w:tc>
          <w:tcPr>
            <w:tcW w:w="1321" w:type="pct"/>
            <w:vAlign w:val="center"/>
          </w:tcPr>
          <w:p w14:paraId="28726820"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uz-Cyrl-UZ" w:eastAsia="ru-RU"/>
              </w:rPr>
              <w:t>103</w:t>
            </w:r>
            <w:r w:rsidRPr="00B53C0B">
              <w:rPr>
                <w:rFonts w:eastAsia="Batang" w:cs="Times New Roman"/>
                <w:sz w:val="24"/>
                <w:szCs w:val="24"/>
                <w:lang w:val="ru-RU" w:eastAsia="ru-RU"/>
              </w:rPr>
              <w:t xml:space="preserve"> (39,16)</w:t>
            </w:r>
          </w:p>
        </w:tc>
        <w:tc>
          <w:tcPr>
            <w:tcW w:w="1110" w:type="pct"/>
            <w:vAlign w:val="center"/>
          </w:tcPr>
          <w:p w14:paraId="4811648C"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174</w:t>
            </w:r>
            <w:r w:rsidRPr="00B53C0B">
              <w:rPr>
                <w:rFonts w:eastAsia="Batang" w:cs="Times New Roman"/>
                <w:sz w:val="24"/>
                <w:szCs w:val="24"/>
                <w:lang w:val="ru-RU" w:eastAsia="ru-RU"/>
              </w:rPr>
              <w:t xml:space="preserve"> (39,7)</w:t>
            </w:r>
          </w:p>
        </w:tc>
      </w:tr>
      <w:tr w:rsidR="00B53C0B" w:rsidRPr="00B53C0B" w14:paraId="5AA5168F" w14:textId="77777777" w:rsidTr="003C7FF4">
        <w:tc>
          <w:tcPr>
            <w:tcW w:w="1246" w:type="pct"/>
            <w:vAlign w:val="center"/>
          </w:tcPr>
          <w:p w14:paraId="05622153" w14:textId="5BC8D98E"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uz-Cyrl-UZ" w:eastAsia="ru-RU"/>
              </w:rPr>
              <w:t>60&lt;</w:t>
            </w:r>
          </w:p>
        </w:tc>
        <w:tc>
          <w:tcPr>
            <w:tcW w:w="1323" w:type="pct"/>
            <w:vAlign w:val="center"/>
          </w:tcPr>
          <w:p w14:paraId="20A50ECC"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ru-RU" w:eastAsia="ru-RU"/>
              </w:rPr>
              <w:t>59(33,7)</w:t>
            </w:r>
          </w:p>
        </w:tc>
        <w:tc>
          <w:tcPr>
            <w:tcW w:w="1321" w:type="pct"/>
            <w:vAlign w:val="center"/>
          </w:tcPr>
          <w:p w14:paraId="773570F0" w14:textId="77777777" w:rsidR="00B53C0B" w:rsidRPr="00B53C0B" w:rsidRDefault="00B53C0B" w:rsidP="00735EB7">
            <w:pPr>
              <w:spacing w:line="276" w:lineRule="auto"/>
              <w:jc w:val="center"/>
              <w:rPr>
                <w:rFonts w:eastAsia="Batang" w:cs="Times New Roman"/>
                <w:sz w:val="24"/>
                <w:szCs w:val="24"/>
                <w:lang w:val="ru-RU" w:eastAsia="ru-RU"/>
              </w:rPr>
            </w:pPr>
            <w:r w:rsidRPr="00B53C0B">
              <w:rPr>
                <w:rFonts w:eastAsia="Batang" w:cs="Times New Roman"/>
                <w:sz w:val="24"/>
                <w:szCs w:val="24"/>
                <w:lang w:val="ru-RU" w:eastAsia="ru-RU"/>
              </w:rPr>
              <w:t>107(40,68)</w:t>
            </w:r>
          </w:p>
        </w:tc>
        <w:tc>
          <w:tcPr>
            <w:tcW w:w="1110" w:type="pct"/>
            <w:vAlign w:val="center"/>
          </w:tcPr>
          <w:p w14:paraId="583A964E" w14:textId="77777777" w:rsidR="00B53C0B" w:rsidRPr="00B53C0B" w:rsidRDefault="00B53C0B" w:rsidP="00735EB7">
            <w:pPr>
              <w:spacing w:line="276" w:lineRule="auto"/>
              <w:jc w:val="center"/>
              <w:rPr>
                <w:rFonts w:eastAsia="Batang" w:cs="Times New Roman"/>
                <w:sz w:val="24"/>
                <w:szCs w:val="24"/>
                <w:lang w:val="uz-Cyrl-UZ" w:eastAsia="ru-RU"/>
              </w:rPr>
            </w:pPr>
            <w:r w:rsidRPr="00B53C0B">
              <w:rPr>
                <w:rFonts w:eastAsia="Batang" w:cs="Times New Roman"/>
                <w:sz w:val="24"/>
                <w:szCs w:val="24"/>
                <w:lang w:val="ru-RU" w:eastAsia="ru-RU"/>
              </w:rPr>
              <w:t>166(37,9)</w:t>
            </w:r>
          </w:p>
        </w:tc>
      </w:tr>
    </w:tbl>
    <w:p w14:paraId="0A5F5F31" w14:textId="77777777" w:rsidR="00B53C0B" w:rsidRPr="00B53C0B" w:rsidRDefault="00B53C0B" w:rsidP="00B53C0B">
      <w:pPr>
        <w:spacing w:line="276" w:lineRule="auto"/>
        <w:ind w:firstLine="567"/>
        <w:jc w:val="both"/>
        <w:rPr>
          <w:rFonts w:eastAsia="Calibri" w:cs="Times New Roman"/>
          <w:sz w:val="24"/>
          <w:szCs w:val="24"/>
        </w:rPr>
      </w:pPr>
    </w:p>
    <w:p w14:paraId="001EC298" w14:textId="77777777" w:rsidR="00735EB7" w:rsidRDefault="00735EB7" w:rsidP="00B53C0B">
      <w:pPr>
        <w:spacing w:line="276" w:lineRule="auto"/>
        <w:ind w:firstLine="567"/>
        <w:jc w:val="both"/>
        <w:rPr>
          <w:rFonts w:eastAsia="Calibri" w:cs="Times New Roman"/>
          <w:sz w:val="24"/>
          <w:szCs w:val="24"/>
        </w:rPr>
        <w:sectPr w:rsidR="00735EB7" w:rsidSect="001B41EC">
          <w:type w:val="continuous"/>
          <w:pgSz w:w="11907" w:h="16840" w:code="9"/>
          <w:pgMar w:top="1418" w:right="1134" w:bottom="1134" w:left="1134" w:header="907" w:footer="794" w:gutter="0"/>
          <w:cols w:space="708"/>
          <w:docGrid w:linePitch="381"/>
        </w:sectPr>
      </w:pPr>
    </w:p>
    <w:p w14:paraId="07D39C38" w14:textId="082A5A1C"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 xml:space="preserve">As a result, the lowest incidence rate was in group no.1 </w:t>
      </w:r>
      <w:r w:rsidR="00F44A75">
        <w:rPr>
          <w:rFonts w:eastAsia="Calibri" w:cs="Times New Roman"/>
          <w:sz w:val="24"/>
          <w:szCs w:val="24"/>
        </w:rPr>
        <w:t>–</w:t>
      </w:r>
      <w:r w:rsidRPr="00B53C0B">
        <w:rPr>
          <w:rFonts w:eastAsia="Calibri" w:cs="Times New Roman"/>
          <w:sz w:val="24"/>
          <w:szCs w:val="24"/>
        </w:rPr>
        <w:t xml:space="preserve"> 3.4% of men and 4.45% of women; in group 2 </w:t>
      </w:r>
      <w:r w:rsidR="00F44A75">
        <w:rPr>
          <w:rFonts w:eastAsia="Calibri" w:cs="Times New Roman"/>
          <w:sz w:val="24"/>
          <w:szCs w:val="24"/>
        </w:rPr>
        <w:t>–</w:t>
      </w:r>
      <w:r w:rsidRPr="00B53C0B">
        <w:rPr>
          <w:rFonts w:eastAsia="Calibri" w:cs="Times New Roman"/>
          <w:sz w:val="24"/>
          <w:szCs w:val="24"/>
        </w:rPr>
        <w:t xml:space="preserve"> 5.14% of men and 6.08% of women; in group 3 </w:t>
      </w:r>
      <w:r w:rsidR="00F44A75">
        <w:rPr>
          <w:rFonts w:eastAsia="Calibri" w:cs="Times New Roman"/>
          <w:sz w:val="24"/>
          <w:szCs w:val="24"/>
        </w:rPr>
        <w:t>–</w:t>
      </w:r>
      <w:r w:rsidRPr="00B53C0B">
        <w:rPr>
          <w:rFonts w:eastAsia="Calibri" w:cs="Times New Roman"/>
          <w:sz w:val="24"/>
          <w:szCs w:val="24"/>
        </w:rPr>
        <w:t xml:space="preserve"> 16 men and 57%, women 9.5%;  4</w:t>
      </w:r>
      <w:r w:rsidRPr="00F44A75">
        <w:rPr>
          <w:rFonts w:eastAsia="Calibri" w:cs="Times New Roman"/>
          <w:sz w:val="24"/>
          <w:szCs w:val="24"/>
          <w:vertAlign w:val="superscript"/>
        </w:rPr>
        <w:t>th</w:t>
      </w:r>
      <w:r w:rsidRPr="00B53C0B">
        <w:rPr>
          <w:rFonts w:eastAsia="Calibri" w:cs="Times New Roman"/>
          <w:sz w:val="24"/>
          <w:szCs w:val="24"/>
        </w:rPr>
        <w:t xml:space="preserve"> group </w:t>
      </w:r>
      <w:r w:rsidR="00F44A75">
        <w:rPr>
          <w:rFonts w:eastAsia="Calibri" w:cs="Times New Roman"/>
          <w:sz w:val="24"/>
          <w:szCs w:val="24"/>
        </w:rPr>
        <w:t>–</w:t>
      </w:r>
      <w:r w:rsidRPr="00B53C0B">
        <w:rPr>
          <w:rFonts w:eastAsia="Calibri" w:cs="Times New Roman"/>
          <w:sz w:val="24"/>
          <w:szCs w:val="24"/>
        </w:rPr>
        <w:t xml:space="preserve"> men of the 40.57% and women 39.16%; 5</w:t>
      </w:r>
      <w:r w:rsidRPr="00F44A75">
        <w:rPr>
          <w:rFonts w:eastAsia="Calibri" w:cs="Times New Roman"/>
          <w:sz w:val="24"/>
          <w:szCs w:val="24"/>
          <w:vertAlign w:val="superscript"/>
        </w:rPr>
        <w:t>th</w:t>
      </w:r>
      <w:r w:rsidRPr="00B53C0B">
        <w:rPr>
          <w:rFonts w:eastAsia="Calibri" w:cs="Times New Roman"/>
          <w:sz w:val="24"/>
          <w:szCs w:val="24"/>
        </w:rPr>
        <w:t xml:space="preserve"> group </w:t>
      </w:r>
      <w:r w:rsidR="00F44A75">
        <w:rPr>
          <w:rFonts w:eastAsia="Calibri" w:cs="Times New Roman"/>
          <w:sz w:val="24"/>
          <w:szCs w:val="24"/>
        </w:rPr>
        <w:t>–</w:t>
      </w:r>
      <w:r w:rsidRPr="00B53C0B">
        <w:rPr>
          <w:rFonts w:eastAsia="Calibri" w:cs="Times New Roman"/>
          <w:sz w:val="24"/>
          <w:szCs w:val="24"/>
        </w:rPr>
        <w:t xml:space="preserve"> men of the </w:t>
      </w:r>
      <w:r w:rsidRPr="00B53C0B">
        <w:rPr>
          <w:rFonts w:eastAsia="Calibri" w:cs="Times New Roman"/>
          <w:sz w:val="24"/>
          <w:szCs w:val="24"/>
        </w:rPr>
        <w:t>33.7% and women 40.68%. We can see that the highest indicator was 39.7% of those aged 40-59 belonging to group 4.</w:t>
      </w:r>
    </w:p>
    <w:p w14:paraId="371BEF13" w14:textId="77777777" w:rsidR="00735EB7" w:rsidRDefault="00B53C0B" w:rsidP="00B53C0B">
      <w:pPr>
        <w:spacing w:line="276" w:lineRule="auto"/>
        <w:ind w:firstLine="567"/>
        <w:jc w:val="both"/>
        <w:rPr>
          <w:rFonts w:eastAsia="Batang" w:cs="Times New Roman"/>
          <w:sz w:val="24"/>
          <w:szCs w:val="24"/>
          <w:lang w:val="uz-Cyrl-UZ" w:eastAsia="ru-RU"/>
        </w:rPr>
        <w:sectPr w:rsidR="00735EB7" w:rsidSect="00735EB7">
          <w:type w:val="continuous"/>
          <w:pgSz w:w="11907" w:h="16840" w:code="9"/>
          <w:pgMar w:top="1418" w:right="1134" w:bottom="1134" w:left="1134" w:header="907" w:footer="794" w:gutter="0"/>
          <w:cols w:num="2" w:space="708"/>
          <w:docGrid w:linePitch="381"/>
        </w:sectPr>
      </w:pPr>
      <w:r w:rsidRPr="00B53C0B">
        <w:rPr>
          <w:rFonts w:eastAsia="Batang" w:cs="Times New Roman"/>
          <w:sz w:val="24"/>
          <w:szCs w:val="24"/>
          <w:lang w:val="uz-Cyrl-UZ" w:eastAsia="ru-RU"/>
        </w:rPr>
        <w:t xml:space="preserve">The anthropometric </w:t>
      </w:r>
      <w:r w:rsidRPr="00B53C0B">
        <w:rPr>
          <w:rFonts w:eastAsia="Batang" w:cs="Times New Roman"/>
          <w:sz w:val="24"/>
          <w:szCs w:val="24"/>
          <w:lang w:eastAsia="ru-RU"/>
        </w:rPr>
        <w:t>indicators</w:t>
      </w:r>
      <w:r w:rsidRPr="00B53C0B">
        <w:rPr>
          <w:rFonts w:eastAsia="Batang" w:cs="Times New Roman"/>
          <w:sz w:val="24"/>
          <w:szCs w:val="24"/>
          <w:lang w:val="uz-Cyrl-UZ" w:eastAsia="ru-RU"/>
        </w:rPr>
        <w:t xml:space="preserve"> of patients with Covid-19 are given in Table 2.</w:t>
      </w:r>
    </w:p>
    <w:p w14:paraId="541B9D48" w14:textId="434F0915" w:rsidR="00B53C0B" w:rsidRPr="00B53C0B" w:rsidRDefault="00B53C0B" w:rsidP="00735EB7">
      <w:pPr>
        <w:spacing w:line="276" w:lineRule="auto"/>
        <w:ind w:firstLine="567"/>
        <w:jc w:val="right"/>
        <w:rPr>
          <w:rFonts w:eastAsia="Batang" w:cs="Times New Roman"/>
          <w:b/>
          <w:i/>
          <w:iCs/>
          <w:sz w:val="24"/>
          <w:szCs w:val="24"/>
          <w:lang w:eastAsia="ru-RU"/>
        </w:rPr>
      </w:pPr>
      <w:r w:rsidRPr="00B53C0B">
        <w:rPr>
          <w:rFonts w:eastAsia="Batang" w:cs="Times New Roman"/>
          <w:b/>
          <w:i/>
          <w:iCs/>
          <w:sz w:val="24"/>
          <w:szCs w:val="24"/>
          <w:lang w:eastAsia="ru-RU"/>
        </w:rPr>
        <w:t>2</w:t>
      </w:r>
      <w:r w:rsidRPr="00B53C0B">
        <w:rPr>
          <w:rFonts w:eastAsia="Batang" w:cs="Times New Roman"/>
          <w:b/>
          <w:i/>
          <w:iCs/>
          <w:sz w:val="24"/>
          <w:szCs w:val="24"/>
          <w:lang w:val="uz-Cyrl-UZ" w:eastAsia="ru-RU"/>
        </w:rPr>
        <w:t>-</w:t>
      </w:r>
      <w:r w:rsidRPr="00B53C0B">
        <w:rPr>
          <w:rFonts w:eastAsia="Batang" w:cs="Times New Roman"/>
          <w:b/>
          <w:i/>
          <w:iCs/>
          <w:sz w:val="24"/>
          <w:szCs w:val="24"/>
          <w:lang w:eastAsia="ru-RU"/>
        </w:rPr>
        <w:t>Table</w:t>
      </w:r>
    </w:p>
    <w:p w14:paraId="426DC0B4" w14:textId="3B4A4C72" w:rsidR="00B53C0B" w:rsidRDefault="00B53C0B" w:rsidP="00735EB7">
      <w:pPr>
        <w:spacing w:line="276" w:lineRule="auto"/>
        <w:jc w:val="center"/>
        <w:rPr>
          <w:rFonts w:eastAsia="Batang" w:cs="Times New Roman"/>
          <w:b/>
          <w:sz w:val="24"/>
          <w:szCs w:val="24"/>
          <w:lang w:val="uz-Cyrl-UZ" w:eastAsia="ru-RU"/>
        </w:rPr>
      </w:pPr>
      <w:r w:rsidRPr="00B53C0B">
        <w:rPr>
          <w:rFonts w:eastAsia="Batang" w:cs="Times New Roman"/>
          <w:b/>
          <w:sz w:val="24"/>
          <w:szCs w:val="24"/>
          <w:lang w:val="uz-Cyrl-UZ" w:eastAsia="ru-RU"/>
        </w:rPr>
        <w:t>Anthropometric parameters of patients with Covid-19</w:t>
      </w:r>
    </w:p>
    <w:p w14:paraId="2C637F7E" w14:textId="77777777" w:rsidR="00735EB7" w:rsidRPr="00B53C0B" w:rsidRDefault="00735EB7" w:rsidP="00B53C0B">
      <w:pPr>
        <w:spacing w:line="276" w:lineRule="auto"/>
        <w:ind w:firstLine="567"/>
        <w:jc w:val="both"/>
        <w:rPr>
          <w:rFonts w:eastAsia="Batang" w:cs="Times New Roman"/>
          <w:b/>
          <w:sz w:val="24"/>
          <w:szCs w:val="24"/>
          <w:lang w:val="uz-Cyrl-UZ" w:eastAsia="ru-RU"/>
        </w:rPr>
      </w:pPr>
    </w:p>
    <w:tbl>
      <w:tblPr>
        <w:tblW w:w="5000" w:type="pct"/>
        <w:tblLook w:val="04A0" w:firstRow="1" w:lastRow="0" w:firstColumn="1" w:lastColumn="0" w:noHBand="0" w:noVBand="1"/>
      </w:tblPr>
      <w:tblGrid>
        <w:gridCol w:w="6742"/>
        <w:gridCol w:w="2887"/>
      </w:tblGrid>
      <w:tr w:rsidR="00B53C0B" w:rsidRPr="00B53C0B" w14:paraId="3F0C39E9" w14:textId="77777777" w:rsidTr="003C7FF4">
        <w:trPr>
          <w:trHeight w:val="360"/>
        </w:trPr>
        <w:tc>
          <w:tcPr>
            <w:tcW w:w="3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6824D" w14:textId="77777777" w:rsidR="00B53C0B" w:rsidRPr="00B53C0B" w:rsidRDefault="00B53C0B" w:rsidP="00735EB7">
            <w:pPr>
              <w:spacing w:line="276" w:lineRule="auto"/>
              <w:jc w:val="center"/>
              <w:rPr>
                <w:rFonts w:eastAsia="Times New Roman" w:cs="Times New Roman"/>
                <w:b/>
                <w:bCs/>
                <w:color w:val="000000"/>
                <w:sz w:val="24"/>
                <w:szCs w:val="24"/>
                <w:lang w:eastAsia="ru-RU"/>
              </w:rPr>
            </w:pPr>
            <w:r w:rsidRPr="00B53C0B">
              <w:rPr>
                <w:rFonts w:eastAsia="Times New Roman" w:cs="Times New Roman"/>
                <w:b/>
                <w:bCs/>
                <w:color w:val="000000"/>
                <w:sz w:val="24"/>
                <w:szCs w:val="24"/>
                <w:lang w:eastAsia="ru-RU"/>
              </w:rPr>
              <w:t>Anthropometric indicators</w:t>
            </w:r>
          </w:p>
        </w:tc>
        <w:tc>
          <w:tcPr>
            <w:tcW w:w="1499" w:type="pct"/>
            <w:tcBorders>
              <w:top w:val="single" w:sz="4" w:space="0" w:color="auto"/>
              <w:left w:val="nil"/>
              <w:bottom w:val="single" w:sz="4" w:space="0" w:color="auto"/>
              <w:right w:val="single" w:sz="4" w:space="0" w:color="auto"/>
            </w:tcBorders>
            <w:shd w:val="clear" w:color="auto" w:fill="auto"/>
            <w:noWrap/>
            <w:vAlign w:val="center"/>
            <w:hideMark/>
          </w:tcPr>
          <w:p w14:paraId="4E416D55" w14:textId="77777777" w:rsidR="00B53C0B" w:rsidRPr="00B53C0B" w:rsidRDefault="00B53C0B" w:rsidP="00735EB7">
            <w:pPr>
              <w:spacing w:line="276" w:lineRule="auto"/>
              <w:jc w:val="center"/>
              <w:rPr>
                <w:rFonts w:eastAsia="Times New Roman" w:cs="Times New Roman"/>
                <w:b/>
                <w:bCs/>
                <w:color w:val="000000"/>
                <w:sz w:val="24"/>
                <w:szCs w:val="24"/>
                <w:lang w:eastAsia="ru-RU"/>
              </w:rPr>
            </w:pPr>
            <w:r w:rsidRPr="00B53C0B">
              <w:rPr>
                <w:rFonts w:eastAsia="Times New Roman" w:cs="Times New Roman"/>
                <w:b/>
                <w:bCs/>
                <w:color w:val="000000"/>
                <w:sz w:val="24"/>
                <w:szCs w:val="24"/>
                <w:lang w:eastAsia="ru-RU"/>
              </w:rPr>
              <w:t>Statistics</w:t>
            </w:r>
          </w:p>
        </w:tc>
      </w:tr>
      <w:tr w:rsidR="00B53C0B" w:rsidRPr="00B53C0B" w14:paraId="4BE485C5" w14:textId="77777777" w:rsidTr="003C7FF4">
        <w:trPr>
          <w:trHeight w:val="315"/>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31665ED" w14:textId="77777777" w:rsidR="00B53C0B" w:rsidRPr="00B53C0B" w:rsidRDefault="00B53C0B" w:rsidP="00735EB7">
            <w:pPr>
              <w:spacing w:line="276" w:lineRule="auto"/>
              <w:jc w:val="center"/>
              <w:rPr>
                <w:rFonts w:eastAsia="Times New Roman" w:cs="Times New Roman"/>
                <w:iCs/>
                <w:color w:val="000000"/>
                <w:sz w:val="24"/>
                <w:szCs w:val="24"/>
                <w:lang w:eastAsia="ru-RU"/>
              </w:rPr>
            </w:pPr>
            <w:r w:rsidRPr="00B53C0B">
              <w:rPr>
                <w:rFonts w:eastAsia="Times New Roman" w:cs="Times New Roman"/>
                <w:iCs/>
                <w:color w:val="000000"/>
                <w:sz w:val="24"/>
                <w:szCs w:val="24"/>
                <w:lang w:eastAsia="ru-RU"/>
              </w:rPr>
              <w:t>Age</w:t>
            </w:r>
          </w:p>
        </w:tc>
        <w:tc>
          <w:tcPr>
            <w:tcW w:w="1499" w:type="pct"/>
            <w:tcBorders>
              <w:top w:val="nil"/>
              <w:left w:val="nil"/>
              <w:bottom w:val="single" w:sz="4" w:space="0" w:color="auto"/>
              <w:right w:val="single" w:sz="4" w:space="0" w:color="auto"/>
            </w:tcBorders>
            <w:shd w:val="clear" w:color="auto" w:fill="auto"/>
            <w:noWrap/>
            <w:vAlign w:val="center"/>
            <w:hideMark/>
          </w:tcPr>
          <w:p w14:paraId="1D511D7A"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val="ru-RU" w:eastAsia="ru-RU"/>
              </w:rPr>
              <w:t>51,6±0,82</w:t>
            </w:r>
          </w:p>
        </w:tc>
      </w:tr>
      <w:tr w:rsidR="00B53C0B" w:rsidRPr="00B53C0B" w14:paraId="08674639" w14:textId="77777777" w:rsidTr="003C7FF4">
        <w:trPr>
          <w:trHeight w:val="300"/>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8ECB61A"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eastAsia="ru-RU"/>
              </w:rPr>
              <w:t>Height (cm)</w:t>
            </w:r>
          </w:p>
        </w:tc>
        <w:tc>
          <w:tcPr>
            <w:tcW w:w="1499" w:type="pct"/>
            <w:tcBorders>
              <w:top w:val="nil"/>
              <w:left w:val="nil"/>
              <w:bottom w:val="single" w:sz="4" w:space="0" w:color="auto"/>
              <w:right w:val="single" w:sz="4" w:space="0" w:color="auto"/>
            </w:tcBorders>
            <w:shd w:val="clear" w:color="auto" w:fill="auto"/>
            <w:noWrap/>
            <w:vAlign w:val="center"/>
            <w:hideMark/>
          </w:tcPr>
          <w:p w14:paraId="4C12CDA0"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val="ru-RU" w:eastAsia="ru-RU"/>
              </w:rPr>
              <w:t>164±1,38</w:t>
            </w:r>
          </w:p>
        </w:tc>
      </w:tr>
      <w:tr w:rsidR="00B53C0B" w:rsidRPr="00B53C0B" w14:paraId="0F138241" w14:textId="77777777" w:rsidTr="003C7FF4">
        <w:trPr>
          <w:trHeight w:val="300"/>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CFDBD0A"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eastAsia="ru-RU"/>
              </w:rPr>
              <w:t xml:space="preserve">Weight </w:t>
            </w:r>
            <w:r w:rsidRPr="00B53C0B">
              <w:rPr>
                <w:rFonts w:eastAsia="Times New Roman" w:cs="Times New Roman"/>
                <w:color w:val="000000"/>
                <w:sz w:val="24"/>
                <w:szCs w:val="24"/>
                <w:lang w:val="ru-RU" w:eastAsia="ru-RU"/>
              </w:rPr>
              <w:t>(</w:t>
            </w:r>
            <w:r w:rsidRPr="00B53C0B">
              <w:rPr>
                <w:rFonts w:eastAsia="Times New Roman" w:cs="Times New Roman"/>
                <w:color w:val="000000"/>
                <w:sz w:val="24"/>
                <w:szCs w:val="24"/>
                <w:lang w:eastAsia="ru-RU"/>
              </w:rPr>
              <w:t>kg</w:t>
            </w:r>
            <w:r w:rsidRPr="00B53C0B">
              <w:rPr>
                <w:rFonts w:eastAsia="Times New Roman" w:cs="Times New Roman"/>
                <w:color w:val="000000"/>
                <w:sz w:val="24"/>
                <w:szCs w:val="24"/>
                <w:lang w:val="ru-RU" w:eastAsia="ru-RU"/>
              </w:rPr>
              <w:t>)</w:t>
            </w:r>
          </w:p>
        </w:tc>
        <w:tc>
          <w:tcPr>
            <w:tcW w:w="1499" w:type="pct"/>
            <w:tcBorders>
              <w:top w:val="nil"/>
              <w:left w:val="nil"/>
              <w:bottom w:val="single" w:sz="4" w:space="0" w:color="auto"/>
              <w:right w:val="single" w:sz="4" w:space="0" w:color="auto"/>
            </w:tcBorders>
            <w:shd w:val="clear" w:color="auto" w:fill="auto"/>
            <w:noWrap/>
            <w:vAlign w:val="center"/>
            <w:hideMark/>
          </w:tcPr>
          <w:p w14:paraId="2D4A1BA6"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val="ru-RU" w:eastAsia="ru-RU"/>
              </w:rPr>
              <w:t>77,1±1,37</w:t>
            </w:r>
          </w:p>
        </w:tc>
      </w:tr>
      <w:tr w:rsidR="00B53C0B" w:rsidRPr="00B53C0B" w14:paraId="7AC5FEBD" w14:textId="77777777" w:rsidTr="003C7FF4">
        <w:trPr>
          <w:trHeight w:val="300"/>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A78AE02"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eastAsia="ru-RU"/>
              </w:rPr>
              <w:t xml:space="preserve">BMI </w:t>
            </w:r>
            <w:r w:rsidRPr="00B53C0B">
              <w:rPr>
                <w:rFonts w:eastAsia="Times New Roman" w:cs="Times New Roman"/>
                <w:color w:val="000000"/>
                <w:sz w:val="24"/>
                <w:szCs w:val="24"/>
                <w:lang w:val="ru-RU" w:eastAsia="ru-RU"/>
              </w:rPr>
              <w:t>(kg/</w:t>
            </w:r>
            <w:r w:rsidRPr="00B53C0B">
              <w:rPr>
                <w:rFonts w:eastAsia="Times New Roman" w:cs="Times New Roman"/>
                <w:color w:val="000000"/>
                <w:sz w:val="24"/>
                <w:szCs w:val="24"/>
                <w:lang w:eastAsia="ru-RU"/>
              </w:rPr>
              <w:t>m</w:t>
            </w:r>
            <w:r w:rsidRPr="00B53C0B">
              <w:rPr>
                <w:rFonts w:eastAsia="Times New Roman" w:cs="Times New Roman"/>
                <w:color w:val="000000"/>
                <w:sz w:val="24"/>
                <w:szCs w:val="24"/>
                <w:vertAlign w:val="superscript"/>
                <w:lang w:eastAsia="ru-RU"/>
              </w:rPr>
              <w:t>2</w:t>
            </w:r>
            <w:r w:rsidRPr="00B53C0B">
              <w:rPr>
                <w:rFonts w:eastAsia="Times New Roman" w:cs="Times New Roman"/>
                <w:color w:val="000000"/>
                <w:sz w:val="24"/>
                <w:szCs w:val="24"/>
                <w:lang w:val="ru-RU" w:eastAsia="ru-RU"/>
              </w:rPr>
              <w:t>)</w:t>
            </w:r>
          </w:p>
        </w:tc>
        <w:tc>
          <w:tcPr>
            <w:tcW w:w="1499" w:type="pct"/>
            <w:tcBorders>
              <w:top w:val="nil"/>
              <w:left w:val="nil"/>
              <w:bottom w:val="single" w:sz="4" w:space="0" w:color="auto"/>
              <w:right w:val="single" w:sz="4" w:space="0" w:color="auto"/>
            </w:tcBorders>
            <w:shd w:val="clear" w:color="auto" w:fill="auto"/>
            <w:noWrap/>
            <w:vAlign w:val="center"/>
            <w:hideMark/>
          </w:tcPr>
          <w:p w14:paraId="02B87DFD" w14:textId="77777777" w:rsidR="00B53C0B" w:rsidRPr="00B53C0B" w:rsidRDefault="00B53C0B" w:rsidP="00735EB7">
            <w:pPr>
              <w:spacing w:line="276" w:lineRule="auto"/>
              <w:jc w:val="center"/>
              <w:rPr>
                <w:rFonts w:eastAsia="Times New Roman" w:cs="Times New Roman"/>
                <w:color w:val="000000"/>
                <w:sz w:val="24"/>
                <w:szCs w:val="24"/>
                <w:lang w:val="ru-RU" w:eastAsia="ru-RU"/>
              </w:rPr>
            </w:pPr>
            <w:r w:rsidRPr="00B53C0B">
              <w:rPr>
                <w:rFonts w:eastAsia="Times New Roman" w:cs="Times New Roman"/>
                <w:color w:val="000000"/>
                <w:sz w:val="24"/>
                <w:szCs w:val="24"/>
                <w:lang w:val="ru-RU" w:eastAsia="ru-RU"/>
              </w:rPr>
              <w:t>27,3±3,926</w:t>
            </w:r>
          </w:p>
        </w:tc>
      </w:tr>
    </w:tbl>
    <w:p w14:paraId="377A6758" w14:textId="77777777" w:rsidR="00735EB7" w:rsidRDefault="00735EB7" w:rsidP="00B53C0B">
      <w:pPr>
        <w:spacing w:line="276" w:lineRule="auto"/>
        <w:ind w:firstLine="567"/>
        <w:jc w:val="both"/>
        <w:rPr>
          <w:rFonts w:eastAsia="Calibri" w:cs="Times New Roman"/>
          <w:sz w:val="24"/>
          <w:szCs w:val="24"/>
        </w:rPr>
      </w:pPr>
    </w:p>
    <w:p w14:paraId="6DDB5D6D" w14:textId="77777777" w:rsidR="00735EB7" w:rsidRDefault="00735EB7" w:rsidP="00B53C0B">
      <w:pPr>
        <w:spacing w:line="276" w:lineRule="auto"/>
        <w:ind w:firstLine="567"/>
        <w:jc w:val="both"/>
        <w:rPr>
          <w:rFonts w:eastAsia="Calibri" w:cs="Times New Roman"/>
          <w:sz w:val="24"/>
          <w:szCs w:val="24"/>
        </w:rPr>
        <w:sectPr w:rsidR="00735EB7" w:rsidSect="001B41EC">
          <w:type w:val="continuous"/>
          <w:pgSz w:w="11907" w:h="16840" w:code="9"/>
          <w:pgMar w:top="1418" w:right="1134" w:bottom="1134" w:left="1134" w:header="907" w:footer="794" w:gutter="0"/>
          <w:cols w:space="708"/>
          <w:docGrid w:linePitch="381"/>
        </w:sectPr>
      </w:pPr>
    </w:p>
    <w:p w14:paraId="18CAA2D5" w14:textId="73F5CB05" w:rsidR="00B53C0B" w:rsidRPr="00B53C0B" w:rsidRDefault="00B53C0B" w:rsidP="00B53C0B">
      <w:pPr>
        <w:spacing w:line="276" w:lineRule="auto"/>
        <w:ind w:firstLine="567"/>
        <w:jc w:val="both"/>
        <w:rPr>
          <w:rFonts w:eastAsia="Batang" w:cs="Times New Roman"/>
          <w:sz w:val="24"/>
          <w:szCs w:val="24"/>
          <w:lang w:eastAsia="ru-RU"/>
        </w:rPr>
      </w:pPr>
      <w:r w:rsidRPr="00B53C0B">
        <w:rPr>
          <w:rFonts w:eastAsia="Calibri" w:cs="Times New Roman"/>
          <w:sz w:val="24"/>
          <w:szCs w:val="24"/>
        </w:rPr>
        <w:t>The data collected during the study showed that the average age of patients with Covid-19 was 51.6 ± 0.82. Body mass index (BMI) was found to be 27.3 ± 3,926.</w:t>
      </w:r>
      <w:r w:rsidRPr="00B53C0B">
        <w:rPr>
          <w:rFonts w:eastAsia="Batang" w:cs="Times New Roman"/>
          <w:sz w:val="24"/>
          <w:szCs w:val="24"/>
          <w:lang w:val="uz-Cyrl-UZ" w:eastAsia="ru-RU"/>
        </w:rPr>
        <w:t xml:space="preserve"> </w:t>
      </w:r>
    </w:p>
    <w:p w14:paraId="30D58DD6" w14:textId="4014FC32" w:rsidR="00B53C0B" w:rsidRPr="00B53C0B" w:rsidRDefault="00B53C0B" w:rsidP="00B53C0B">
      <w:pPr>
        <w:spacing w:line="276" w:lineRule="auto"/>
        <w:ind w:firstLine="567"/>
        <w:jc w:val="both"/>
        <w:rPr>
          <w:rFonts w:eastAsia="Batang" w:cs="Times New Roman"/>
          <w:sz w:val="24"/>
          <w:szCs w:val="24"/>
          <w:lang w:eastAsia="ru-RU"/>
        </w:rPr>
      </w:pPr>
      <w:r w:rsidRPr="00B53C0B">
        <w:rPr>
          <w:rFonts w:eastAsia="Batang" w:cs="Times New Roman"/>
          <w:sz w:val="24"/>
          <w:szCs w:val="24"/>
          <w:lang w:val="uz-Cyrl-UZ" w:eastAsia="ru-RU"/>
        </w:rPr>
        <w:t xml:space="preserve">The </w:t>
      </w:r>
      <w:r w:rsidRPr="00B53C0B">
        <w:rPr>
          <w:rFonts w:eastAsia="Batang" w:cs="Times New Roman"/>
          <w:sz w:val="24"/>
          <w:szCs w:val="24"/>
          <w:lang w:eastAsia="ru-RU"/>
        </w:rPr>
        <w:t>average</w:t>
      </w:r>
      <w:r w:rsidRPr="00B53C0B">
        <w:rPr>
          <w:rFonts w:eastAsia="Batang" w:cs="Times New Roman"/>
          <w:sz w:val="24"/>
          <w:szCs w:val="24"/>
          <w:lang w:val="uz-Cyrl-UZ" w:eastAsia="ru-RU"/>
        </w:rPr>
        <w:t xml:space="preserve"> age of patients was 51.6 ± 0.82 (men </w:t>
      </w:r>
      <w:r w:rsidR="00F44A75">
        <w:rPr>
          <w:rFonts w:eastAsia="Batang" w:cs="Times New Roman"/>
          <w:sz w:val="24"/>
          <w:szCs w:val="24"/>
          <w:lang w:val="uz-Cyrl-UZ" w:eastAsia="ru-RU"/>
        </w:rPr>
        <w:t>–</w:t>
      </w:r>
      <w:r w:rsidRPr="00B53C0B">
        <w:rPr>
          <w:rFonts w:eastAsia="Batang" w:cs="Times New Roman"/>
          <w:sz w:val="24"/>
          <w:szCs w:val="24"/>
          <w:lang w:val="uz-Cyrl-UZ" w:eastAsia="ru-RU"/>
        </w:rPr>
        <w:t xml:space="preserve"> 51.6 ± 2.70, women </w:t>
      </w:r>
      <w:r w:rsidR="00F44A75">
        <w:rPr>
          <w:rFonts w:eastAsia="Batang" w:cs="Times New Roman"/>
          <w:sz w:val="24"/>
          <w:szCs w:val="24"/>
          <w:lang w:val="uz-Cyrl-UZ" w:eastAsia="ru-RU"/>
        </w:rPr>
        <w:t>–</w:t>
      </w:r>
      <w:r w:rsidRPr="00B53C0B">
        <w:rPr>
          <w:rFonts w:eastAsia="Batang" w:cs="Times New Roman"/>
          <w:sz w:val="24"/>
          <w:szCs w:val="24"/>
          <w:lang w:val="uz-Cyrl-UZ" w:eastAsia="ru-RU"/>
        </w:rPr>
        <w:t xml:space="preserve"> 54.7 ± 1.48), </w:t>
      </w:r>
      <w:r w:rsidRPr="00B53C0B">
        <w:rPr>
          <w:rFonts w:eastAsia="Batang" w:cs="Times New Roman"/>
          <w:sz w:val="24"/>
          <w:szCs w:val="24"/>
          <w:lang w:eastAsia="ru-RU"/>
        </w:rPr>
        <w:t xml:space="preserve">the </w:t>
      </w:r>
      <w:r w:rsidRPr="00B53C0B">
        <w:rPr>
          <w:rFonts w:eastAsia="Batang" w:cs="Times New Roman"/>
          <w:sz w:val="24"/>
          <w:szCs w:val="24"/>
          <w:lang w:val="uz-Cyrl-UZ" w:eastAsia="ru-RU"/>
        </w:rPr>
        <w:t xml:space="preserve">height </w:t>
      </w:r>
      <w:r w:rsidR="00F44A75">
        <w:rPr>
          <w:rFonts w:eastAsia="Batang" w:cs="Times New Roman"/>
          <w:sz w:val="24"/>
          <w:szCs w:val="24"/>
          <w:lang w:val="uz-Cyrl-UZ" w:eastAsia="ru-RU"/>
        </w:rPr>
        <w:t>–</w:t>
      </w:r>
      <w:r w:rsidRPr="00B53C0B">
        <w:rPr>
          <w:rFonts w:eastAsia="Batang" w:cs="Times New Roman"/>
          <w:sz w:val="24"/>
          <w:szCs w:val="24"/>
          <w:lang w:val="uz-Cyrl-UZ" w:eastAsia="ru-RU"/>
        </w:rPr>
        <w:t xml:space="preserve"> 164 ± 1.38 cm., </w:t>
      </w:r>
      <w:r w:rsidRPr="00B53C0B">
        <w:rPr>
          <w:rFonts w:eastAsia="Batang" w:cs="Times New Roman"/>
          <w:sz w:val="24"/>
          <w:szCs w:val="24"/>
          <w:lang w:eastAsia="ru-RU"/>
        </w:rPr>
        <w:t xml:space="preserve">the </w:t>
      </w:r>
      <w:r w:rsidRPr="00B53C0B">
        <w:rPr>
          <w:rFonts w:eastAsia="Batang" w:cs="Times New Roman"/>
          <w:sz w:val="24"/>
          <w:szCs w:val="24"/>
          <w:lang w:val="uz-Cyrl-UZ" w:eastAsia="ru-RU"/>
        </w:rPr>
        <w:t>weight was 77.1 ± 1.37 kg, and body mass index (</w:t>
      </w:r>
      <w:r w:rsidRPr="00B53C0B">
        <w:rPr>
          <w:rFonts w:eastAsia="Batang" w:cs="Times New Roman"/>
          <w:sz w:val="24"/>
          <w:szCs w:val="24"/>
          <w:lang w:eastAsia="ru-RU"/>
        </w:rPr>
        <w:t>BMI</w:t>
      </w:r>
      <w:r w:rsidRPr="00B53C0B">
        <w:rPr>
          <w:rFonts w:eastAsia="Batang" w:cs="Times New Roman"/>
          <w:sz w:val="24"/>
          <w:szCs w:val="24"/>
          <w:lang w:val="uz-Cyrl-UZ" w:eastAsia="ru-RU"/>
        </w:rPr>
        <w:t>) was 27.3 ± 3.926.</w:t>
      </w:r>
    </w:p>
    <w:p w14:paraId="0BAF1706" w14:textId="77777777"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In conclusion, it is noticeable that the analysis of patients with Covid-19 shows that the disease manifested more severely in adults, in overweight patients and in patients with high body mass index.</w:t>
      </w:r>
    </w:p>
    <w:p w14:paraId="5712F135" w14:textId="77777777" w:rsidR="00B53C0B" w:rsidRPr="00B53C0B" w:rsidRDefault="00B53C0B" w:rsidP="00B53C0B">
      <w:pPr>
        <w:spacing w:line="276" w:lineRule="auto"/>
        <w:ind w:firstLine="567"/>
        <w:jc w:val="both"/>
        <w:rPr>
          <w:rFonts w:eastAsia="Calibri" w:cs="Times New Roman"/>
          <w:sz w:val="24"/>
          <w:szCs w:val="24"/>
        </w:rPr>
      </w:pPr>
    </w:p>
    <w:p w14:paraId="3307A5D0" w14:textId="48921931" w:rsidR="00B53C0B" w:rsidRDefault="00B53C0B" w:rsidP="00735EB7">
      <w:pPr>
        <w:spacing w:line="276" w:lineRule="auto"/>
        <w:jc w:val="center"/>
        <w:rPr>
          <w:rFonts w:eastAsia="Calibri" w:cs="Times New Roman"/>
          <w:b/>
          <w:bCs/>
          <w:sz w:val="24"/>
          <w:szCs w:val="24"/>
        </w:rPr>
      </w:pPr>
      <w:r w:rsidRPr="00B53C0B">
        <w:rPr>
          <w:rFonts w:eastAsia="Calibri" w:cs="Times New Roman"/>
          <w:b/>
          <w:bCs/>
          <w:sz w:val="24"/>
          <w:szCs w:val="24"/>
        </w:rPr>
        <w:t>REFERENCES</w:t>
      </w:r>
    </w:p>
    <w:p w14:paraId="27DD4332" w14:textId="77777777" w:rsidR="00735EB7" w:rsidRPr="00B53C0B" w:rsidRDefault="00735EB7" w:rsidP="00735EB7">
      <w:pPr>
        <w:spacing w:line="276" w:lineRule="auto"/>
        <w:jc w:val="center"/>
        <w:rPr>
          <w:rFonts w:eastAsia="Calibri" w:cs="Times New Roman"/>
          <w:b/>
          <w:bCs/>
          <w:sz w:val="24"/>
          <w:szCs w:val="24"/>
        </w:rPr>
      </w:pPr>
    </w:p>
    <w:p w14:paraId="4770D98E" w14:textId="0B7970D7"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 xml:space="preserve">1. Al Salameh A. et al. Characteristics and outcomes of COVID ‐ 19 in hospitalized </w:t>
      </w:r>
      <w:r w:rsidRPr="00B53C0B">
        <w:rPr>
          <w:rFonts w:eastAsia="Calibri" w:cs="Times New Roman"/>
          <w:sz w:val="24"/>
          <w:szCs w:val="24"/>
        </w:rPr>
        <w:t xml:space="preserve">patients with and without diabetes // Diabetes / metabolism research and reviews. </w:t>
      </w:r>
      <w:r w:rsidR="00F44A75">
        <w:rPr>
          <w:rFonts w:eastAsia="Calibri" w:cs="Times New Roman"/>
          <w:sz w:val="24"/>
          <w:szCs w:val="24"/>
        </w:rPr>
        <w:t>–</w:t>
      </w:r>
      <w:r w:rsidRPr="00B53C0B">
        <w:rPr>
          <w:rFonts w:eastAsia="Calibri" w:cs="Times New Roman"/>
          <w:sz w:val="24"/>
          <w:szCs w:val="24"/>
        </w:rPr>
        <w:t xml:space="preserve"> 2021. </w:t>
      </w:r>
      <w:r w:rsidR="00F44A75">
        <w:rPr>
          <w:rFonts w:eastAsia="Calibri" w:cs="Times New Roman"/>
          <w:sz w:val="24"/>
          <w:szCs w:val="24"/>
        </w:rPr>
        <w:t>–</w:t>
      </w:r>
      <w:r w:rsidRPr="00B53C0B">
        <w:rPr>
          <w:rFonts w:eastAsia="Calibri" w:cs="Times New Roman"/>
          <w:sz w:val="24"/>
          <w:szCs w:val="24"/>
        </w:rPr>
        <w:t xml:space="preserve"> T. 37. - №. 3. </w:t>
      </w:r>
      <w:r w:rsidR="00F44A75">
        <w:rPr>
          <w:rFonts w:eastAsia="Calibri" w:cs="Times New Roman"/>
          <w:sz w:val="24"/>
          <w:szCs w:val="24"/>
        </w:rPr>
        <w:t>–</w:t>
      </w:r>
      <w:r w:rsidRPr="00B53C0B">
        <w:rPr>
          <w:rFonts w:eastAsia="Calibri" w:cs="Times New Roman"/>
          <w:sz w:val="24"/>
          <w:szCs w:val="24"/>
        </w:rPr>
        <w:t xml:space="preserve"> p. e3388.</w:t>
      </w:r>
    </w:p>
    <w:p w14:paraId="4F56F0E1" w14:textId="72A5FEE9"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 xml:space="preserve">2. Companies L. et al. Body mass index and risk for COVID-19 – related </w:t>
      </w:r>
      <w:r w:rsidR="00F44A75">
        <w:rPr>
          <w:rFonts w:eastAsia="Calibri" w:cs="Times New Roman"/>
          <w:sz w:val="24"/>
          <w:szCs w:val="24"/>
        </w:rPr>
        <w:pgNum/>
      </w:r>
      <w:r w:rsidR="00F44A75">
        <w:rPr>
          <w:rFonts w:eastAsia="Calibri" w:cs="Times New Roman"/>
          <w:sz w:val="24"/>
          <w:szCs w:val="24"/>
        </w:rPr>
        <w:t>utria</w:t>
      </w:r>
      <w:r w:rsidR="00F44A75">
        <w:rPr>
          <w:rFonts w:eastAsia="Calibri" w:cs="Times New Roman"/>
          <w:sz w:val="24"/>
          <w:szCs w:val="24"/>
        </w:rPr>
        <w:pgNum/>
      </w:r>
      <w:r w:rsidR="00F44A75">
        <w:rPr>
          <w:rFonts w:eastAsia="Calibri" w:cs="Times New Roman"/>
          <w:sz w:val="24"/>
          <w:szCs w:val="24"/>
        </w:rPr>
        <w:t>ning</w:t>
      </w:r>
      <w:r w:rsidR="00735EB7">
        <w:rPr>
          <w:rFonts w:eastAsia="Calibri" w:cs="Times New Roman"/>
          <w:sz w:val="24"/>
          <w:szCs w:val="24"/>
        </w:rPr>
        <w:softHyphen/>
      </w:r>
      <w:r w:rsidRPr="00B53C0B">
        <w:rPr>
          <w:rFonts w:eastAsia="Calibri" w:cs="Times New Roman"/>
          <w:sz w:val="24"/>
          <w:szCs w:val="24"/>
        </w:rPr>
        <w:t xml:space="preserve">tion, intensive care unit admission, invasive mechanical ventilation, and death — United States, March – December 2020 // Morbidity and Mortality Weekly Report. </w:t>
      </w:r>
      <w:r w:rsidR="00F44A75">
        <w:rPr>
          <w:rFonts w:eastAsia="Calibri" w:cs="Times New Roman"/>
          <w:sz w:val="24"/>
          <w:szCs w:val="24"/>
        </w:rPr>
        <w:t>–</w:t>
      </w:r>
      <w:r w:rsidRPr="00B53C0B">
        <w:rPr>
          <w:rFonts w:eastAsia="Calibri" w:cs="Times New Roman"/>
          <w:sz w:val="24"/>
          <w:szCs w:val="24"/>
        </w:rPr>
        <w:t xml:space="preserve"> 2021. </w:t>
      </w:r>
      <w:r w:rsidR="00F44A75">
        <w:rPr>
          <w:rFonts w:eastAsia="Calibri" w:cs="Times New Roman"/>
          <w:sz w:val="24"/>
          <w:szCs w:val="24"/>
        </w:rPr>
        <w:t>–</w:t>
      </w:r>
      <w:r w:rsidRPr="00B53C0B">
        <w:rPr>
          <w:rFonts w:eastAsia="Calibri" w:cs="Times New Roman"/>
          <w:sz w:val="24"/>
          <w:szCs w:val="24"/>
        </w:rPr>
        <w:t xml:space="preserve"> T. 70. - №. 10. </w:t>
      </w:r>
      <w:r w:rsidR="00F44A75">
        <w:rPr>
          <w:rFonts w:eastAsia="Calibri" w:cs="Times New Roman"/>
          <w:sz w:val="24"/>
          <w:szCs w:val="24"/>
        </w:rPr>
        <w:t>–</w:t>
      </w:r>
      <w:r w:rsidRPr="00B53C0B">
        <w:rPr>
          <w:rFonts w:eastAsia="Calibri" w:cs="Times New Roman"/>
          <w:sz w:val="24"/>
          <w:szCs w:val="24"/>
        </w:rPr>
        <w:t xml:space="preserve"> p. 355.</w:t>
      </w:r>
    </w:p>
    <w:p w14:paraId="5563CED7" w14:textId="6D937044"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3. Kim J., Nam J. H. Insight into the re</w:t>
      </w:r>
      <w:r w:rsidR="00735EB7">
        <w:rPr>
          <w:rFonts w:eastAsia="Calibri" w:cs="Times New Roman"/>
          <w:sz w:val="24"/>
          <w:szCs w:val="24"/>
        </w:rPr>
        <w:softHyphen/>
      </w:r>
      <w:r w:rsidRPr="00B53C0B">
        <w:rPr>
          <w:rFonts w:eastAsia="Calibri" w:cs="Times New Roman"/>
          <w:sz w:val="24"/>
          <w:szCs w:val="24"/>
        </w:rPr>
        <w:t>lationship between obesity-induced low-level chronic inflammation and COVID-19 infec</w:t>
      </w:r>
      <w:r w:rsidR="00735EB7">
        <w:rPr>
          <w:rFonts w:eastAsia="Calibri" w:cs="Times New Roman"/>
          <w:sz w:val="24"/>
          <w:szCs w:val="24"/>
        </w:rPr>
        <w:softHyphen/>
      </w:r>
      <w:r w:rsidRPr="00B53C0B">
        <w:rPr>
          <w:rFonts w:eastAsia="Calibri" w:cs="Times New Roman"/>
          <w:sz w:val="24"/>
          <w:szCs w:val="24"/>
        </w:rPr>
        <w:t xml:space="preserve">tion // International Journal of Obesity. </w:t>
      </w:r>
      <w:r w:rsidR="00F44A75">
        <w:rPr>
          <w:rFonts w:eastAsia="Calibri" w:cs="Times New Roman"/>
          <w:sz w:val="24"/>
          <w:szCs w:val="24"/>
        </w:rPr>
        <w:t>–</w:t>
      </w:r>
      <w:r w:rsidRPr="00B53C0B">
        <w:rPr>
          <w:rFonts w:eastAsia="Calibri" w:cs="Times New Roman"/>
          <w:sz w:val="24"/>
          <w:szCs w:val="24"/>
        </w:rPr>
        <w:t xml:space="preserve"> 2020. </w:t>
      </w:r>
      <w:r w:rsidR="00F44A75">
        <w:rPr>
          <w:rFonts w:eastAsia="Calibri" w:cs="Times New Roman"/>
          <w:sz w:val="24"/>
          <w:szCs w:val="24"/>
        </w:rPr>
        <w:t>–</w:t>
      </w:r>
      <w:r w:rsidRPr="00B53C0B">
        <w:rPr>
          <w:rFonts w:eastAsia="Calibri" w:cs="Times New Roman"/>
          <w:sz w:val="24"/>
          <w:szCs w:val="24"/>
        </w:rPr>
        <w:t xml:space="preserve"> T. 44. - №. 7. </w:t>
      </w:r>
      <w:r w:rsidR="00F44A75">
        <w:rPr>
          <w:rFonts w:eastAsia="Calibri" w:cs="Times New Roman"/>
          <w:sz w:val="24"/>
          <w:szCs w:val="24"/>
        </w:rPr>
        <w:t>–</w:t>
      </w:r>
      <w:r w:rsidRPr="00B53C0B">
        <w:rPr>
          <w:rFonts w:eastAsia="Calibri" w:cs="Times New Roman"/>
          <w:sz w:val="24"/>
          <w:szCs w:val="24"/>
        </w:rPr>
        <w:t xml:space="preserve"> p. 1541-1542.</w:t>
      </w:r>
    </w:p>
    <w:p w14:paraId="7102E58B" w14:textId="54516F7C" w:rsidR="00B53C0B" w:rsidRPr="00B53C0B" w:rsidRDefault="00B53C0B" w:rsidP="00B53C0B">
      <w:pPr>
        <w:spacing w:line="276" w:lineRule="auto"/>
        <w:ind w:firstLine="567"/>
        <w:jc w:val="both"/>
        <w:rPr>
          <w:rFonts w:eastAsia="Calibri" w:cs="Times New Roman"/>
          <w:sz w:val="24"/>
          <w:szCs w:val="24"/>
        </w:rPr>
      </w:pPr>
      <w:r w:rsidRPr="00B53C0B">
        <w:rPr>
          <w:rFonts w:eastAsia="Calibri" w:cs="Times New Roman"/>
          <w:sz w:val="24"/>
          <w:szCs w:val="24"/>
        </w:rPr>
        <w:t>4. Shaykhova G.I., Ortikov B.T., Abdul</w:t>
      </w:r>
      <w:r w:rsidR="00735EB7">
        <w:rPr>
          <w:rFonts w:eastAsia="Calibri" w:cs="Times New Roman"/>
          <w:sz w:val="24"/>
          <w:szCs w:val="24"/>
        </w:rPr>
        <w:softHyphen/>
      </w:r>
      <w:r w:rsidRPr="00B53C0B">
        <w:rPr>
          <w:rFonts w:eastAsia="Calibri" w:cs="Times New Roman"/>
          <w:sz w:val="24"/>
          <w:szCs w:val="24"/>
        </w:rPr>
        <w:t xml:space="preserve">laeva D.G. </w:t>
      </w:r>
      <w:r w:rsidR="00F44A75">
        <w:rPr>
          <w:rFonts w:eastAsia="Calibri" w:cs="Times New Roman"/>
          <w:sz w:val="24"/>
          <w:szCs w:val="24"/>
        </w:rPr>
        <w:t>–</w:t>
      </w:r>
      <w:r w:rsidRPr="00B53C0B">
        <w:rPr>
          <w:rFonts w:eastAsia="Calibri" w:cs="Times New Roman"/>
          <w:sz w:val="24"/>
          <w:szCs w:val="24"/>
        </w:rPr>
        <w:t xml:space="preserve"> Proper nutrition during corona</w:t>
      </w:r>
      <w:r w:rsidR="00735EB7">
        <w:rPr>
          <w:rFonts w:eastAsia="Calibri" w:cs="Times New Roman"/>
          <w:sz w:val="24"/>
          <w:szCs w:val="24"/>
        </w:rPr>
        <w:softHyphen/>
      </w:r>
      <w:r w:rsidRPr="00B53C0B">
        <w:rPr>
          <w:rFonts w:eastAsia="Calibri" w:cs="Times New Roman"/>
          <w:sz w:val="24"/>
          <w:szCs w:val="24"/>
        </w:rPr>
        <w:t>virus. // “Newsletter (Akhborotnoma)” 2021. №2., P. 52-58</w:t>
      </w:r>
    </w:p>
    <w:p w14:paraId="139C2339" w14:textId="77777777" w:rsidR="00735EB7" w:rsidRDefault="00735EB7" w:rsidP="00B53C0B">
      <w:pPr>
        <w:spacing w:line="276" w:lineRule="auto"/>
        <w:ind w:firstLine="284"/>
        <w:jc w:val="both"/>
        <w:rPr>
          <w:rFonts w:cs="Times New Roman"/>
          <w:sz w:val="24"/>
          <w:szCs w:val="24"/>
          <w:lang w:val="uz-Latn-UZ"/>
        </w:rPr>
        <w:sectPr w:rsidR="00735EB7" w:rsidSect="00735EB7">
          <w:type w:val="continuous"/>
          <w:pgSz w:w="11907" w:h="16840" w:code="9"/>
          <w:pgMar w:top="1418" w:right="1134" w:bottom="1134" w:left="1134" w:header="907" w:footer="794" w:gutter="0"/>
          <w:cols w:num="2" w:space="708"/>
          <w:docGrid w:linePitch="381"/>
        </w:sectPr>
      </w:pPr>
    </w:p>
    <w:p w14:paraId="6AE56DF4" w14:textId="77777777" w:rsidR="005C5D6C" w:rsidRPr="005C5D6C" w:rsidRDefault="005C5D6C" w:rsidP="00235FAF">
      <w:pPr>
        <w:spacing w:line="300" w:lineRule="auto"/>
        <w:jc w:val="both"/>
        <w:rPr>
          <w:rFonts w:cs="Times New Roman"/>
          <w:sz w:val="24"/>
          <w:szCs w:val="24"/>
        </w:rPr>
      </w:pPr>
      <w:r w:rsidRPr="005C5D6C">
        <w:rPr>
          <w:rFonts w:cs="Times New Roman"/>
          <w:sz w:val="24"/>
          <w:szCs w:val="24"/>
        </w:rPr>
        <w:lastRenderedPageBreak/>
        <w:t>UDC: 616.61-036.12:616-083.2:612.392</w:t>
      </w:r>
    </w:p>
    <w:p w14:paraId="7EB82785" w14:textId="77777777" w:rsidR="005C5D6C" w:rsidRPr="005C5D6C" w:rsidRDefault="005C5D6C" w:rsidP="00235FAF">
      <w:pPr>
        <w:spacing w:line="300" w:lineRule="auto"/>
        <w:ind w:firstLine="567"/>
        <w:jc w:val="both"/>
        <w:rPr>
          <w:rFonts w:cs="Times New Roman"/>
          <w:sz w:val="24"/>
          <w:szCs w:val="24"/>
        </w:rPr>
      </w:pPr>
    </w:p>
    <w:p w14:paraId="79D104AF" w14:textId="77777777" w:rsidR="005C5D6C" w:rsidRPr="00235FAF" w:rsidRDefault="005C5D6C" w:rsidP="00752EAA">
      <w:pPr>
        <w:pStyle w:val="1"/>
      </w:pPr>
      <w:bookmarkStart w:id="23" w:name="_Toc104745742"/>
      <w:r w:rsidRPr="00235FAF">
        <w:t>ASSESSMENT OF ACTUAL NUTRITION OF PATIENTS WITH CHRONIC DISEASE OF KIDNEYS</w:t>
      </w:r>
      <w:bookmarkEnd w:id="23"/>
    </w:p>
    <w:p w14:paraId="62ADB904" w14:textId="77777777" w:rsidR="005C5D6C" w:rsidRPr="005C5D6C" w:rsidRDefault="005C5D6C" w:rsidP="00235FAF">
      <w:pPr>
        <w:spacing w:line="300" w:lineRule="auto"/>
        <w:ind w:firstLine="567"/>
        <w:jc w:val="both"/>
        <w:rPr>
          <w:rFonts w:cs="Times New Roman"/>
          <w:sz w:val="24"/>
          <w:szCs w:val="24"/>
        </w:rPr>
      </w:pPr>
    </w:p>
    <w:p w14:paraId="3D9FA9A4" w14:textId="77777777" w:rsidR="005C5D6C" w:rsidRPr="00235FAF" w:rsidRDefault="005C5D6C" w:rsidP="00235FAF">
      <w:pPr>
        <w:spacing w:line="300" w:lineRule="auto"/>
        <w:jc w:val="center"/>
        <w:rPr>
          <w:rFonts w:cs="Times New Roman"/>
          <w:b/>
          <w:bCs/>
          <w:sz w:val="24"/>
          <w:szCs w:val="24"/>
        </w:rPr>
      </w:pPr>
      <w:r w:rsidRPr="00235FAF">
        <w:rPr>
          <w:rFonts w:cs="Times New Roman"/>
          <w:b/>
          <w:bCs/>
          <w:sz w:val="24"/>
          <w:szCs w:val="24"/>
        </w:rPr>
        <w:t>Otajonov I.O., Ismailova M.B., Turkmanbaeva F.N., Fayzibоyev S.S.</w:t>
      </w:r>
    </w:p>
    <w:p w14:paraId="313BD497" w14:textId="77777777" w:rsidR="005C5D6C" w:rsidRPr="005C5D6C" w:rsidRDefault="005C5D6C" w:rsidP="00235FAF">
      <w:pPr>
        <w:spacing w:line="300" w:lineRule="auto"/>
        <w:jc w:val="center"/>
        <w:rPr>
          <w:rFonts w:cs="Times New Roman"/>
          <w:sz w:val="24"/>
          <w:szCs w:val="24"/>
        </w:rPr>
      </w:pPr>
      <w:r w:rsidRPr="005C5D6C">
        <w:rPr>
          <w:rFonts w:cs="Times New Roman"/>
          <w:sz w:val="24"/>
          <w:szCs w:val="24"/>
        </w:rPr>
        <w:t>Tashkent medical academy, Tashkent, Uzbekistan</w:t>
      </w:r>
    </w:p>
    <w:p w14:paraId="5F5780CA" w14:textId="77777777" w:rsidR="005C5D6C" w:rsidRPr="005C5D6C" w:rsidRDefault="005C5D6C" w:rsidP="00235FAF">
      <w:pPr>
        <w:spacing w:line="300" w:lineRule="auto"/>
        <w:ind w:firstLine="567"/>
        <w:jc w:val="both"/>
        <w:rPr>
          <w:rFonts w:cs="Times New Roman"/>
          <w:sz w:val="24"/>
          <w:szCs w:val="24"/>
        </w:rPr>
      </w:pPr>
    </w:p>
    <w:p w14:paraId="3AF4C0B7" w14:textId="77777777" w:rsidR="005C5D6C" w:rsidRPr="00235FAF" w:rsidRDefault="005C5D6C" w:rsidP="00235FAF">
      <w:pPr>
        <w:spacing w:line="300" w:lineRule="auto"/>
        <w:ind w:firstLine="567"/>
        <w:jc w:val="both"/>
        <w:rPr>
          <w:rFonts w:cs="Times New Roman"/>
          <w:i/>
          <w:iCs/>
          <w:sz w:val="24"/>
          <w:szCs w:val="24"/>
        </w:rPr>
      </w:pPr>
      <w:r w:rsidRPr="00235FAF">
        <w:rPr>
          <w:rFonts w:cs="Times New Roman"/>
          <w:b/>
          <w:bCs/>
          <w:i/>
          <w:iCs/>
          <w:sz w:val="24"/>
          <w:szCs w:val="24"/>
        </w:rPr>
        <w:t>Annotation</w:t>
      </w:r>
      <w:r w:rsidRPr="00235FAF">
        <w:rPr>
          <w:rFonts w:cs="Times New Roman"/>
          <w:i/>
          <w:iCs/>
          <w:sz w:val="24"/>
          <w:szCs w:val="24"/>
        </w:rPr>
        <w:t>. When studying the actual nutrition of patients with chronic disease of kidney (CDK), it was found that the actual nutrition of 105 patients with CDK is scarce in terms of consumption of meat products (beef, poultry, fish), dairy products (milk, sour cream, curd), potatoes, vegetables, fruits, etc., especially in winter and spring time. At the same time consumption of legumes and flour products is overestimated, which does not meet dietary requirements of nutrition and can cause protein-energy insufficiency and increase the number of complications of the main disease.</w:t>
      </w:r>
    </w:p>
    <w:p w14:paraId="5A920592" w14:textId="77777777" w:rsidR="005C5D6C" w:rsidRPr="00235FAF" w:rsidRDefault="005C5D6C" w:rsidP="00235FAF">
      <w:pPr>
        <w:spacing w:line="300" w:lineRule="auto"/>
        <w:ind w:firstLine="567"/>
        <w:jc w:val="both"/>
        <w:rPr>
          <w:rFonts w:cs="Times New Roman"/>
          <w:i/>
          <w:iCs/>
          <w:sz w:val="24"/>
          <w:szCs w:val="24"/>
        </w:rPr>
      </w:pPr>
      <w:r w:rsidRPr="00235FAF">
        <w:rPr>
          <w:rFonts w:cs="Times New Roman"/>
          <w:b/>
          <w:bCs/>
          <w:i/>
          <w:iCs/>
          <w:sz w:val="24"/>
          <w:szCs w:val="24"/>
        </w:rPr>
        <w:t>Keywords</w:t>
      </w:r>
      <w:r w:rsidRPr="00235FAF">
        <w:rPr>
          <w:rFonts w:cs="Times New Roman"/>
          <w:i/>
          <w:iCs/>
          <w:sz w:val="24"/>
          <w:szCs w:val="24"/>
        </w:rPr>
        <w:t>: patients with chronic kidney of disease, actual nutrition, food, average daily norms, dietary nutrition.</w:t>
      </w:r>
    </w:p>
    <w:p w14:paraId="2EEC8AC1" w14:textId="77777777" w:rsidR="005C5D6C" w:rsidRPr="005C5D6C" w:rsidRDefault="005C5D6C" w:rsidP="00235FAF">
      <w:pPr>
        <w:spacing w:line="300" w:lineRule="auto"/>
        <w:ind w:firstLine="567"/>
        <w:jc w:val="both"/>
        <w:rPr>
          <w:rFonts w:cs="Times New Roman"/>
          <w:sz w:val="24"/>
          <w:szCs w:val="24"/>
        </w:rPr>
      </w:pPr>
    </w:p>
    <w:p w14:paraId="4393EA5A" w14:textId="77777777" w:rsidR="005C5D6C" w:rsidRPr="005C5D6C" w:rsidRDefault="005C5D6C" w:rsidP="00235FAF">
      <w:pPr>
        <w:spacing w:line="300" w:lineRule="auto"/>
        <w:ind w:firstLine="567"/>
        <w:jc w:val="both"/>
        <w:rPr>
          <w:rFonts w:cs="Times New Roman"/>
          <w:sz w:val="24"/>
          <w:szCs w:val="24"/>
        </w:rPr>
      </w:pPr>
    </w:p>
    <w:p w14:paraId="1C92492D" w14:textId="77777777" w:rsidR="005C5D6C" w:rsidRPr="00235FAF" w:rsidRDefault="005C5D6C" w:rsidP="00235FAF">
      <w:pPr>
        <w:spacing w:line="300" w:lineRule="auto"/>
        <w:jc w:val="center"/>
        <w:rPr>
          <w:rFonts w:cs="Times New Roman"/>
          <w:b/>
          <w:bCs/>
          <w:sz w:val="24"/>
          <w:szCs w:val="24"/>
          <w:lang w:val="ru-RU"/>
        </w:rPr>
      </w:pPr>
      <w:r w:rsidRPr="00235FAF">
        <w:rPr>
          <w:rFonts w:cs="Times New Roman"/>
          <w:b/>
          <w:bCs/>
          <w:sz w:val="24"/>
          <w:szCs w:val="24"/>
          <w:lang w:val="ru-RU"/>
        </w:rPr>
        <w:t>ОЦЕНКА ФАКТИЧЕСКОГО ПИТАНИЯ БОЛЬНЫХ С ХРОНИЧЕСКОЙ БОЛЕЗНЬЮ ПОЧЕК</w:t>
      </w:r>
    </w:p>
    <w:p w14:paraId="330E0BF4" w14:textId="77777777" w:rsidR="005C5D6C" w:rsidRPr="005C5D6C" w:rsidRDefault="005C5D6C" w:rsidP="00235FAF">
      <w:pPr>
        <w:spacing w:line="300" w:lineRule="auto"/>
        <w:ind w:firstLine="567"/>
        <w:jc w:val="both"/>
        <w:rPr>
          <w:rFonts w:cs="Times New Roman"/>
          <w:sz w:val="24"/>
          <w:szCs w:val="24"/>
          <w:lang w:val="ru-RU"/>
        </w:rPr>
      </w:pPr>
    </w:p>
    <w:p w14:paraId="3CED69DB" w14:textId="77777777" w:rsidR="005C5D6C" w:rsidRPr="00235FAF" w:rsidRDefault="005C5D6C" w:rsidP="00235FAF">
      <w:pPr>
        <w:spacing w:line="300" w:lineRule="auto"/>
        <w:jc w:val="center"/>
        <w:rPr>
          <w:rFonts w:cs="Times New Roman"/>
          <w:b/>
          <w:bCs/>
          <w:sz w:val="24"/>
          <w:szCs w:val="24"/>
          <w:lang w:val="ru-RU"/>
        </w:rPr>
      </w:pPr>
      <w:r w:rsidRPr="00235FAF">
        <w:rPr>
          <w:rFonts w:cs="Times New Roman"/>
          <w:b/>
          <w:bCs/>
          <w:sz w:val="24"/>
          <w:szCs w:val="24"/>
          <w:lang w:val="ru-RU"/>
        </w:rPr>
        <w:t>Отажонов И.О., Исмайлова М.Б., Туркманбаева Ф.Н., Файзибоев С.С.</w:t>
      </w:r>
    </w:p>
    <w:p w14:paraId="7B02C4B5" w14:textId="77777777" w:rsidR="005C5D6C" w:rsidRPr="005C5D6C" w:rsidRDefault="005C5D6C" w:rsidP="00235FAF">
      <w:pPr>
        <w:spacing w:line="300" w:lineRule="auto"/>
        <w:jc w:val="center"/>
        <w:rPr>
          <w:rFonts w:cs="Times New Roman"/>
          <w:sz w:val="24"/>
          <w:szCs w:val="24"/>
          <w:lang w:val="ru-RU"/>
        </w:rPr>
      </w:pPr>
      <w:r w:rsidRPr="005C5D6C">
        <w:rPr>
          <w:rFonts w:cs="Times New Roman"/>
          <w:sz w:val="24"/>
          <w:szCs w:val="24"/>
          <w:lang w:val="ru-RU"/>
        </w:rPr>
        <w:t>Ташкентская медицинская академия, Ташкент, Узбекистан</w:t>
      </w:r>
    </w:p>
    <w:p w14:paraId="34413EE7" w14:textId="77777777" w:rsidR="005C5D6C" w:rsidRPr="005C5D6C" w:rsidRDefault="005C5D6C" w:rsidP="00235FAF">
      <w:pPr>
        <w:spacing w:line="300" w:lineRule="auto"/>
        <w:ind w:firstLine="567"/>
        <w:jc w:val="both"/>
        <w:rPr>
          <w:rFonts w:cs="Times New Roman"/>
          <w:sz w:val="24"/>
          <w:szCs w:val="24"/>
          <w:lang w:val="ru-RU"/>
        </w:rPr>
      </w:pPr>
    </w:p>
    <w:p w14:paraId="4616F42B" w14:textId="0247471C" w:rsidR="005C5D6C" w:rsidRPr="00235FAF" w:rsidRDefault="00235FAF" w:rsidP="00235FAF">
      <w:pPr>
        <w:spacing w:line="300" w:lineRule="auto"/>
        <w:ind w:firstLine="567"/>
        <w:jc w:val="both"/>
        <w:rPr>
          <w:rFonts w:cs="Times New Roman"/>
          <w:i/>
          <w:iCs/>
          <w:sz w:val="24"/>
          <w:szCs w:val="24"/>
          <w:lang w:val="ru-RU"/>
        </w:rPr>
      </w:pPr>
      <w:r w:rsidRPr="00235FAF">
        <w:rPr>
          <w:rFonts w:cs="Times New Roman"/>
          <w:b/>
          <w:bCs/>
          <w:i/>
          <w:iCs/>
          <w:sz w:val="24"/>
          <w:szCs w:val="24"/>
          <w:lang w:val="ru-RU"/>
        </w:rPr>
        <w:t>Аннотация</w:t>
      </w:r>
      <w:r w:rsidR="005C5D6C" w:rsidRPr="00235FAF">
        <w:rPr>
          <w:rFonts w:cs="Times New Roman"/>
          <w:i/>
          <w:iCs/>
          <w:sz w:val="24"/>
          <w:szCs w:val="24"/>
          <w:lang w:val="ru-RU"/>
        </w:rPr>
        <w:t xml:space="preserve">. При изучении фактического питания больных с хронической болезнью почек (ХБП) установлено, что фактическое питание 105 больных с ХБП носит дефицитный характер по потреблению мясных продуктов (говядина, птица, рыба), молочных продуктов (молоко, сметана, творог), картофеля, овощей, фруктов и др., особенно в зимне-весенний период. При этом потребления бобовых и мучных продуктов завышено, что не соответствует диетическим требованиям питания и может быть причиной белково-энергетической недостаточности и увеличить количество осложнений основного заболевания. </w:t>
      </w:r>
    </w:p>
    <w:p w14:paraId="79A1DDB3" w14:textId="77777777" w:rsidR="005C5D6C" w:rsidRPr="00235FAF" w:rsidRDefault="005C5D6C" w:rsidP="00235FAF">
      <w:pPr>
        <w:spacing w:line="300" w:lineRule="auto"/>
        <w:ind w:firstLine="567"/>
        <w:jc w:val="both"/>
        <w:rPr>
          <w:rFonts w:cs="Times New Roman"/>
          <w:i/>
          <w:iCs/>
          <w:sz w:val="24"/>
          <w:szCs w:val="24"/>
          <w:lang w:val="ru-RU"/>
        </w:rPr>
      </w:pPr>
      <w:r w:rsidRPr="00235FAF">
        <w:rPr>
          <w:rFonts w:cs="Times New Roman"/>
          <w:b/>
          <w:bCs/>
          <w:i/>
          <w:iCs/>
          <w:sz w:val="24"/>
          <w:szCs w:val="24"/>
          <w:lang w:val="ru-RU"/>
        </w:rPr>
        <w:t>Ключевые слова:</w:t>
      </w:r>
      <w:r w:rsidRPr="00235FAF">
        <w:rPr>
          <w:rFonts w:cs="Times New Roman"/>
          <w:i/>
          <w:iCs/>
          <w:sz w:val="24"/>
          <w:szCs w:val="24"/>
          <w:lang w:val="ru-RU"/>
        </w:rPr>
        <w:t xml:space="preserve"> больные с хронической болезнью почек, фактическое питание, продукты питания, среднесуточные нормы, диетическое питание.</w:t>
      </w:r>
    </w:p>
    <w:p w14:paraId="51C31230" w14:textId="77777777" w:rsidR="005C5D6C" w:rsidRPr="005C5D6C" w:rsidRDefault="005C5D6C" w:rsidP="00235FAF">
      <w:pPr>
        <w:spacing w:line="300" w:lineRule="auto"/>
        <w:ind w:firstLine="567"/>
        <w:jc w:val="both"/>
        <w:rPr>
          <w:rFonts w:cs="Times New Roman"/>
          <w:sz w:val="24"/>
          <w:szCs w:val="24"/>
          <w:lang w:val="ru-RU"/>
        </w:rPr>
      </w:pPr>
    </w:p>
    <w:p w14:paraId="439DA683" w14:textId="714F7B6B" w:rsidR="005C5D6C" w:rsidRDefault="005C5D6C" w:rsidP="00235FAF">
      <w:pPr>
        <w:spacing w:line="300" w:lineRule="auto"/>
        <w:ind w:firstLine="567"/>
        <w:jc w:val="both"/>
        <w:rPr>
          <w:rFonts w:cs="Times New Roman"/>
          <w:sz w:val="24"/>
          <w:szCs w:val="24"/>
          <w:lang w:val="ru-RU"/>
        </w:rPr>
      </w:pPr>
    </w:p>
    <w:p w14:paraId="113EA725" w14:textId="2B9EDFE1" w:rsidR="00235FAF" w:rsidRDefault="00235FAF" w:rsidP="00235FAF">
      <w:pPr>
        <w:spacing w:line="300" w:lineRule="auto"/>
        <w:ind w:firstLine="567"/>
        <w:jc w:val="both"/>
        <w:rPr>
          <w:rFonts w:cs="Times New Roman"/>
          <w:sz w:val="24"/>
          <w:szCs w:val="24"/>
          <w:lang w:val="ru-RU"/>
        </w:rPr>
      </w:pPr>
    </w:p>
    <w:p w14:paraId="08FF7F60" w14:textId="4CC64809" w:rsidR="00235FAF" w:rsidRDefault="00235FAF" w:rsidP="00235FAF">
      <w:pPr>
        <w:spacing w:line="300" w:lineRule="auto"/>
        <w:ind w:firstLine="567"/>
        <w:jc w:val="both"/>
        <w:rPr>
          <w:rFonts w:cs="Times New Roman"/>
          <w:sz w:val="24"/>
          <w:szCs w:val="24"/>
          <w:lang w:val="ru-RU"/>
        </w:rPr>
      </w:pPr>
    </w:p>
    <w:p w14:paraId="6DC66A04" w14:textId="6FDE191B" w:rsidR="00235FAF" w:rsidRDefault="00235FAF" w:rsidP="00235FAF">
      <w:pPr>
        <w:spacing w:line="300" w:lineRule="auto"/>
        <w:ind w:firstLine="567"/>
        <w:jc w:val="both"/>
        <w:rPr>
          <w:rFonts w:cs="Times New Roman"/>
          <w:sz w:val="24"/>
          <w:szCs w:val="24"/>
          <w:lang w:val="ru-RU"/>
        </w:rPr>
      </w:pPr>
    </w:p>
    <w:p w14:paraId="3676122D" w14:textId="6AA41B71" w:rsidR="00235FAF" w:rsidRDefault="00235FAF" w:rsidP="00235FAF">
      <w:pPr>
        <w:spacing w:line="300" w:lineRule="auto"/>
        <w:ind w:firstLine="567"/>
        <w:jc w:val="both"/>
        <w:rPr>
          <w:rFonts w:cs="Times New Roman"/>
          <w:sz w:val="24"/>
          <w:szCs w:val="24"/>
          <w:lang w:val="ru-RU"/>
        </w:rPr>
      </w:pPr>
    </w:p>
    <w:p w14:paraId="34BDA8C0" w14:textId="77777777" w:rsidR="00235FAF" w:rsidRPr="005C5D6C" w:rsidRDefault="00235FAF" w:rsidP="00235FAF">
      <w:pPr>
        <w:spacing w:line="300" w:lineRule="auto"/>
        <w:ind w:firstLine="567"/>
        <w:jc w:val="both"/>
        <w:rPr>
          <w:rFonts w:cs="Times New Roman"/>
          <w:sz w:val="24"/>
          <w:szCs w:val="24"/>
          <w:lang w:val="ru-RU"/>
        </w:rPr>
      </w:pPr>
    </w:p>
    <w:p w14:paraId="1209B8B9" w14:textId="77777777" w:rsidR="005C5D6C" w:rsidRPr="00235FAF" w:rsidRDefault="005C5D6C" w:rsidP="00235FAF">
      <w:pPr>
        <w:spacing w:line="300" w:lineRule="auto"/>
        <w:jc w:val="center"/>
        <w:rPr>
          <w:rFonts w:cs="Times New Roman"/>
          <w:b/>
          <w:bCs/>
          <w:sz w:val="24"/>
          <w:szCs w:val="24"/>
          <w:lang w:val="ru-RU"/>
        </w:rPr>
      </w:pPr>
      <w:r w:rsidRPr="00235FAF">
        <w:rPr>
          <w:rFonts w:cs="Times New Roman"/>
          <w:b/>
          <w:bCs/>
          <w:sz w:val="24"/>
          <w:szCs w:val="24"/>
          <w:lang w:val="ru-RU"/>
        </w:rPr>
        <w:lastRenderedPageBreak/>
        <w:t>СУРУНКАЛИ БУЙРАК КАСАЛЛИГИ БЎЛГАН БЕМОРЛАР ОВҚАТЛАНИШИНИ БАҲОЛАШ</w:t>
      </w:r>
    </w:p>
    <w:p w14:paraId="1A004F7A" w14:textId="77777777" w:rsidR="005C5D6C" w:rsidRPr="005C5D6C" w:rsidRDefault="005C5D6C" w:rsidP="00235FAF">
      <w:pPr>
        <w:spacing w:line="300" w:lineRule="auto"/>
        <w:ind w:firstLine="567"/>
        <w:jc w:val="both"/>
        <w:rPr>
          <w:rFonts w:cs="Times New Roman"/>
          <w:sz w:val="24"/>
          <w:szCs w:val="24"/>
          <w:lang w:val="ru-RU"/>
        </w:rPr>
      </w:pPr>
    </w:p>
    <w:p w14:paraId="18F5ACA0" w14:textId="77777777" w:rsidR="005C5D6C" w:rsidRPr="00235FAF" w:rsidRDefault="005C5D6C" w:rsidP="00235FAF">
      <w:pPr>
        <w:spacing w:line="300" w:lineRule="auto"/>
        <w:jc w:val="center"/>
        <w:rPr>
          <w:rFonts w:cs="Times New Roman"/>
          <w:b/>
          <w:bCs/>
          <w:sz w:val="24"/>
          <w:szCs w:val="24"/>
          <w:lang w:val="ru-RU"/>
        </w:rPr>
      </w:pPr>
      <w:r w:rsidRPr="00235FAF">
        <w:rPr>
          <w:rFonts w:cs="Times New Roman"/>
          <w:b/>
          <w:bCs/>
          <w:sz w:val="24"/>
          <w:szCs w:val="24"/>
          <w:lang w:val="ru-RU"/>
        </w:rPr>
        <w:t>Отажонов И.О., Исмайлова М.Б., Туркманбаева Ф.Н., Файзибоев С.С.</w:t>
      </w:r>
    </w:p>
    <w:p w14:paraId="23EC3D89" w14:textId="77777777" w:rsidR="005C5D6C" w:rsidRPr="005C5D6C" w:rsidRDefault="005C5D6C" w:rsidP="00235FAF">
      <w:pPr>
        <w:spacing w:line="300" w:lineRule="auto"/>
        <w:jc w:val="center"/>
        <w:rPr>
          <w:rFonts w:cs="Times New Roman"/>
          <w:sz w:val="24"/>
          <w:szCs w:val="24"/>
          <w:lang w:val="ru-RU"/>
        </w:rPr>
      </w:pPr>
      <w:r w:rsidRPr="005C5D6C">
        <w:rPr>
          <w:rFonts w:cs="Times New Roman"/>
          <w:sz w:val="24"/>
          <w:szCs w:val="24"/>
          <w:lang w:val="ru-RU"/>
        </w:rPr>
        <w:t xml:space="preserve">Тошкент тиббиёт академияси, </w:t>
      </w:r>
      <w:r w:rsidRPr="005C5D6C">
        <w:rPr>
          <w:rFonts w:cs="Times New Roman"/>
          <w:sz w:val="24"/>
          <w:szCs w:val="24"/>
        </w:rPr>
        <w:t>Toshkent</w:t>
      </w:r>
      <w:r w:rsidRPr="005C5D6C">
        <w:rPr>
          <w:rFonts w:cs="Times New Roman"/>
          <w:sz w:val="24"/>
          <w:szCs w:val="24"/>
          <w:lang w:val="ru-RU"/>
        </w:rPr>
        <w:t xml:space="preserve">, </w:t>
      </w:r>
      <w:r w:rsidRPr="005C5D6C">
        <w:rPr>
          <w:rFonts w:cs="Times New Roman"/>
          <w:sz w:val="24"/>
          <w:szCs w:val="24"/>
        </w:rPr>
        <w:t>O</w:t>
      </w:r>
      <w:r w:rsidRPr="005C5D6C">
        <w:rPr>
          <w:rFonts w:cs="Times New Roman"/>
          <w:sz w:val="24"/>
          <w:szCs w:val="24"/>
          <w:lang w:val="ru-RU"/>
        </w:rPr>
        <w:t>ʻ</w:t>
      </w:r>
      <w:r w:rsidRPr="005C5D6C">
        <w:rPr>
          <w:rFonts w:cs="Times New Roman"/>
          <w:sz w:val="24"/>
          <w:szCs w:val="24"/>
        </w:rPr>
        <w:t>zbekiston</w:t>
      </w:r>
    </w:p>
    <w:p w14:paraId="39016838" w14:textId="77777777" w:rsidR="005C5D6C" w:rsidRPr="005C5D6C" w:rsidRDefault="005C5D6C" w:rsidP="00235FAF">
      <w:pPr>
        <w:spacing w:line="300" w:lineRule="auto"/>
        <w:ind w:firstLine="567"/>
        <w:jc w:val="both"/>
        <w:rPr>
          <w:rFonts w:cs="Times New Roman"/>
          <w:sz w:val="24"/>
          <w:szCs w:val="24"/>
          <w:lang w:val="ru-RU"/>
        </w:rPr>
      </w:pPr>
    </w:p>
    <w:p w14:paraId="0607EFB5" w14:textId="438356A1" w:rsidR="005C5D6C" w:rsidRPr="00235FAF" w:rsidRDefault="005C5D6C" w:rsidP="00235FAF">
      <w:pPr>
        <w:spacing w:line="300" w:lineRule="auto"/>
        <w:ind w:firstLine="567"/>
        <w:jc w:val="both"/>
        <w:rPr>
          <w:rFonts w:cs="Times New Roman"/>
          <w:i/>
          <w:iCs/>
          <w:sz w:val="24"/>
          <w:szCs w:val="24"/>
          <w:lang w:val="ru-RU"/>
        </w:rPr>
      </w:pPr>
      <w:r w:rsidRPr="00235FAF">
        <w:rPr>
          <w:rFonts w:cs="Times New Roman"/>
          <w:b/>
          <w:bCs/>
          <w:i/>
          <w:iCs/>
          <w:sz w:val="24"/>
          <w:szCs w:val="24"/>
          <w:lang w:val="ru-RU"/>
        </w:rPr>
        <w:t>Аннотация</w:t>
      </w:r>
      <w:r w:rsidRPr="00235FAF">
        <w:rPr>
          <w:rFonts w:cs="Times New Roman"/>
          <w:i/>
          <w:iCs/>
          <w:sz w:val="24"/>
          <w:szCs w:val="24"/>
          <w:lang w:val="ru-RU"/>
        </w:rPr>
        <w:t>. Сурункали буйрак касаллиги (</w:t>
      </w:r>
      <w:r w:rsidRPr="00235FAF">
        <w:rPr>
          <w:rFonts w:cs="Times New Roman"/>
          <w:i/>
          <w:iCs/>
          <w:sz w:val="24"/>
          <w:szCs w:val="24"/>
        </w:rPr>
        <w:t>C</w:t>
      </w:r>
      <w:r w:rsidRPr="00235FAF">
        <w:rPr>
          <w:rFonts w:cs="Times New Roman"/>
          <w:i/>
          <w:iCs/>
          <w:sz w:val="24"/>
          <w:szCs w:val="24"/>
          <w:lang w:val="ru-RU"/>
        </w:rPr>
        <w:t xml:space="preserve">КД) билан касалланган беморларнинг ҳақиқий овқатланишини ўрганилганда, </w:t>
      </w:r>
      <w:r w:rsidRPr="00235FAF">
        <w:rPr>
          <w:rFonts w:cs="Times New Roman"/>
          <w:i/>
          <w:iCs/>
          <w:sz w:val="24"/>
          <w:szCs w:val="24"/>
        </w:rPr>
        <w:t>C</w:t>
      </w:r>
      <w:r w:rsidRPr="00235FAF">
        <w:rPr>
          <w:rFonts w:cs="Times New Roman"/>
          <w:i/>
          <w:iCs/>
          <w:sz w:val="24"/>
          <w:szCs w:val="24"/>
          <w:lang w:val="ru-RU"/>
        </w:rPr>
        <w:t xml:space="preserve">КД билан касалланган 105 беморнинг овқат рационида, айниқса қиш-баҳор даврида гўшт маҳсулотлари (мол гўшти, парранда гўшти, балиқ), сут маҳсулотлари (сут, сметана, творог), картошка, сабзавот, меваларни истеъмоли меъёрдан кам эканлиги аниқланди. Шу билан бирга, дуккакли </w:t>
      </w:r>
      <w:r w:rsidR="00F44A75">
        <w:rPr>
          <w:rFonts w:cs="Times New Roman"/>
          <w:i/>
          <w:iCs/>
          <w:sz w:val="24"/>
          <w:szCs w:val="24"/>
          <w:lang w:val="ru-RU"/>
        </w:rPr>
        <w:pgNum/>
      </w:r>
      <w:r w:rsidR="00F44A75">
        <w:rPr>
          <w:rFonts w:cs="Times New Roman"/>
          <w:i/>
          <w:iCs/>
          <w:sz w:val="24"/>
          <w:szCs w:val="24"/>
          <w:lang w:val="ru-RU"/>
        </w:rPr>
        <w:t>utri</w:t>
      </w:r>
      <w:r w:rsidRPr="00235FAF">
        <w:rPr>
          <w:rFonts w:cs="Times New Roman"/>
          <w:i/>
          <w:iCs/>
          <w:sz w:val="24"/>
          <w:szCs w:val="24"/>
          <w:lang w:val="ru-RU"/>
        </w:rPr>
        <w:t xml:space="preserve"> маҳсулотларини истеъмоли ортиқча эканлиги, бу парҳез овқатланиш талабларига жавоб бермайди, бу эса оқсил-қувват танқислигига олиб келиши ва асосий касалликнинг асоратларини оғирлаштириши мумкин.</w:t>
      </w:r>
    </w:p>
    <w:p w14:paraId="7983B18A" w14:textId="77777777" w:rsidR="005C5D6C" w:rsidRPr="00235FAF" w:rsidRDefault="005C5D6C" w:rsidP="00235FAF">
      <w:pPr>
        <w:spacing w:line="300" w:lineRule="auto"/>
        <w:ind w:firstLine="567"/>
        <w:jc w:val="both"/>
        <w:rPr>
          <w:rFonts w:cs="Times New Roman"/>
          <w:i/>
          <w:iCs/>
          <w:sz w:val="24"/>
          <w:szCs w:val="24"/>
          <w:lang w:val="ru-RU"/>
        </w:rPr>
      </w:pPr>
      <w:r w:rsidRPr="00235FAF">
        <w:rPr>
          <w:rFonts w:cs="Times New Roman"/>
          <w:b/>
          <w:bCs/>
          <w:i/>
          <w:iCs/>
          <w:sz w:val="24"/>
          <w:szCs w:val="24"/>
          <w:lang w:val="ru-RU"/>
        </w:rPr>
        <w:t>Калит сўзлар</w:t>
      </w:r>
      <w:r w:rsidRPr="00235FAF">
        <w:rPr>
          <w:rFonts w:cs="Times New Roman"/>
          <w:i/>
          <w:iCs/>
          <w:sz w:val="24"/>
          <w:szCs w:val="24"/>
          <w:lang w:val="ru-RU"/>
        </w:rPr>
        <w:t>: сурункали буйрак касаллиги бўлган беморлар, ҳақиқий овқатланиш, озиқ-овқат, ўртача кунлик меъёрлар, парҳез овқатланиш.</w:t>
      </w:r>
    </w:p>
    <w:p w14:paraId="4C3F0394" w14:textId="77777777" w:rsidR="005C5D6C" w:rsidRPr="005C5D6C" w:rsidRDefault="005C5D6C" w:rsidP="00235FAF">
      <w:pPr>
        <w:spacing w:line="300" w:lineRule="auto"/>
        <w:ind w:firstLine="567"/>
        <w:jc w:val="both"/>
        <w:rPr>
          <w:rFonts w:cs="Times New Roman"/>
          <w:sz w:val="24"/>
          <w:szCs w:val="24"/>
          <w:lang w:val="ru-RU"/>
        </w:rPr>
      </w:pPr>
    </w:p>
    <w:p w14:paraId="443E094A" w14:textId="77777777" w:rsidR="00235FAF" w:rsidRDefault="00235FAF" w:rsidP="00235FAF">
      <w:pPr>
        <w:spacing w:line="300" w:lineRule="auto"/>
        <w:ind w:firstLine="567"/>
        <w:jc w:val="both"/>
        <w:rPr>
          <w:rFonts w:cs="Times New Roman"/>
          <w:sz w:val="24"/>
          <w:szCs w:val="24"/>
          <w:lang w:val="ru-RU"/>
        </w:rPr>
        <w:sectPr w:rsidR="00235FAF" w:rsidSect="001B41EC">
          <w:type w:val="continuous"/>
          <w:pgSz w:w="11907" w:h="16840" w:code="9"/>
          <w:pgMar w:top="1418" w:right="1134" w:bottom="1134" w:left="1134" w:header="907" w:footer="794" w:gutter="0"/>
          <w:cols w:space="708"/>
          <w:docGrid w:linePitch="381"/>
        </w:sectPr>
      </w:pPr>
    </w:p>
    <w:p w14:paraId="4844C13E" w14:textId="0659D9C3" w:rsidR="005C5D6C" w:rsidRPr="005C5D6C" w:rsidRDefault="005C5D6C" w:rsidP="00235FAF">
      <w:pPr>
        <w:spacing w:line="300" w:lineRule="auto"/>
        <w:ind w:firstLine="567"/>
        <w:jc w:val="both"/>
        <w:rPr>
          <w:rFonts w:cs="Times New Roman"/>
          <w:sz w:val="24"/>
          <w:szCs w:val="24"/>
        </w:rPr>
      </w:pPr>
      <w:r w:rsidRPr="00A75A45">
        <w:rPr>
          <w:rFonts w:cs="Times New Roman"/>
          <w:sz w:val="24"/>
          <w:szCs w:val="24"/>
          <w:lang w:val="ru-RU"/>
        </w:rPr>
        <w:t xml:space="preserve"> </w:t>
      </w:r>
      <w:r w:rsidRPr="005C5D6C">
        <w:rPr>
          <w:rFonts w:cs="Times New Roman"/>
          <w:sz w:val="24"/>
          <w:szCs w:val="24"/>
        </w:rPr>
        <w:t xml:space="preserve">Introduction. The issues of therapeutic nutrition in patients with chronic kidneys dis-ease (CKD) are traditionally given serious </w:t>
      </w:r>
      <w:r w:rsidR="00235FAF" w:rsidRPr="005C5D6C">
        <w:rPr>
          <w:rFonts w:cs="Times New Roman"/>
          <w:sz w:val="24"/>
          <w:szCs w:val="24"/>
        </w:rPr>
        <w:t>at</w:t>
      </w:r>
      <w:r w:rsidR="00235FAF">
        <w:rPr>
          <w:rFonts w:cs="Times New Roman"/>
          <w:sz w:val="24"/>
          <w:szCs w:val="24"/>
        </w:rPr>
        <w:softHyphen/>
      </w:r>
      <w:r w:rsidR="00235FAF" w:rsidRPr="005C5D6C">
        <w:rPr>
          <w:rFonts w:cs="Times New Roman"/>
          <w:sz w:val="24"/>
          <w:szCs w:val="24"/>
        </w:rPr>
        <w:t>tention</w:t>
      </w:r>
      <w:r w:rsidRPr="005C5D6C">
        <w:rPr>
          <w:rFonts w:cs="Times New Roman"/>
          <w:sz w:val="24"/>
          <w:szCs w:val="24"/>
        </w:rPr>
        <w:t xml:space="preserve"> [1, 2], but they acquire special im</w:t>
      </w:r>
      <w:r w:rsidR="00235FAF">
        <w:rPr>
          <w:rFonts w:cs="Times New Roman"/>
          <w:sz w:val="24"/>
          <w:szCs w:val="24"/>
        </w:rPr>
        <w:softHyphen/>
      </w:r>
      <w:r w:rsidRPr="005C5D6C">
        <w:rPr>
          <w:rFonts w:cs="Times New Roman"/>
          <w:sz w:val="24"/>
          <w:szCs w:val="24"/>
        </w:rPr>
        <w:t>portance at the stage of hemodialysis treat</w:t>
      </w:r>
      <w:r w:rsidR="00235FAF">
        <w:rPr>
          <w:rFonts w:cs="Times New Roman"/>
          <w:sz w:val="24"/>
          <w:szCs w:val="24"/>
        </w:rPr>
        <w:softHyphen/>
      </w:r>
      <w:r w:rsidRPr="005C5D6C">
        <w:rPr>
          <w:rFonts w:cs="Times New Roman"/>
          <w:sz w:val="24"/>
          <w:szCs w:val="24"/>
        </w:rPr>
        <w:t>ment. The main problems in the nutrition of di</w:t>
      </w:r>
      <w:r w:rsidR="00235FAF">
        <w:rPr>
          <w:rFonts w:cs="Times New Roman"/>
          <w:sz w:val="24"/>
          <w:szCs w:val="24"/>
        </w:rPr>
        <w:softHyphen/>
      </w:r>
      <w:r w:rsidRPr="005C5D6C">
        <w:rPr>
          <w:rFonts w:cs="Times New Roman"/>
          <w:sz w:val="24"/>
          <w:szCs w:val="24"/>
        </w:rPr>
        <w:t>alysis patients are compliance with the neces</w:t>
      </w:r>
      <w:r w:rsidR="00235FAF">
        <w:rPr>
          <w:rFonts w:cs="Times New Roman"/>
          <w:sz w:val="24"/>
          <w:szCs w:val="24"/>
        </w:rPr>
        <w:softHyphen/>
      </w:r>
      <w:r w:rsidRPr="005C5D6C">
        <w:rPr>
          <w:rFonts w:cs="Times New Roman"/>
          <w:sz w:val="24"/>
          <w:szCs w:val="24"/>
        </w:rPr>
        <w:t>sary caloric intake and sufficient protein con</w:t>
      </w:r>
      <w:r w:rsidR="00235FAF">
        <w:rPr>
          <w:rFonts w:cs="Times New Roman"/>
          <w:sz w:val="24"/>
          <w:szCs w:val="24"/>
        </w:rPr>
        <w:softHyphen/>
      </w:r>
      <w:r w:rsidRPr="005C5D6C">
        <w:rPr>
          <w:rFonts w:cs="Times New Roman"/>
          <w:sz w:val="24"/>
          <w:szCs w:val="24"/>
        </w:rPr>
        <w:t>tent in the diet. The nu-tritional status of dialy</w:t>
      </w:r>
      <w:r w:rsidR="00235FAF">
        <w:rPr>
          <w:rFonts w:cs="Times New Roman"/>
          <w:sz w:val="24"/>
          <w:szCs w:val="24"/>
        </w:rPr>
        <w:softHyphen/>
      </w:r>
      <w:r w:rsidRPr="005C5D6C">
        <w:rPr>
          <w:rFonts w:cs="Times New Roman"/>
          <w:sz w:val="24"/>
          <w:szCs w:val="24"/>
        </w:rPr>
        <w:t>sis patients is one of the factors determining the long–term survival and effectiveness of treatment [3].</w:t>
      </w:r>
    </w:p>
    <w:p w14:paraId="10B6347A" w14:textId="7314306E"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Non-compliance with dietary require</w:t>
      </w:r>
      <w:r w:rsidR="00235FAF">
        <w:rPr>
          <w:rFonts w:cs="Times New Roman"/>
          <w:sz w:val="24"/>
          <w:szCs w:val="24"/>
        </w:rPr>
        <w:softHyphen/>
      </w:r>
      <w:r w:rsidRPr="005C5D6C">
        <w:rPr>
          <w:rFonts w:cs="Times New Roman"/>
          <w:sz w:val="24"/>
          <w:szCs w:val="24"/>
        </w:rPr>
        <w:t>ments worsens the quality of hemodialysis treatment, increases the number of complica</w:t>
      </w:r>
      <w:r w:rsidR="00235FAF">
        <w:rPr>
          <w:rFonts w:cs="Times New Roman"/>
          <w:sz w:val="24"/>
          <w:szCs w:val="24"/>
        </w:rPr>
        <w:softHyphen/>
      </w:r>
      <w:r w:rsidRPr="005C5D6C">
        <w:rPr>
          <w:rFonts w:cs="Times New Roman"/>
          <w:sz w:val="24"/>
          <w:szCs w:val="24"/>
        </w:rPr>
        <w:t xml:space="preserve">tions. </w:t>
      </w:r>
      <w:r w:rsidR="00235FAF" w:rsidRPr="005C5D6C">
        <w:rPr>
          <w:rFonts w:cs="Times New Roman"/>
          <w:sz w:val="24"/>
          <w:szCs w:val="24"/>
        </w:rPr>
        <w:t>Insufficient</w:t>
      </w:r>
      <w:r w:rsidRPr="005C5D6C">
        <w:rPr>
          <w:rFonts w:cs="Times New Roman"/>
          <w:sz w:val="24"/>
          <w:szCs w:val="24"/>
        </w:rPr>
        <w:t xml:space="preserve"> intake of nutrient food, un</w:t>
      </w:r>
      <w:r w:rsidR="00235FAF">
        <w:rPr>
          <w:rFonts w:cs="Times New Roman"/>
          <w:sz w:val="24"/>
          <w:szCs w:val="24"/>
        </w:rPr>
        <w:softHyphen/>
      </w:r>
      <w:r w:rsidRPr="005C5D6C">
        <w:rPr>
          <w:rFonts w:cs="Times New Roman"/>
          <w:sz w:val="24"/>
          <w:szCs w:val="24"/>
        </w:rPr>
        <w:t>balanced diet contributes to the development of protein-energy deficiency in patients [4].</w:t>
      </w:r>
    </w:p>
    <w:p w14:paraId="3907F4B4" w14:textId="2EFE8E51"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 xml:space="preserve">The quality of therapeutic nutrition in </w:t>
      </w:r>
      <w:r w:rsidR="00235FAF" w:rsidRPr="005C5D6C">
        <w:rPr>
          <w:rFonts w:cs="Times New Roman"/>
          <w:sz w:val="24"/>
          <w:szCs w:val="24"/>
        </w:rPr>
        <w:t>kidney</w:t>
      </w:r>
      <w:r w:rsidRPr="005C5D6C">
        <w:rPr>
          <w:rFonts w:cs="Times New Roman"/>
          <w:sz w:val="24"/>
          <w:szCs w:val="24"/>
        </w:rPr>
        <w:t xml:space="preserve"> transplant recipients is an important factor in the prognosis of effective treatment, both in terms of reducing the number of com</w:t>
      </w:r>
      <w:r w:rsidR="00235FAF">
        <w:rPr>
          <w:rFonts w:cs="Times New Roman"/>
          <w:sz w:val="24"/>
          <w:szCs w:val="24"/>
        </w:rPr>
        <w:softHyphen/>
      </w:r>
      <w:r w:rsidRPr="005C5D6C">
        <w:rPr>
          <w:rFonts w:cs="Times New Roman"/>
          <w:sz w:val="24"/>
          <w:szCs w:val="24"/>
        </w:rPr>
        <w:t xml:space="preserve">plications and reducing mortality [5]. Diet can be used to prevent many complications of </w:t>
      </w:r>
      <w:r w:rsidRPr="005C5D6C">
        <w:rPr>
          <w:rFonts w:cs="Times New Roman"/>
          <w:sz w:val="24"/>
          <w:szCs w:val="24"/>
        </w:rPr>
        <w:t>transplantation, although the exact require</w:t>
      </w:r>
      <w:r w:rsidR="00235FAF">
        <w:rPr>
          <w:rFonts w:cs="Times New Roman"/>
          <w:sz w:val="24"/>
          <w:szCs w:val="24"/>
        </w:rPr>
        <w:softHyphen/>
      </w:r>
      <w:r w:rsidRPr="005C5D6C">
        <w:rPr>
          <w:rFonts w:cs="Times New Roman"/>
          <w:sz w:val="24"/>
          <w:szCs w:val="24"/>
        </w:rPr>
        <w:t>ments for therapeutic nutrition in the postoper</w:t>
      </w:r>
      <w:r w:rsidR="00235FAF">
        <w:rPr>
          <w:rFonts w:cs="Times New Roman"/>
          <w:sz w:val="24"/>
          <w:szCs w:val="24"/>
        </w:rPr>
        <w:softHyphen/>
      </w:r>
      <w:r w:rsidRPr="005C5D6C">
        <w:rPr>
          <w:rFonts w:cs="Times New Roman"/>
          <w:sz w:val="24"/>
          <w:szCs w:val="24"/>
        </w:rPr>
        <w:t>ative period in kidney transplantation have not been determined yet.</w:t>
      </w:r>
    </w:p>
    <w:p w14:paraId="014362B4" w14:textId="33F6A842"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 xml:space="preserve">The main requirements for therapeutic </w:t>
      </w:r>
      <w:r w:rsidR="00235FAF" w:rsidRPr="005C5D6C">
        <w:rPr>
          <w:rFonts w:cs="Times New Roman"/>
          <w:sz w:val="24"/>
          <w:szCs w:val="24"/>
        </w:rPr>
        <w:t>nutrition</w:t>
      </w:r>
      <w:r w:rsidRPr="005C5D6C">
        <w:rPr>
          <w:rFonts w:cs="Times New Roman"/>
          <w:sz w:val="24"/>
          <w:szCs w:val="24"/>
        </w:rPr>
        <w:t xml:space="preserve"> in kidney diseases are a variety of di</w:t>
      </w:r>
      <w:r w:rsidR="00235FAF">
        <w:rPr>
          <w:rFonts w:cs="Times New Roman"/>
          <w:sz w:val="24"/>
          <w:szCs w:val="24"/>
        </w:rPr>
        <w:softHyphen/>
      </w:r>
      <w:r w:rsidRPr="005C5D6C">
        <w:rPr>
          <w:rFonts w:cs="Times New Roman"/>
          <w:sz w:val="24"/>
          <w:szCs w:val="24"/>
        </w:rPr>
        <w:t xml:space="preserve">etary intake, adequacy of the macro- and </w:t>
      </w:r>
      <w:r w:rsidR="00235FAF" w:rsidRPr="005C5D6C">
        <w:rPr>
          <w:rFonts w:cs="Times New Roman"/>
          <w:sz w:val="24"/>
          <w:szCs w:val="24"/>
        </w:rPr>
        <w:t>mi</w:t>
      </w:r>
      <w:r w:rsidR="00235FAF">
        <w:rPr>
          <w:rFonts w:cs="Times New Roman"/>
          <w:sz w:val="24"/>
          <w:szCs w:val="24"/>
        </w:rPr>
        <w:softHyphen/>
      </w:r>
      <w:r w:rsidR="00235FAF" w:rsidRPr="005C5D6C">
        <w:rPr>
          <w:rFonts w:cs="Times New Roman"/>
          <w:sz w:val="24"/>
          <w:szCs w:val="24"/>
        </w:rPr>
        <w:t>cronutrient</w:t>
      </w:r>
      <w:r w:rsidRPr="005C5D6C">
        <w:rPr>
          <w:rFonts w:cs="Times New Roman"/>
          <w:sz w:val="24"/>
          <w:szCs w:val="24"/>
        </w:rPr>
        <w:t xml:space="preserve"> composition and energy value of the diet, a differentiated approach to diet ther</w:t>
      </w:r>
      <w:r w:rsidR="00235FAF">
        <w:rPr>
          <w:rFonts w:cs="Times New Roman"/>
          <w:sz w:val="24"/>
          <w:szCs w:val="24"/>
        </w:rPr>
        <w:softHyphen/>
      </w:r>
      <w:r w:rsidRPr="005C5D6C">
        <w:rPr>
          <w:rFonts w:cs="Times New Roman"/>
          <w:sz w:val="24"/>
          <w:szCs w:val="24"/>
        </w:rPr>
        <w:t xml:space="preserve">apy </w:t>
      </w:r>
      <w:r w:rsidR="00235FAF" w:rsidRPr="005C5D6C">
        <w:rPr>
          <w:rFonts w:cs="Times New Roman"/>
          <w:sz w:val="24"/>
          <w:szCs w:val="24"/>
        </w:rPr>
        <w:t>depending</w:t>
      </w:r>
      <w:r w:rsidRPr="005C5D6C">
        <w:rPr>
          <w:rFonts w:cs="Times New Roman"/>
          <w:sz w:val="24"/>
          <w:szCs w:val="24"/>
        </w:rPr>
        <w:t xml:space="preserve"> on the nature, severity of kid</w:t>
      </w:r>
      <w:r w:rsidR="00235FAF">
        <w:rPr>
          <w:rFonts w:cs="Times New Roman"/>
          <w:sz w:val="24"/>
          <w:szCs w:val="24"/>
        </w:rPr>
        <w:softHyphen/>
      </w:r>
      <w:r w:rsidRPr="005C5D6C">
        <w:rPr>
          <w:rFonts w:cs="Times New Roman"/>
          <w:sz w:val="24"/>
          <w:szCs w:val="24"/>
        </w:rPr>
        <w:t xml:space="preserve">ney disease, the presence of complications and concomitant </w:t>
      </w:r>
      <w:r w:rsidR="00235FAF" w:rsidRPr="005C5D6C">
        <w:rPr>
          <w:rFonts w:cs="Times New Roman"/>
          <w:sz w:val="24"/>
          <w:szCs w:val="24"/>
        </w:rPr>
        <w:t>diseases</w:t>
      </w:r>
      <w:r w:rsidRPr="005C5D6C">
        <w:rPr>
          <w:rFonts w:cs="Times New Roman"/>
          <w:sz w:val="24"/>
          <w:szCs w:val="24"/>
        </w:rPr>
        <w:t>. In this regard, the study of actual nutrition in patients with chronic kid</w:t>
      </w:r>
      <w:r w:rsidR="00235FAF">
        <w:rPr>
          <w:rFonts w:cs="Times New Roman"/>
          <w:sz w:val="24"/>
          <w:szCs w:val="24"/>
        </w:rPr>
        <w:softHyphen/>
      </w:r>
      <w:r w:rsidRPr="005C5D6C">
        <w:rPr>
          <w:rFonts w:cs="Times New Roman"/>
          <w:sz w:val="24"/>
          <w:szCs w:val="24"/>
        </w:rPr>
        <w:t xml:space="preserve">ney disease is an </w:t>
      </w:r>
      <w:r w:rsidR="00235FAF" w:rsidRPr="005C5D6C">
        <w:rPr>
          <w:rFonts w:cs="Times New Roman"/>
          <w:sz w:val="24"/>
          <w:szCs w:val="24"/>
        </w:rPr>
        <w:t>urgent</w:t>
      </w:r>
      <w:r w:rsidRPr="005C5D6C">
        <w:rPr>
          <w:rFonts w:cs="Times New Roman"/>
          <w:sz w:val="24"/>
          <w:szCs w:val="24"/>
        </w:rPr>
        <w:t xml:space="preserve"> problem.</w:t>
      </w:r>
    </w:p>
    <w:p w14:paraId="112E478B" w14:textId="77777777"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The aim of the study is to study the actual nutrition in patients with CKD.</w:t>
      </w:r>
    </w:p>
    <w:p w14:paraId="377B6329" w14:textId="7C73E540"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 xml:space="preserve">Materials and research methods. Actual nutrition was studied in 105 patients with CKD, aged 18 to 76 years. The studies were carried out at the Department of Hygiene for Children, Adolescents and Nutrition of the Tashkent medical academy, as well as at the City Nephrological Hospital in Tashkent. The nutritional status of patients was studied using </w:t>
      </w:r>
      <w:r w:rsidRPr="005C5D6C">
        <w:rPr>
          <w:rFonts w:cs="Times New Roman"/>
          <w:sz w:val="24"/>
          <w:szCs w:val="24"/>
        </w:rPr>
        <w:lastRenderedPageBreak/>
        <w:t xml:space="preserve">a questionnaire card developed by employees </w:t>
      </w:r>
      <w:r w:rsidR="00F44A75" w:rsidRPr="005C5D6C">
        <w:rPr>
          <w:rFonts w:cs="Times New Roman"/>
          <w:sz w:val="24"/>
          <w:szCs w:val="24"/>
        </w:rPr>
        <w:t>o</w:t>
      </w:r>
      <w:r w:rsidRPr="005C5D6C">
        <w:rPr>
          <w:rFonts w:cs="Times New Roman"/>
          <w:sz w:val="24"/>
          <w:szCs w:val="24"/>
        </w:rPr>
        <w:t>f the Department of Hygiene for Children, Adolescents and Nutrition together with em</w:t>
      </w:r>
      <w:r w:rsidR="00235FAF">
        <w:rPr>
          <w:rFonts w:cs="Times New Roman"/>
          <w:sz w:val="24"/>
          <w:szCs w:val="24"/>
        </w:rPr>
        <w:softHyphen/>
      </w:r>
      <w:r w:rsidRPr="005C5D6C">
        <w:rPr>
          <w:rFonts w:cs="Times New Roman"/>
          <w:sz w:val="24"/>
          <w:szCs w:val="24"/>
        </w:rPr>
        <w:t>ployees of the city nephrological hospital in Tashkent. To identify nutritional features, the examined male patients were divided into age groups of 18-59 and 60 years and older, women -18-54 and 55 years and older. The av</w:t>
      </w:r>
      <w:r w:rsidR="00235FAF">
        <w:rPr>
          <w:rFonts w:cs="Times New Roman"/>
          <w:sz w:val="24"/>
          <w:szCs w:val="24"/>
        </w:rPr>
        <w:softHyphen/>
      </w:r>
      <w:r w:rsidRPr="005C5D6C">
        <w:rPr>
          <w:rFonts w:cs="Times New Roman"/>
          <w:sz w:val="24"/>
          <w:szCs w:val="24"/>
        </w:rPr>
        <w:t xml:space="preserve">erage age is 53.8±1.31 years (for women </w:t>
      </w:r>
      <w:r w:rsidR="00F44A75">
        <w:rPr>
          <w:rFonts w:cs="Times New Roman"/>
          <w:sz w:val="24"/>
          <w:szCs w:val="24"/>
        </w:rPr>
        <w:t>–</w:t>
      </w:r>
      <w:r w:rsidRPr="005C5D6C">
        <w:rPr>
          <w:rFonts w:cs="Times New Roman"/>
          <w:sz w:val="24"/>
          <w:szCs w:val="24"/>
        </w:rPr>
        <w:t xml:space="preserve"> 54.7±1.48 years; for men </w:t>
      </w:r>
      <w:r w:rsidR="00F44A75">
        <w:rPr>
          <w:rFonts w:cs="Times New Roman"/>
          <w:sz w:val="24"/>
          <w:szCs w:val="24"/>
        </w:rPr>
        <w:t>–</w:t>
      </w:r>
      <w:r w:rsidRPr="005C5D6C">
        <w:rPr>
          <w:rFonts w:cs="Times New Roman"/>
          <w:sz w:val="24"/>
          <w:szCs w:val="24"/>
        </w:rPr>
        <w:t xml:space="preserve"> 51.6±2.70 years).</w:t>
      </w:r>
    </w:p>
    <w:p w14:paraId="1397DBB3" w14:textId="104A5972"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The assessment of the nature of the nu</w:t>
      </w:r>
      <w:r w:rsidR="00235FAF">
        <w:rPr>
          <w:rFonts w:cs="Times New Roman"/>
          <w:sz w:val="24"/>
          <w:szCs w:val="24"/>
        </w:rPr>
        <w:softHyphen/>
      </w:r>
      <w:r w:rsidRPr="005C5D6C">
        <w:rPr>
          <w:rFonts w:cs="Times New Roman"/>
          <w:sz w:val="24"/>
          <w:szCs w:val="24"/>
        </w:rPr>
        <w:t>trition of patients was carried out by analyzing the frequency of food consumption. In order to clarify the type of product and the size of the portions eaten, food models were used, which are dummies of pre-weighed and ready-to-eat food products, special measured tableware and appliances (plates, cups, glasses, spoons, etc.) with a known volume, in packaging and with labels available for sale of food products, which indicate the name, weight and fat con</w:t>
      </w:r>
      <w:r w:rsidR="00235FAF">
        <w:rPr>
          <w:rFonts w:cs="Times New Roman"/>
          <w:sz w:val="24"/>
          <w:szCs w:val="24"/>
        </w:rPr>
        <w:softHyphen/>
      </w:r>
      <w:r w:rsidRPr="005C5D6C">
        <w:rPr>
          <w:rFonts w:cs="Times New Roman"/>
          <w:sz w:val="24"/>
          <w:szCs w:val="24"/>
        </w:rPr>
        <w:t>tent of the product. The material was collected in expeditionary conditions 2 times a year (winter-spring and summer-autumn periods) with registration in individual sheets of the products actually eaten by the sick people within 6 days. The content of basic nutrients and energy was calculated according to the ta</w:t>
      </w:r>
      <w:r w:rsidR="00235FAF">
        <w:rPr>
          <w:rFonts w:cs="Times New Roman"/>
          <w:sz w:val="24"/>
          <w:szCs w:val="24"/>
        </w:rPr>
        <w:softHyphen/>
      </w:r>
      <w:r w:rsidRPr="005C5D6C">
        <w:rPr>
          <w:rFonts w:cs="Times New Roman"/>
          <w:sz w:val="24"/>
          <w:szCs w:val="24"/>
        </w:rPr>
        <w:t>bles of the chemical composition of food prod</w:t>
      </w:r>
      <w:r w:rsidR="00235FAF">
        <w:rPr>
          <w:rFonts w:cs="Times New Roman"/>
          <w:sz w:val="24"/>
          <w:szCs w:val="24"/>
        </w:rPr>
        <w:softHyphen/>
      </w:r>
      <w:r w:rsidRPr="005C5D6C">
        <w:rPr>
          <w:rFonts w:cs="Times New Roman"/>
          <w:sz w:val="24"/>
          <w:szCs w:val="24"/>
        </w:rPr>
        <w:t>ucts [7,8]. The results obtained were compared with the average daily rational norms of food consumption for the population of the Repub</w:t>
      </w:r>
      <w:r w:rsidR="00235FAF">
        <w:rPr>
          <w:rFonts w:cs="Times New Roman"/>
          <w:sz w:val="24"/>
          <w:szCs w:val="24"/>
        </w:rPr>
        <w:softHyphen/>
      </w:r>
      <w:r w:rsidRPr="005C5D6C">
        <w:rPr>
          <w:rFonts w:cs="Times New Roman"/>
          <w:sz w:val="24"/>
          <w:szCs w:val="24"/>
        </w:rPr>
        <w:t>lic of Uzbekistan [6].</w:t>
      </w:r>
    </w:p>
    <w:p w14:paraId="43D41BDF" w14:textId="03739C13"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Research results. The analysis of the pro</w:t>
      </w:r>
      <w:r w:rsidR="00235FAF">
        <w:rPr>
          <w:rFonts w:cs="Times New Roman"/>
          <w:sz w:val="24"/>
          <w:szCs w:val="24"/>
        </w:rPr>
        <w:softHyphen/>
      </w:r>
      <w:r w:rsidRPr="005C5D6C">
        <w:rPr>
          <w:rFonts w:cs="Times New Roman"/>
          <w:sz w:val="24"/>
          <w:szCs w:val="24"/>
        </w:rPr>
        <w:t>vision of patients with CKD with basic food</w:t>
      </w:r>
      <w:r w:rsidR="00235FAF">
        <w:rPr>
          <w:rFonts w:cs="Times New Roman"/>
          <w:sz w:val="24"/>
          <w:szCs w:val="24"/>
        </w:rPr>
        <w:softHyphen/>
      </w:r>
      <w:r w:rsidRPr="005C5D6C">
        <w:rPr>
          <w:rFonts w:cs="Times New Roman"/>
          <w:sz w:val="24"/>
          <w:szCs w:val="24"/>
        </w:rPr>
        <w:t>stuffs in the winter-spring period showed that the actual nutrition is deficient in some prod</w:t>
      </w:r>
      <w:r w:rsidR="00235FAF">
        <w:rPr>
          <w:rFonts w:cs="Times New Roman"/>
          <w:sz w:val="24"/>
          <w:szCs w:val="24"/>
        </w:rPr>
        <w:softHyphen/>
      </w:r>
      <w:r w:rsidRPr="005C5D6C">
        <w:rPr>
          <w:rFonts w:cs="Times New Roman"/>
          <w:sz w:val="24"/>
          <w:szCs w:val="24"/>
        </w:rPr>
        <w:t>ucts, which is due to the characteristic irra</w:t>
      </w:r>
      <w:r w:rsidR="00235FAF">
        <w:rPr>
          <w:rFonts w:cs="Times New Roman"/>
          <w:sz w:val="24"/>
          <w:szCs w:val="24"/>
        </w:rPr>
        <w:softHyphen/>
      </w:r>
      <w:r w:rsidRPr="005C5D6C">
        <w:rPr>
          <w:rFonts w:cs="Times New Roman"/>
          <w:sz w:val="24"/>
          <w:szCs w:val="24"/>
        </w:rPr>
        <w:t xml:space="preserve">tional hierarchy of food sets. According to the </w:t>
      </w:r>
      <w:r w:rsidRPr="005C5D6C">
        <w:rPr>
          <w:rFonts w:cs="Times New Roman"/>
          <w:sz w:val="24"/>
          <w:szCs w:val="24"/>
        </w:rPr>
        <w:t>questionnaire survey, the diets are character</w:t>
      </w:r>
      <w:r w:rsidR="00235FAF">
        <w:rPr>
          <w:rFonts w:cs="Times New Roman"/>
          <w:sz w:val="24"/>
          <w:szCs w:val="24"/>
        </w:rPr>
        <w:softHyphen/>
      </w:r>
      <w:r w:rsidRPr="005C5D6C">
        <w:rPr>
          <w:rFonts w:cs="Times New Roman"/>
          <w:sz w:val="24"/>
          <w:szCs w:val="24"/>
        </w:rPr>
        <w:t>ized by the predominance of flour-cereals and legumes against the background of non-com</w:t>
      </w:r>
      <w:r w:rsidR="00235FAF">
        <w:rPr>
          <w:rFonts w:cs="Times New Roman"/>
          <w:sz w:val="24"/>
          <w:szCs w:val="24"/>
        </w:rPr>
        <w:softHyphen/>
      </w:r>
      <w:r w:rsidRPr="005C5D6C">
        <w:rPr>
          <w:rFonts w:cs="Times New Roman"/>
          <w:sz w:val="24"/>
          <w:szCs w:val="24"/>
        </w:rPr>
        <w:t>pliance with nutrition standards for fresh veg</w:t>
      </w:r>
      <w:r w:rsidR="00235FAF">
        <w:rPr>
          <w:rFonts w:cs="Times New Roman"/>
          <w:sz w:val="24"/>
          <w:szCs w:val="24"/>
        </w:rPr>
        <w:softHyphen/>
      </w:r>
      <w:r w:rsidRPr="005C5D6C">
        <w:rPr>
          <w:rFonts w:cs="Times New Roman"/>
          <w:sz w:val="24"/>
          <w:szCs w:val="24"/>
        </w:rPr>
        <w:t>etables and fruits.</w:t>
      </w:r>
    </w:p>
    <w:p w14:paraId="3B3E1C8B" w14:textId="4E04F2BE"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In the examined (men from 18 to 59 years, women from 18 to 55 years) in the win</w:t>
      </w:r>
      <w:r w:rsidR="00235FAF">
        <w:rPr>
          <w:rFonts w:cs="Times New Roman"/>
          <w:sz w:val="24"/>
          <w:szCs w:val="24"/>
        </w:rPr>
        <w:softHyphen/>
      </w:r>
      <w:r w:rsidRPr="005C5D6C">
        <w:rPr>
          <w:rFonts w:cs="Times New Roman"/>
          <w:sz w:val="24"/>
          <w:szCs w:val="24"/>
        </w:rPr>
        <w:t>ter-spring period, the consumption of legumes (peas, mash, beans) is higher than normal by 24.4% in men, 25.9% in women, cereals by 26.0% in men, 31.0% in women, cheese and cheese by 14.0% in men, by 20.0% in women. Cooked foods in the diets of flour products are overestimated by 22.0% in men, by 32.0% in women. Of meat products, beef meat is 23.1% lower than normal for men, 29.0% for women, poultry meat is 47.0% for women, 19.0% for men. The consumption of fish products for men is 72.4% lower than normal, for women – 72.0%.</w:t>
      </w:r>
    </w:p>
    <w:p w14:paraId="58D9D4DD" w14:textId="240D3345" w:rsidR="005C5D6C" w:rsidRPr="005C5D6C" w:rsidRDefault="005C5D6C" w:rsidP="00235FAF">
      <w:pPr>
        <w:spacing w:line="300" w:lineRule="auto"/>
        <w:ind w:firstLine="567"/>
        <w:jc w:val="both"/>
        <w:rPr>
          <w:rFonts w:cs="Times New Roman"/>
          <w:sz w:val="24"/>
          <w:szCs w:val="24"/>
        </w:rPr>
      </w:pPr>
      <w:r w:rsidRPr="005C5D6C">
        <w:rPr>
          <w:rFonts w:cs="Times New Roman"/>
          <w:sz w:val="24"/>
          <w:szCs w:val="24"/>
        </w:rPr>
        <w:t>Milk, sour cream, butter, and cottage cheese were in obvious short supply among dairy products. The deficit ranged from 50.3 to 12.0% in men and from 51.5 to 18.0% in women. The deficiency of vegetable fat (mainly cotton) turned out to be relatively small: 15.2% for men, 16.4% lower than nor</w:t>
      </w:r>
      <w:r w:rsidR="00235FAF">
        <w:rPr>
          <w:rFonts w:cs="Times New Roman"/>
          <w:sz w:val="24"/>
          <w:szCs w:val="24"/>
        </w:rPr>
        <w:softHyphen/>
      </w:r>
      <w:r w:rsidRPr="005C5D6C">
        <w:rPr>
          <w:rFonts w:cs="Times New Roman"/>
          <w:sz w:val="24"/>
          <w:szCs w:val="24"/>
        </w:rPr>
        <w:t>mal for women. A clear lack (almost 2 times less than the norm) of consumption of vegeta</w:t>
      </w:r>
      <w:r w:rsidR="00235FAF">
        <w:rPr>
          <w:rFonts w:cs="Times New Roman"/>
          <w:sz w:val="24"/>
          <w:szCs w:val="24"/>
        </w:rPr>
        <w:softHyphen/>
      </w:r>
      <w:r w:rsidRPr="005C5D6C">
        <w:rPr>
          <w:rFonts w:cs="Times New Roman"/>
          <w:sz w:val="24"/>
          <w:szCs w:val="24"/>
        </w:rPr>
        <w:t xml:space="preserve">bles, melons, fruits and berries was revealed in both men and women, the deficit ranged from 53.1 to 72.7% in men, from 47.8 to 76.7% in women. </w:t>
      </w:r>
    </w:p>
    <w:p w14:paraId="1AF72FF4" w14:textId="77777777" w:rsidR="00235FAF" w:rsidRDefault="005C5D6C" w:rsidP="00235FAF">
      <w:pPr>
        <w:spacing w:line="300" w:lineRule="auto"/>
        <w:ind w:firstLine="567"/>
        <w:jc w:val="both"/>
        <w:rPr>
          <w:rFonts w:cs="Times New Roman"/>
          <w:sz w:val="24"/>
          <w:szCs w:val="24"/>
        </w:rPr>
        <w:sectPr w:rsidR="00235FAF" w:rsidSect="00235FAF">
          <w:type w:val="continuous"/>
          <w:pgSz w:w="11907" w:h="16840" w:code="9"/>
          <w:pgMar w:top="1418" w:right="1134" w:bottom="1134" w:left="1134" w:header="907" w:footer="794" w:gutter="0"/>
          <w:cols w:num="2" w:space="708"/>
          <w:docGrid w:linePitch="381"/>
        </w:sectPr>
      </w:pPr>
      <w:r w:rsidRPr="005C5D6C">
        <w:rPr>
          <w:rFonts w:cs="Times New Roman"/>
          <w:sz w:val="24"/>
          <w:szCs w:val="24"/>
        </w:rPr>
        <w:t>Men consumed potatoes less than the norm by 11.8%, women – by 18.5%. There was also a low consumption of eggs: 16.7% less than the norm in men, 15.0% – in women. The patients consumed little sugar: the deficit in men was 76.2%, in women – 74.6%.</w:t>
      </w:r>
    </w:p>
    <w:p w14:paraId="17C64187" w14:textId="6195A14C" w:rsidR="00F50458" w:rsidRPr="005C5D6C" w:rsidRDefault="00F50458" w:rsidP="005C5D6C">
      <w:pPr>
        <w:spacing w:line="276" w:lineRule="auto"/>
        <w:ind w:firstLine="567"/>
        <w:jc w:val="both"/>
        <w:rPr>
          <w:rFonts w:cs="Times New Roman"/>
          <w:sz w:val="24"/>
          <w:szCs w:val="24"/>
        </w:rPr>
      </w:pPr>
    </w:p>
    <w:p w14:paraId="6AFF9A66" w14:textId="77777777" w:rsidR="00235FAF" w:rsidRDefault="00235FAF" w:rsidP="005C5D6C">
      <w:pPr>
        <w:spacing w:line="276" w:lineRule="auto"/>
        <w:ind w:firstLine="567"/>
        <w:jc w:val="both"/>
        <w:rPr>
          <w:rFonts w:cs="Times New Roman"/>
          <w:sz w:val="24"/>
          <w:szCs w:val="24"/>
          <w:lang w:val="uz-Latn-UZ"/>
        </w:rPr>
        <w:sectPr w:rsidR="00235FAF" w:rsidSect="001B41EC">
          <w:type w:val="continuous"/>
          <w:pgSz w:w="11907" w:h="16840" w:code="9"/>
          <w:pgMar w:top="1418" w:right="1134" w:bottom="1134" w:left="1134" w:header="907" w:footer="794" w:gutter="0"/>
          <w:cols w:space="708"/>
          <w:docGrid w:linePitch="381"/>
        </w:sectPr>
      </w:pPr>
    </w:p>
    <w:p w14:paraId="0F6C50CA" w14:textId="77777777" w:rsidR="00235FAF" w:rsidRPr="00235FAF" w:rsidRDefault="00235FAF" w:rsidP="00235FAF">
      <w:pPr>
        <w:spacing w:line="276" w:lineRule="auto"/>
        <w:ind w:firstLine="567"/>
        <w:jc w:val="right"/>
        <w:rPr>
          <w:rFonts w:cs="Times New Roman"/>
          <w:b/>
          <w:bCs/>
          <w:i/>
          <w:iCs/>
          <w:sz w:val="24"/>
          <w:szCs w:val="24"/>
          <w:lang w:val="uz-Latn-UZ"/>
        </w:rPr>
      </w:pPr>
      <w:r w:rsidRPr="00235FAF">
        <w:rPr>
          <w:rFonts w:cs="Times New Roman"/>
          <w:b/>
          <w:bCs/>
          <w:i/>
          <w:iCs/>
          <w:sz w:val="24"/>
          <w:szCs w:val="24"/>
          <w:lang w:val="uz-Latn-UZ"/>
        </w:rPr>
        <w:lastRenderedPageBreak/>
        <w:t>table</w:t>
      </w:r>
    </w:p>
    <w:p w14:paraId="61227E36" w14:textId="49641500" w:rsidR="00F50458" w:rsidRPr="00235FAF" w:rsidRDefault="00235FAF" w:rsidP="00235FAF">
      <w:pPr>
        <w:spacing w:line="276" w:lineRule="auto"/>
        <w:jc w:val="center"/>
        <w:rPr>
          <w:rFonts w:cs="Times New Roman"/>
          <w:b/>
          <w:bCs/>
          <w:sz w:val="24"/>
          <w:szCs w:val="24"/>
          <w:lang w:val="uz-Latn-UZ"/>
        </w:rPr>
      </w:pPr>
      <w:r w:rsidRPr="00235FAF">
        <w:rPr>
          <w:rFonts w:cs="Times New Roman"/>
          <w:b/>
          <w:bCs/>
          <w:sz w:val="24"/>
          <w:szCs w:val="24"/>
          <w:lang w:val="uz-Latn-UZ"/>
        </w:rPr>
        <w:t>Consumption of basic food products by patients (winter-spring period / summer-autumn period)</w:t>
      </w:r>
    </w:p>
    <w:p w14:paraId="4C94BE6A" w14:textId="0159C580" w:rsidR="00F50458" w:rsidRPr="00B53C0B" w:rsidRDefault="00F50458" w:rsidP="00B53C0B">
      <w:pPr>
        <w:spacing w:line="276" w:lineRule="auto"/>
        <w:ind w:firstLine="284"/>
        <w:jc w:val="both"/>
        <w:rPr>
          <w:rFonts w:cs="Times New Roman"/>
          <w:sz w:val="24"/>
          <w:szCs w:val="24"/>
          <w:lang w:val="uz-Latn-U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2493"/>
        <w:gridCol w:w="851"/>
        <w:gridCol w:w="991"/>
        <w:gridCol w:w="991"/>
        <w:gridCol w:w="1028"/>
        <w:gridCol w:w="1031"/>
        <w:gridCol w:w="1031"/>
        <w:gridCol w:w="939"/>
        <w:gridCol w:w="957"/>
        <w:gridCol w:w="817"/>
        <w:gridCol w:w="968"/>
        <w:gridCol w:w="882"/>
        <w:gridCol w:w="820"/>
      </w:tblGrid>
      <w:tr w:rsidR="00995DC2" w:rsidRPr="006D5179" w14:paraId="38354FA3" w14:textId="77777777" w:rsidTr="00995DC2">
        <w:trPr>
          <w:trHeight w:val="141"/>
        </w:trPr>
        <w:tc>
          <w:tcPr>
            <w:tcW w:w="168" w:type="pct"/>
            <w:vMerge w:val="restart"/>
            <w:vAlign w:val="center"/>
          </w:tcPr>
          <w:p w14:paraId="5A743CD0"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t>
            </w:r>
          </w:p>
        </w:tc>
        <w:tc>
          <w:tcPr>
            <w:tcW w:w="873" w:type="pct"/>
            <w:vMerge w:val="restart"/>
            <w:vAlign w:val="center"/>
          </w:tcPr>
          <w:p w14:paraId="384DCEC8" w14:textId="77777777" w:rsidR="00235FAF" w:rsidRPr="006D5179" w:rsidRDefault="00235FAF" w:rsidP="003C7FF4">
            <w:pPr>
              <w:tabs>
                <w:tab w:val="left" w:pos="3686"/>
              </w:tabs>
              <w:rPr>
                <w:rFonts w:eastAsia="Times New Roman" w:cs="Times New Roman"/>
                <w:b/>
                <w:sz w:val="24"/>
                <w:szCs w:val="24"/>
                <w:lang w:val="uz-Cyrl-UZ" w:eastAsia="ru-RU"/>
              </w:rPr>
            </w:pPr>
            <w:r w:rsidRPr="006D5179">
              <w:rPr>
                <w:rFonts w:eastAsia="Times New Roman" w:cs="Times New Roman"/>
                <w:b/>
                <w:sz w:val="24"/>
                <w:szCs w:val="24"/>
                <w:lang w:val="uz-Cyrl-UZ" w:eastAsia="ru-RU"/>
              </w:rPr>
              <w:t>Products</w:t>
            </w:r>
          </w:p>
        </w:tc>
        <w:tc>
          <w:tcPr>
            <w:tcW w:w="992" w:type="pct"/>
            <w:gridSpan w:val="3"/>
            <w:vAlign w:val="center"/>
          </w:tcPr>
          <w:p w14:paraId="1C02929E"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Men 18-59 years old (20)</w:t>
            </w:r>
          </w:p>
        </w:tc>
        <w:tc>
          <w:tcPr>
            <w:tcW w:w="1082" w:type="pct"/>
            <w:gridSpan w:val="3"/>
            <w:vAlign w:val="center"/>
          </w:tcPr>
          <w:p w14:paraId="29BF8793"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Women 18-54 years old (26)</w:t>
            </w:r>
          </w:p>
        </w:tc>
        <w:tc>
          <w:tcPr>
            <w:tcW w:w="950" w:type="pct"/>
            <w:gridSpan w:val="3"/>
            <w:vAlign w:val="center"/>
          </w:tcPr>
          <w:p w14:paraId="33C0D384"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Men 60&lt; years (11)</w:t>
            </w:r>
          </w:p>
        </w:tc>
        <w:tc>
          <w:tcPr>
            <w:tcW w:w="935" w:type="pct"/>
            <w:gridSpan w:val="3"/>
            <w:vAlign w:val="center"/>
          </w:tcPr>
          <w:p w14:paraId="077F42E0"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Women 55&lt; years (48)</w:t>
            </w:r>
          </w:p>
        </w:tc>
      </w:tr>
      <w:tr w:rsidR="00235FAF" w:rsidRPr="006D5179" w14:paraId="3F4823E1" w14:textId="77777777" w:rsidTr="00995DC2">
        <w:trPr>
          <w:cantSplit/>
          <w:trHeight w:val="60"/>
        </w:trPr>
        <w:tc>
          <w:tcPr>
            <w:tcW w:w="168" w:type="pct"/>
            <w:vMerge/>
            <w:vAlign w:val="center"/>
          </w:tcPr>
          <w:p w14:paraId="703CE5E5" w14:textId="77777777" w:rsidR="00235FAF" w:rsidRPr="006D5179" w:rsidRDefault="00235FAF" w:rsidP="003C7FF4">
            <w:pPr>
              <w:tabs>
                <w:tab w:val="left" w:pos="3686"/>
              </w:tabs>
              <w:jc w:val="center"/>
              <w:rPr>
                <w:rFonts w:eastAsia="Times New Roman" w:cs="Times New Roman"/>
                <w:b/>
                <w:sz w:val="24"/>
                <w:szCs w:val="24"/>
                <w:lang w:val="ru-RU" w:eastAsia="ru-RU"/>
              </w:rPr>
            </w:pPr>
          </w:p>
        </w:tc>
        <w:tc>
          <w:tcPr>
            <w:tcW w:w="873" w:type="pct"/>
            <w:vMerge/>
            <w:vAlign w:val="center"/>
          </w:tcPr>
          <w:p w14:paraId="6B4C7F8B" w14:textId="77777777" w:rsidR="00235FAF" w:rsidRPr="006D5179" w:rsidRDefault="00235FAF" w:rsidP="003C7FF4">
            <w:pPr>
              <w:tabs>
                <w:tab w:val="left" w:pos="3686"/>
              </w:tabs>
              <w:rPr>
                <w:rFonts w:eastAsia="Times New Roman" w:cs="Times New Roman"/>
                <w:b/>
                <w:sz w:val="24"/>
                <w:szCs w:val="24"/>
                <w:lang w:val="ru-RU" w:eastAsia="ru-RU"/>
              </w:rPr>
            </w:pPr>
          </w:p>
        </w:tc>
        <w:tc>
          <w:tcPr>
            <w:tcW w:w="298" w:type="pct"/>
            <w:vAlign w:val="center"/>
          </w:tcPr>
          <w:p w14:paraId="70C5F35A" w14:textId="77777777" w:rsidR="00235FAF" w:rsidRPr="006D5179" w:rsidRDefault="00235FAF" w:rsidP="003C7FF4">
            <w:pPr>
              <w:tabs>
                <w:tab w:val="left" w:pos="3686"/>
              </w:tabs>
              <w:jc w:val="center"/>
              <w:rPr>
                <w:rFonts w:eastAsia="Times New Roman" w:cs="Times New Roman"/>
                <w:b/>
                <w:sz w:val="24"/>
                <w:szCs w:val="24"/>
                <w:lang w:eastAsia="ru-RU"/>
              </w:rPr>
            </w:pPr>
            <w:r w:rsidRPr="006D5179">
              <w:rPr>
                <w:rFonts w:eastAsia="Times New Roman" w:cs="Times New Roman"/>
                <w:b/>
                <w:sz w:val="24"/>
                <w:szCs w:val="24"/>
                <w:lang w:eastAsia="ru-RU"/>
              </w:rPr>
              <w:t>norm.</w:t>
            </w:r>
          </w:p>
        </w:tc>
        <w:tc>
          <w:tcPr>
            <w:tcW w:w="347" w:type="pct"/>
            <w:vAlign w:val="center"/>
          </w:tcPr>
          <w:p w14:paraId="7515A746"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fa</w:t>
            </w:r>
            <w:r w:rsidRPr="006D5179">
              <w:rPr>
                <w:rFonts w:eastAsia="Times New Roman" w:cs="Times New Roman"/>
                <w:b/>
                <w:sz w:val="24"/>
                <w:szCs w:val="24"/>
                <w:lang w:eastAsia="ru-RU"/>
              </w:rPr>
              <w:t>ct</w:t>
            </w:r>
            <w:r w:rsidRPr="006D5179">
              <w:rPr>
                <w:rFonts w:eastAsia="Times New Roman" w:cs="Times New Roman"/>
                <w:b/>
                <w:sz w:val="24"/>
                <w:szCs w:val="24"/>
                <w:lang w:val="uz-Cyrl-UZ" w:eastAsia="ru-RU"/>
              </w:rPr>
              <w:t>.</w:t>
            </w:r>
          </w:p>
        </w:tc>
        <w:tc>
          <w:tcPr>
            <w:tcW w:w="347" w:type="pct"/>
            <w:vAlign w:val="center"/>
          </w:tcPr>
          <w:p w14:paraId="5ABF11B4"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t>
            </w:r>
          </w:p>
        </w:tc>
        <w:tc>
          <w:tcPr>
            <w:tcW w:w="360" w:type="pct"/>
            <w:vAlign w:val="center"/>
          </w:tcPr>
          <w:p w14:paraId="6F17082B"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eastAsia="ru-RU"/>
              </w:rPr>
              <w:t>norm.</w:t>
            </w:r>
          </w:p>
        </w:tc>
        <w:tc>
          <w:tcPr>
            <w:tcW w:w="361" w:type="pct"/>
            <w:vAlign w:val="center"/>
          </w:tcPr>
          <w:p w14:paraId="61A15B65"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fa</w:t>
            </w:r>
            <w:r w:rsidRPr="006D5179">
              <w:rPr>
                <w:rFonts w:eastAsia="Times New Roman" w:cs="Times New Roman"/>
                <w:b/>
                <w:sz w:val="24"/>
                <w:szCs w:val="24"/>
                <w:lang w:eastAsia="ru-RU"/>
              </w:rPr>
              <w:t>ct</w:t>
            </w:r>
            <w:r w:rsidRPr="006D5179">
              <w:rPr>
                <w:rFonts w:eastAsia="Times New Roman" w:cs="Times New Roman"/>
                <w:b/>
                <w:sz w:val="24"/>
                <w:szCs w:val="24"/>
                <w:lang w:val="uz-Cyrl-UZ" w:eastAsia="ru-RU"/>
              </w:rPr>
              <w:t>.</w:t>
            </w:r>
          </w:p>
        </w:tc>
        <w:tc>
          <w:tcPr>
            <w:tcW w:w="361" w:type="pct"/>
            <w:vAlign w:val="center"/>
          </w:tcPr>
          <w:p w14:paraId="063C229D"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t>
            </w:r>
          </w:p>
        </w:tc>
        <w:tc>
          <w:tcPr>
            <w:tcW w:w="329" w:type="pct"/>
            <w:vAlign w:val="center"/>
          </w:tcPr>
          <w:p w14:paraId="4C088A3F"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eastAsia="ru-RU"/>
              </w:rPr>
              <w:t>norm.</w:t>
            </w:r>
          </w:p>
        </w:tc>
        <w:tc>
          <w:tcPr>
            <w:tcW w:w="335" w:type="pct"/>
            <w:vAlign w:val="center"/>
          </w:tcPr>
          <w:p w14:paraId="7EAC68FA"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fa</w:t>
            </w:r>
            <w:r w:rsidRPr="006D5179">
              <w:rPr>
                <w:rFonts w:eastAsia="Times New Roman" w:cs="Times New Roman"/>
                <w:b/>
                <w:sz w:val="24"/>
                <w:szCs w:val="24"/>
                <w:lang w:eastAsia="ru-RU"/>
              </w:rPr>
              <w:t>ct</w:t>
            </w:r>
            <w:r w:rsidRPr="006D5179">
              <w:rPr>
                <w:rFonts w:eastAsia="Times New Roman" w:cs="Times New Roman"/>
                <w:b/>
                <w:sz w:val="24"/>
                <w:szCs w:val="24"/>
                <w:lang w:val="uz-Cyrl-UZ" w:eastAsia="ru-RU"/>
              </w:rPr>
              <w:t>.</w:t>
            </w:r>
          </w:p>
        </w:tc>
        <w:tc>
          <w:tcPr>
            <w:tcW w:w="286" w:type="pct"/>
            <w:vAlign w:val="center"/>
          </w:tcPr>
          <w:p w14:paraId="374433B6"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t>
            </w:r>
          </w:p>
        </w:tc>
        <w:tc>
          <w:tcPr>
            <w:tcW w:w="339" w:type="pct"/>
            <w:vAlign w:val="center"/>
          </w:tcPr>
          <w:p w14:paraId="4E808E61"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eastAsia="ru-RU"/>
              </w:rPr>
              <w:t>norm.</w:t>
            </w:r>
          </w:p>
        </w:tc>
        <w:tc>
          <w:tcPr>
            <w:tcW w:w="309" w:type="pct"/>
            <w:vAlign w:val="center"/>
          </w:tcPr>
          <w:p w14:paraId="34E30118"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fa</w:t>
            </w:r>
            <w:r w:rsidRPr="006D5179">
              <w:rPr>
                <w:rFonts w:eastAsia="Times New Roman" w:cs="Times New Roman"/>
                <w:b/>
                <w:sz w:val="24"/>
                <w:szCs w:val="24"/>
                <w:lang w:eastAsia="ru-RU"/>
              </w:rPr>
              <w:t>ct</w:t>
            </w:r>
            <w:r w:rsidRPr="006D5179">
              <w:rPr>
                <w:rFonts w:eastAsia="Times New Roman" w:cs="Times New Roman"/>
                <w:b/>
                <w:sz w:val="24"/>
                <w:szCs w:val="24"/>
                <w:lang w:val="uz-Cyrl-UZ" w:eastAsia="ru-RU"/>
              </w:rPr>
              <w:t>.</w:t>
            </w:r>
          </w:p>
        </w:tc>
        <w:tc>
          <w:tcPr>
            <w:tcW w:w="287" w:type="pct"/>
            <w:vAlign w:val="center"/>
          </w:tcPr>
          <w:p w14:paraId="03ADD81B" w14:textId="77777777" w:rsidR="00235FAF" w:rsidRPr="006D5179" w:rsidRDefault="00235FAF" w:rsidP="003C7FF4">
            <w:pPr>
              <w:tabs>
                <w:tab w:val="left" w:pos="3686"/>
              </w:tabs>
              <w:jc w:val="center"/>
              <w:rPr>
                <w:rFonts w:eastAsia="Times New Roman" w:cs="Times New Roman"/>
                <w:b/>
                <w:sz w:val="24"/>
                <w:szCs w:val="24"/>
                <w:lang w:val="uz-Cyrl-UZ" w:eastAsia="ru-RU"/>
              </w:rPr>
            </w:pPr>
            <w:r w:rsidRPr="006D5179">
              <w:rPr>
                <w:rFonts w:eastAsia="Times New Roman" w:cs="Times New Roman"/>
                <w:b/>
                <w:sz w:val="24"/>
                <w:szCs w:val="24"/>
                <w:lang w:val="uz-Cyrl-UZ" w:eastAsia="ru-RU"/>
              </w:rPr>
              <w:t>%</w:t>
            </w:r>
          </w:p>
        </w:tc>
      </w:tr>
      <w:tr w:rsidR="00235FAF" w:rsidRPr="006D5179" w14:paraId="063BEE2C" w14:textId="77777777" w:rsidTr="00995DC2">
        <w:trPr>
          <w:trHeight w:val="184"/>
        </w:trPr>
        <w:tc>
          <w:tcPr>
            <w:tcW w:w="168" w:type="pct"/>
            <w:vAlign w:val="center"/>
          </w:tcPr>
          <w:p w14:paraId="4D953EB0"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w:t>
            </w:r>
          </w:p>
        </w:tc>
        <w:tc>
          <w:tcPr>
            <w:tcW w:w="873" w:type="pct"/>
            <w:vAlign w:val="center"/>
          </w:tcPr>
          <w:p w14:paraId="7192B881" w14:textId="77777777" w:rsidR="00235FAF" w:rsidRPr="006D5179" w:rsidRDefault="00235FAF" w:rsidP="003C7FF4">
            <w:pPr>
              <w:tabs>
                <w:tab w:val="left" w:pos="3686"/>
              </w:tabs>
              <w:rPr>
                <w:rFonts w:eastAsia="Times New Roman" w:cs="Times New Roman"/>
                <w:sz w:val="24"/>
                <w:szCs w:val="24"/>
                <w:lang w:eastAsia="ru-RU"/>
              </w:rPr>
            </w:pPr>
            <w:r w:rsidRPr="006D5179">
              <w:rPr>
                <w:rFonts w:eastAsia="Times New Roman" w:cs="Times New Roman"/>
                <w:sz w:val="24"/>
                <w:szCs w:val="24"/>
                <w:lang w:eastAsia="ru-RU"/>
              </w:rPr>
              <w:t>Legumes</w:t>
            </w:r>
          </w:p>
        </w:tc>
        <w:tc>
          <w:tcPr>
            <w:tcW w:w="298" w:type="pct"/>
            <w:vAlign w:val="center"/>
          </w:tcPr>
          <w:p w14:paraId="24BD338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w:t>
            </w:r>
          </w:p>
        </w:tc>
        <w:tc>
          <w:tcPr>
            <w:tcW w:w="347" w:type="pct"/>
            <w:vAlign w:val="center"/>
          </w:tcPr>
          <w:p w14:paraId="096DEBC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11,2</w:t>
            </w:r>
          </w:p>
          <w:p w14:paraId="58FBEEB0"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ru-RU" w:eastAsia="ru-RU"/>
              </w:rPr>
              <w:t>6,9</w:t>
            </w:r>
          </w:p>
        </w:tc>
        <w:tc>
          <w:tcPr>
            <w:tcW w:w="347" w:type="pct"/>
            <w:vAlign w:val="center"/>
          </w:tcPr>
          <w:p w14:paraId="5400C04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124,4</w:t>
            </w:r>
          </w:p>
          <w:p w14:paraId="3BDC9A84"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76,7</w:t>
            </w:r>
          </w:p>
        </w:tc>
        <w:tc>
          <w:tcPr>
            <w:tcW w:w="360" w:type="pct"/>
            <w:vAlign w:val="center"/>
          </w:tcPr>
          <w:p w14:paraId="19207B1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8,5</w:t>
            </w:r>
          </w:p>
        </w:tc>
        <w:tc>
          <w:tcPr>
            <w:tcW w:w="361" w:type="pct"/>
            <w:vAlign w:val="center"/>
          </w:tcPr>
          <w:p w14:paraId="0E1E0F1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10,7</w:t>
            </w:r>
          </w:p>
          <w:p w14:paraId="3235F65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7,2</w:t>
            </w:r>
          </w:p>
        </w:tc>
        <w:tc>
          <w:tcPr>
            <w:tcW w:w="361" w:type="pct"/>
            <w:vAlign w:val="center"/>
          </w:tcPr>
          <w:p w14:paraId="5B3853A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125,9</w:t>
            </w:r>
          </w:p>
          <w:p w14:paraId="1AEE04AA"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84,7</w:t>
            </w:r>
          </w:p>
        </w:tc>
        <w:tc>
          <w:tcPr>
            <w:tcW w:w="329" w:type="pct"/>
            <w:vAlign w:val="center"/>
          </w:tcPr>
          <w:p w14:paraId="38359CD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7,7</w:t>
            </w:r>
          </w:p>
        </w:tc>
        <w:tc>
          <w:tcPr>
            <w:tcW w:w="335" w:type="pct"/>
            <w:vAlign w:val="center"/>
          </w:tcPr>
          <w:p w14:paraId="7BCDB41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9,2</w:t>
            </w:r>
          </w:p>
          <w:p w14:paraId="1D83097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6,5</w:t>
            </w:r>
          </w:p>
        </w:tc>
        <w:tc>
          <w:tcPr>
            <w:tcW w:w="286" w:type="pct"/>
            <w:vAlign w:val="center"/>
          </w:tcPr>
          <w:p w14:paraId="470DC5F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119,5</w:t>
            </w:r>
          </w:p>
          <w:p w14:paraId="767031A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84,4</w:t>
            </w:r>
          </w:p>
        </w:tc>
        <w:tc>
          <w:tcPr>
            <w:tcW w:w="339" w:type="pct"/>
            <w:vAlign w:val="center"/>
          </w:tcPr>
          <w:p w14:paraId="492DB1D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w:t>
            </w:r>
          </w:p>
        </w:tc>
        <w:tc>
          <w:tcPr>
            <w:tcW w:w="309" w:type="pct"/>
            <w:vAlign w:val="center"/>
          </w:tcPr>
          <w:p w14:paraId="790CDE7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8,1</w:t>
            </w:r>
          </w:p>
          <w:p w14:paraId="7DBF9F7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5,7</w:t>
            </w:r>
          </w:p>
        </w:tc>
        <w:tc>
          <w:tcPr>
            <w:tcW w:w="287" w:type="pct"/>
            <w:vAlign w:val="center"/>
          </w:tcPr>
          <w:p w14:paraId="3B55C4C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115,7</w:t>
            </w:r>
          </w:p>
          <w:p w14:paraId="646B5F8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81,4</w:t>
            </w:r>
          </w:p>
        </w:tc>
      </w:tr>
      <w:tr w:rsidR="00235FAF" w:rsidRPr="006D5179" w14:paraId="06694852" w14:textId="77777777" w:rsidTr="00995DC2">
        <w:trPr>
          <w:trHeight w:val="145"/>
        </w:trPr>
        <w:tc>
          <w:tcPr>
            <w:tcW w:w="168" w:type="pct"/>
            <w:vAlign w:val="center"/>
          </w:tcPr>
          <w:p w14:paraId="442CCFB2"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w:t>
            </w:r>
          </w:p>
        </w:tc>
        <w:tc>
          <w:tcPr>
            <w:tcW w:w="873" w:type="pct"/>
            <w:vAlign w:val="center"/>
          </w:tcPr>
          <w:p w14:paraId="0628C4F9" w14:textId="77777777" w:rsidR="00235FAF" w:rsidRPr="006D5179" w:rsidRDefault="00235FAF" w:rsidP="003C7FF4">
            <w:pPr>
              <w:tabs>
                <w:tab w:val="left" w:pos="3686"/>
              </w:tabs>
              <w:rPr>
                <w:rFonts w:eastAsia="Times New Roman" w:cs="Times New Roman"/>
                <w:sz w:val="24"/>
                <w:szCs w:val="24"/>
                <w:lang w:eastAsia="ru-RU"/>
              </w:rPr>
            </w:pPr>
            <w:r w:rsidRPr="006D5179">
              <w:rPr>
                <w:rFonts w:eastAsia="Times New Roman" w:cs="Times New Roman"/>
                <w:sz w:val="24"/>
                <w:szCs w:val="24"/>
                <w:lang w:eastAsia="ru-RU"/>
              </w:rPr>
              <w:t>Wheat flour</w:t>
            </w:r>
          </w:p>
        </w:tc>
        <w:tc>
          <w:tcPr>
            <w:tcW w:w="298" w:type="pct"/>
            <w:vAlign w:val="center"/>
          </w:tcPr>
          <w:p w14:paraId="651927B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w:t>
            </w:r>
          </w:p>
        </w:tc>
        <w:tc>
          <w:tcPr>
            <w:tcW w:w="347" w:type="pct"/>
            <w:vAlign w:val="center"/>
          </w:tcPr>
          <w:p w14:paraId="1116B96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6,1</w:t>
            </w:r>
          </w:p>
          <w:p w14:paraId="2FD4922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4,1</w:t>
            </w:r>
          </w:p>
        </w:tc>
        <w:tc>
          <w:tcPr>
            <w:tcW w:w="347" w:type="pct"/>
            <w:vAlign w:val="center"/>
          </w:tcPr>
          <w:p w14:paraId="08F75F79"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122,0</w:t>
            </w:r>
          </w:p>
          <w:p w14:paraId="15166A1E"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82,0</w:t>
            </w:r>
          </w:p>
        </w:tc>
        <w:tc>
          <w:tcPr>
            <w:tcW w:w="360" w:type="pct"/>
            <w:vAlign w:val="center"/>
          </w:tcPr>
          <w:p w14:paraId="17F1CD7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w:t>
            </w:r>
          </w:p>
        </w:tc>
        <w:tc>
          <w:tcPr>
            <w:tcW w:w="361" w:type="pct"/>
            <w:vAlign w:val="center"/>
          </w:tcPr>
          <w:p w14:paraId="32648D3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5,2</w:t>
            </w:r>
          </w:p>
          <w:p w14:paraId="568A9D9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4,5</w:t>
            </w:r>
          </w:p>
        </w:tc>
        <w:tc>
          <w:tcPr>
            <w:tcW w:w="361" w:type="pct"/>
            <w:vAlign w:val="center"/>
          </w:tcPr>
          <w:p w14:paraId="1ECDB56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104,0</w:t>
            </w:r>
          </w:p>
          <w:p w14:paraId="54B505AF"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90,0</w:t>
            </w:r>
          </w:p>
        </w:tc>
        <w:tc>
          <w:tcPr>
            <w:tcW w:w="329" w:type="pct"/>
            <w:vAlign w:val="center"/>
          </w:tcPr>
          <w:p w14:paraId="3FA7FF8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w:t>
            </w:r>
          </w:p>
        </w:tc>
        <w:tc>
          <w:tcPr>
            <w:tcW w:w="335" w:type="pct"/>
            <w:vAlign w:val="center"/>
          </w:tcPr>
          <w:p w14:paraId="2B03195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3,7</w:t>
            </w:r>
          </w:p>
          <w:p w14:paraId="30F0E28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3,6</w:t>
            </w:r>
          </w:p>
        </w:tc>
        <w:tc>
          <w:tcPr>
            <w:tcW w:w="286" w:type="pct"/>
            <w:vAlign w:val="center"/>
          </w:tcPr>
          <w:p w14:paraId="242EEB1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92,5</w:t>
            </w:r>
          </w:p>
          <w:p w14:paraId="36FCFAD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90,0</w:t>
            </w:r>
          </w:p>
        </w:tc>
        <w:tc>
          <w:tcPr>
            <w:tcW w:w="339" w:type="pct"/>
            <w:vAlign w:val="center"/>
          </w:tcPr>
          <w:p w14:paraId="222EDF4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w:t>
            </w:r>
          </w:p>
        </w:tc>
        <w:tc>
          <w:tcPr>
            <w:tcW w:w="309" w:type="pct"/>
            <w:vAlign w:val="center"/>
          </w:tcPr>
          <w:p w14:paraId="7B382E8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3,8</w:t>
            </w:r>
          </w:p>
          <w:p w14:paraId="355D264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w:t>
            </w:r>
          </w:p>
        </w:tc>
        <w:tc>
          <w:tcPr>
            <w:tcW w:w="287" w:type="pct"/>
            <w:vAlign w:val="center"/>
          </w:tcPr>
          <w:p w14:paraId="5191CE0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95,0</w:t>
            </w:r>
          </w:p>
          <w:p w14:paraId="619AB04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87,5</w:t>
            </w:r>
          </w:p>
        </w:tc>
      </w:tr>
      <w:tr w:rsidR="00235FAF" w:rsidRPr="006D5179" w14:paraId="2F44C7BC" w14:textId="77777777" w:rsidTr="00995DC2">
        <w:trPr>
          <w:trHeight w:val="145"/>
        </w:trPr>
        <w:tc>
          <w:tcPr>
            <w:tcW w:w="168" w:type="pct"/>
            <w:vAlign w:val="center"/>
          </w:tcPr>
          <w:p w14:paraId="100831EE"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3</w:t>
            </w:r>
          </w:p>
        </w:tc>
        <w:tc>
          <w:tcPr>
            <w:tcW w:w="873" w:type="pct"/>
            <w:vAlign w:val="center"/>
          </w:tcPr>
          <w:p w14:paraId="25703D85"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uz-Cyrl-UZ" w:eastAsia="ru-RU"/>
              </w:rPr>
              <w:t>Other flour</w:t>
            </w:r>
          </w:p>
        </w:tc>
        <w:tc>
          <w:tcPr>
            <w:tcW w:w="298" w:type="pct"/>
            <w:vAlign w:val="center"/>
          </w:tcPr>
          <w:p w14:paraId="5DF4EAC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w:t>
            </w:r>
          </w:p>
        </w:tc>
        <w:tc>
          <w:tcPr>
            <w:tcW w:w="347" w:type="pct"/>
            <w:vAlign w:val="center"/>
          </w:tcPr>
          <w:p w14:paraId="17E0083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w:t>
            </w:r>
          </w:p>
          <w:p w14:paraId="08A7449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w:t>
            </w:r>
          </w:p>
        </w:tc>
        <w:tc>
          <w:tcPr>
            <w:tcW w:w="347" w:type="pct"/>
            <w:vAlign w:val="center"/>
          </w:tcPr>
          <w:p w14:paraId="13FE9026"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65,0</w:t>
            </w:r>
          </w:p>
          <w:p w14:paraId="27ECC5FE"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55,0</w:t>
            </w:r>
          </w:p>
        </w:tc>
        <w:tc>
          <w:tcPr>
            <w:tcW w:w="360" w:type="pct"/>
            <w:vAlign w:val="center"/>
          </w:tcPr>
          <w:p w14:paraId="41745FF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w:t>
            </w:r>
          </w:p>
        </w:tc>
        <w:tc>
          <w:tcPr>
            <w:tcW w:w="361" w:type="pct"/>
            <w:vAlign w:val="center"/>
          </w:tcPr>
          <w:p w14:paraId="2893480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2,8</w:t>
            </w:r>
          </w:p>
          <w:p w14:paraId="353EE33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w:t>
            </w:r>
          </w:p>
        </w:tc>
        <w:tc>
          <w:tcPr>
            <w:tcW w:w="361" w:type="pct"/>
            <w:vAlign w:val="center"/>
          </w:tcPr>
          <w:p w14:paraId="489FE1C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56,0</w:t>
            </w:r>
          </w:p>
          <w:p w14:paraId="38A4F0CC"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50,0</w:t>
            </w:r>
          </w:p>
        </w:tc>
        <w:tc>
          <w:tcPr>
            <w:tcW w:w="329" w:type="pct"/>
            <w:vAlign w:val="center"/>
          </w:tcPr>
          <w:p w14:paraId="2AB69EB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w:t>
            </w:r>
          </w:p>
        </w:tc>
        <w:tc>
          <w:tcPr>
            <w:tcW w:w="335" w:type="pct"/>
            <w:vAlign w:val="center"/>
          </w:tcPr>
          <w:p w14:paraId="3AF3E62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1,7</w:t>
            </w:r>
          </w:p>
          <w:p w14:paraId="39D1B39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286" w:type="pct"/>
            <w:vAlign w:val="center"/>
          </w:tcPr>
          <w:p w14:paraId="3CE4B6D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56,7</w:t>
            </w:r>
          </w:p>
          <w:p w14:paraId="2D4785B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50,0</w:t>
            </w:r>
          </w:p>
        </w:tc>
        <w:tc>
          <w:tcPr>
            <w:tcW w:w="339" w:type="pct"/>
            <w:vAlign w:val="center"/>
          </w:tcPr>
          <w:p w14:paraId="2BE2748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w:t>
            </w:r>
          </w:p>
        </w:tc>
        <w:tc>
          <w:tcPr>
            <w:tcW w:w="309" w:type="pct"/>
            <w:vAlign w:val="center"/>
          </w:tcPr>
          <w:p w14:paraId="299C78B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2,9</w:t>
            </w:r>
          </w:p>
          <w:p w14:paraId="72CEF37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w:t>
            </w:r>
          </w:p>
        </w:tc>
        <w:tc>
          <w:tcPr>
            <w:tcW w:w="287" w:type="pct"/>
            <w:vAlign w:val="center"/>
          </w:tcPr>
          <w:p w14:paraId="086016C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58,0</w:t>
            </w:r>
          </w:p>
          <w:p w14:paraId="69564FE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50,0</w:t>
            </w:r>
          </w:p>
        </w:tc>
      </w:tr>
      <w:tr w:rsidR="00235FAF" w:rsidRPr="006D5179" w14:paraId="5312680C" w14:textId="77777777" w:rsidTr="00995DC2">
        <w:trPr>
          <w:trHeight w:val="145"/>
        </w:trPr>
        <w:tc>
          <w:tcPr>
            <w:tcW w:w="168" w:type="pct"/>
            <w:vAlign w:val="center"/>
          </w:tcPr>
          <w:p w14:paraId="7CAF3735"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4</w:t>
            </w:r>
          </w:p>
        </w:tc>
        <w:tc>
          <w:tcPr>
            <w:tcW w:w="873" w:type="pct"/>
            <w:vAlign w:val="center"/>
          </w:tcPr>
          <w:p w14:paraId="68E5EA22" w14:textId="77777777" w:rsidR="00235FAF" w:rsidRPr="006D5179" w:rsidRDefault="00235FAF" w:rsidP="003C7FF4">
            <w:pPr>
              <w:tabs>
                <w:tab w:val="left" w:pos="3686"/>
              </w:tabs>
              <w:rPr>
                <w:rFonts w:eastAsia="Times New Roman" w:cs="Times New Roman"/>
                <w:sz w:val="24"/>
                <w:szCs w:val="24"/>
                <w:lang w:eastAsia="ru-RU"/>
              </w:rPr>
            </w:pPr>
            <w:r w:rsidRPr="006D5179">
              <w:rPr>
                <w:rFonts w:eastAsia="Times New Roman" w:cs="Times New Roman"/>
                <w:sz w:val="24"/>
                <w:szCs w:val="24"/>
                <w:lang w:eastAsia="ru-RU"/>
              </w:rPr>
              <w:t>Rice</w:t>
            </w:r>
          </w:p>
        </w:tc>
        <w:tc>
          <w:tcPr>
            <w:tcW w:w="298" w:type="pct"/>
            <w:vAlign w:val="center"/>
          </w:tcPr>
          <w:p w14:paraId="5753FA2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47" w:type="pct"/>
            <w:vAlign w:val="center"/>
          </w:tcPr>
          <w:p w14:paraId="4BB1C32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22,3</w:t>
            </w:r>
          </w:p>
          <w:p w14:paraId="7D978B9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15,5</w:t>
            </w:r>
          </w:p>
        </w:tc>
        <w:tc>
          <w:tcPr>
            <w:tcW w:w="347" w:type="pct"/>
            <w:vAlign w:val="center"/>
          </w:tcPr>
          <w:p w14:paraId="39D358C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111,5</w:t>
            </w:r>
          </w:p>
          <w:p w14:paraId="7C01AF3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77,5</w:t>
            </w:r>
          </w:p>
        </w:tc>
        <w:tc>
          <w:tcPr>
            <w:tcW w:w="360" w:type="pct"/>
            <w:vAlign w:val="center"/>
          </w:tcPr>
          <w:p w14:paraId="67ABEAE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61" w:type="pct"/>
            <w:vAlign w:val="center"/>
          </w:tcPr>
          <w:p w14:paraId="495EBD8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16,8</w:t>
            </w:r>
          </w:p>
          <w:p w14:paraId="529A1E0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12,1</w:t>
            </w:r>
          </w:p>
        </w:tc>
        <w:tc>
          <w:tcPr>
            <w:tcW w:w="361" w:type="pct"/>
            <w:vAlign w:val="center"/>
          </w:tcPr>
          <w:p w14:paraId="7D7E52D8"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112,0</w:t>
            </w:r>
          </w:p>
          <w:p w14:paraId="723D2F0A"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80,7</w:t>
            </w:r>
          </w:p>
        </w:tc>
        <w:tc>
          <w:tcPr>
            <w:tcW w:w="329" w:type="pct"/>
            <w:vAlign w:val="center"/>
          </w:tcPr>
          <w:p w14:paraId="3042752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16</w:t>
            </w:r>
          </w:p>
        </w:tc>
        <w:tc>
          <w:tcPr>
            <w:tcW w:w="335" w:type="pct"/>
            <w:vAlign w:val="center"/>
          </w:tcPr>
          <w:p w14:paraId="0095A0B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15,1</w:t>
            </w:r>
          </w:p>
          <w:p w14:paraId="0742E81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13,5</w:t>
            </w:r>
          </w:p>
        </w:tc>
        <w:tc>
          <w:tcPr>
            <w:tcW w:w="286" w:type="pct"/>
            <w:vAlign w:val="center"/>
          </w:tcPr>
          <w:p w14:paraId="2CCDA36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94,4</w:t>
            </w:r>
          </w:p>
          <w:p w14:paraId="68017EF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84,4</w:t>
            </w:r>
          </w:p>
        </w:tc>
        <w:tc>
          <w:tcPr>
            <w:tcW w:w="339" w:type="pct"/>
            <w:vAlign w:val="center"/>
          </w:tcPr>
          <w:p w14:paraId="1C71A1B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w:t>
            </w:r>
          </w:p>
        </w:tc>
        <w:tc>
          <w:tcPr>
            <w:tcW w:w="309" w:type="pct"/>
            <w:vAlign w:val="center"/>
          </w:tcPr>
          <w:p w14:paraId="4E54C32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11,5</w:t>
            </w:r>
          </w:p>
          <w:p w14:paraId="24CF0CA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9,8</w:t>
            </w:r>
          </w:p>
        </w:tc>
        <w:tc>
          <w:tcPr>
            <w:tcW w:w="287" w:type="pct"/>
            <w:vAlign w:val="center"/>
          </w:tcPr>
          <w:p w14:paraId="36243A1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95,8</w:t>
            </w:r>
          </w:p>
          <w:p w14:paraId="26D4F6F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81,7</w:t>
            </w:r>
          </w:p>
        </w:tc>
      </w:tr>
      <w:tr w:rsidR="00235FAF" w:rsidRPr="006D5179" w14:paraId="3610EC30" w14:textId="77777777" w:rsidTr="00995DC2">
        <w:trPr>
          <w:trHeight w:val="145"/>
        </w:trPr>
        <w:tc>
          <w:tcPr>
            <w:tcW w:w="168" w:type="pct"/>
            <w:vAlign w:val="center"/>
          </w:tcPr>
          <w:p w14:paraId="042E6ECD"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5</w:t>
            </w:r>
          </w:p>
        </w:tc>
        <w:tc>
          <w:tcPr>
            <w:tcW w:w="873" w:type="pct"/>
            <w:vAlign w:val="center"/>
          </w:tcPr>
          <w:p w14:paraId="045D6B2B" w14:textId="77777777" w:rsidR="00235FAF" w:rsidRPr="006D5179" w:rsidRDefault="00235FAF" w:rsidP="003C7FF4">
            <w:pPr>
              <w:tabs>
                <w:tab w:val="left" w:pos="3686"/>
              </w:tabs>
              <w:rPr>
                <w:rFonts w:eastAsia="Times New Roman" w:cs="Times New Roman"/>
                <w:sz w:val="24"/>
                <w:szCs w:val="24"/>
                <w:lang w:eastAsia="ru-RU"/>
              </w:rPr>
            </w:pPr>
            <w:r w:rsidRPr="006D5179">
              <w:rPr>
                <w:rFonts w:eastAsia="Times New Roman" w:cs="Times New Roman"/>
                <w:sz w:val="24"/>
                <w:szCs w:val="24"/>
                <w:lang w:eastAsia="ru-RU"/>
              </w:rPr>
              <w:t>Cereals (without rice)</w:t>
            </w:r>
          </w:p>
        </w:tc>
        <w:tc>
          <w:tcPr>
            <w:tcW w:w="298" w:type="pct"/>
            <w:vAlign w:val="center"/>
          </w:tcPr>
          <w:p w14:paraId="0EE5090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47" w:type="pct"/>
            <w:vAlign w:val="center"/>
          </w:tcPr>
          <w:p w14:paraId="0398BC3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12,6</w:t>
            </w:r>
          </w:p>
          <w:p w14:paraId="1579864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7,6</w:t>
            </w:r>
          </w:p>
        </w:tc>
        <w:tc>
          <w:tcPr>
            <w:tcW w:w="347" w:type="pct"/>
            <w:vAlign w:val="center"/>
          </w:tcPr>
          <w:p w14:paraId="72218578"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126,0</w:t>
            </w:r>
          </w:p>
          <w:p w14:paraId="0B0A3C77" w14:textId="77777777" w:rsidR="00235FAF" w:rsidRPr="006D5179" w:rsidRDefault="00235FAF" w:rsidP="003C7FF4">
            <w:pPr>
              <w:tabs>
                <w:tab w:val="left" w:pos="3686"/>
              </w:tabs>
              <w:jc w:val="center"/>
              <w:rPr>
                <w:rFonts w:eastAsia="Times New Roman" w:cs="Times New Roman"/>
                <w:color w:val="000000"/>
                <w:sz w:val="24"/>
                <w:szCs w:val="24"/>
                <w:lang w:val="uz-Cyrl-UZ" w:eastAsia="ru-RU"/>
              </w:rPr>
            </w:pPr>
            <w:r w:rsidRPr="006D5179">
              <w:rPr>
                <w:rFonts w:eastAsia="Times New Roman" w:cs="Times New Roman"/>
                <w:color w:val="000000"/>
                <w:sz w:val="24"/>
                <w:szCs w:val="24"/>
                <w:lang w:val="ru-RU" w:eastAsia="ru-RU"/>
              </w:rPr>
              <w:t>76,0</w:t>
            </w:r>
          </w:p>
        </w:tc>
        <w:tc>
          <w:tcPr>
            <w:tcW w:w="360" w:type="pct"/>
            <w:vAlign w:val="center"/>
          </w:tcPr>
          <w:p w14:paraId="22BE5C0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61" w:type="pct"/>
            <w:vAlign w:val="center"/>
          </w:tcPr>
          <w:p w14:paraId="7BDE28C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13,1</w:t>
            </w:r>
          </w:p>
          <w:p w14:paraId="14CE394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6,9</w:t>
            </w:r>
          </w:p>
        </w:tc>
        <w:tc>
          <w:tcPr>
            <w:tcW w:w="361" w:type="pct"/>
            <w:vAlign w:val="center"/>
          </w:tcPr>
          <w:p w14:paraId="4677FF15"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131,0</w:t>
            </w:r>
          </w:p>
          <w:p w14:paraId="04819B81"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69,0</w:t>
            </w:r>
          </w:p>
        </w:tc>
        <w:tc>
          <w:tcPr>
            <w:tcW w:w="329" w:type="pct"/>
            <w:vAlign w:val="center"/>
          </w:tcPr>
          <w:p w14:paraId="7B37534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35" w:type="pct"/>
            <w:vAlign w:val="center"/>
          </w:tcPr>
          <w:p w14:paraId="14833D4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9,2</w:t>
            </w:r>
          </w:p>
          <w:p w14:paraId="09D2051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6,2</w:t>
            </w:r>
          </w:p>
        </w:tc>
        <w:tc>
          <w:tcPr>
            <w:tcW w:w="286" w:type="pct"/>
            <w:vAlign w:val="center"/>
          </w:tcPr>
          <w:p w14:paraId="5919FD5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115,0</w:t>
            </w:r>
          </w:p>
          <w:p w14:paraId="55192FC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77,5</w:t>
            </w:r>
          </w:p>
        </w:tc>
        <w:tc>
          <w:tcPr>
            <w:tcW w:w="339" w:type="pct"/>
            <w:vAlign w:val="center"/>
          </w:tcPr>
          <w:p w14:paraId="424B979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09" w:type="pct"/>
            <w:vAlign w:val="center"/>
          </w:tcPr>
          <w:p w14:paraId="6903B76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9,3</w:t>
            </w:r>
          </w:p>
          <w:p w14:paraId="4E9FB6B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6,3</w:t>
            </w:r>
          </w:p>
        </w:tc>
        <w:tc>
          <w:tcPr>
            <w:tcW w:w="287" w:type="pct"/>
            <w:vAlign w:val="center"/>
          </w:tcPr>
          <w:p w14:paraId="6030A10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116,3</w:t>
            </w:r>
          </w:p>
          <w:p w14:paraId="449F807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78,8</w:t>
            </w:r>
          </w:p>
        </w:tc>
      </w:tr>
      <w:tr w:rsidR="00235FAF" w:rsidRPr="006D5179" w14:paraId="2CCAB6DD" w14:textId="77777777" w:rsidTr="00995DC2">
        <w:trPr>
          <w:trHeight w:val="145"/>
        </w:trPr>
        <w:tc>
          <w:tcPr>
            <w:tcW w:w="168" w:type="pct"/>
            <w:vAlign w:val="center"/>
          </w:tcPr>
          <w:p w14:paraId="4241D0CB"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6</w:t>
            </w:r>
          </w:p>
        </w:tc>
        <w:tc>
          <w:tcPr>
            <w:tcW w:w="873" w:type="pct"/>
            <w:vAlign w:val="center"/>
          </w:tcPr>
          <w:p w14:paraId="71F3D00A"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Wheat bread. (Total)</w:t>
            </w:r>
          </w:p>
        </w:tc>
        <w:tc>
          <w:tcPr>
            <w:tcW w:w="298" w:type="pct"/>
            <w:vAlign w:val="center"/>
          </w:tcPr>
          <w:p w14:paraId="3180F6B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445</w:t>
            </w:r>
          </w:p>
        </w:tc>
        <w:tc>
          <w:tcPr>
            <w:tcW w:w="347" w:type="pct"/>
            <w:vAlign w:val="center"/>
          </w:tcPr>
          <w:p w14:paraId="3B8661B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372,6</w:t>
            </w:r>
          </w:p>
          <w:p w14:paraId="2D60688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304,5</w:t>
            </w:r>
          </w:p>
        </w:tc>
        <w:tc>
          <w:tcPr>
            <w:tcW w:w="347" w:type="pct"/>
            <w:vAlign w:val="center"/>
          </w:tcPr>
          <w:p w14:paraId="6696C6DA"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83,7</w:t>
            </w:r>
          </w:p>
          <w:p w14:paraId="415781CC"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68,4</w:t>
            </w:r>
          </w:p>
        </w:tc>
        <w:tc>
          <w:tcPr>
            <w:tcW w:w="360" w:type="pct"/>
            <w:vAlign w:val="center"/>
          </w:tcPr>
          <w:p w14:paraId="551B387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385</w:t>
            </w:r>
          </w:p>
        </w:tc>
        <w:tc>
          <w:tcPr>
            <w:tcW w:w="361" w:type="pct"/>
            <w:vAlign w:val="center"/>
          </w:tcPr>
          <w:p w14:paraId="1052006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325,6</w:t>
            </w:r>
          </w:p>
          <w:p w14:paraId="34E63AB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255,3</w:t>
            </w:r>
          </w:p>
        </w:tc>
        <w:tc>
          <w:tcPr>
            <w:tcW w:w="361" w:type="pct"/>
            <w:vAlign w:val="center"/>
          </w:tcPr>
          <w:p w14:paraId="7F6793BC"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84,6</w:t>
            </w:r>
          </w:p>
          <w:p w14:paraId="439B8CE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66,3</w:t>
            </w:r>
          </w:p>
        </w:tc>
        <w:tc>
          <w:tcPr>
            <w:tcW w:w="329" w:type="pct"/>
            <w:vAlign w:val="center"/>
          </w:tcPr>
          <w:p w14:paraId="417972A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370</w:t>
            </w:r>
          </w:p>
        </w:tc>
        <w:tc>
          <w:tcPr>
            <w:tcW w:w="335" w:type="pct"/>
            <w:vAlign w:val="center"/>
          </w:tcPr>
          <w:p w14:paraId="6B2F55D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289,8</w:t>
            </w:r>
          </w:p>
          <w:p w14:paraId="11FDF52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235,3</w:t>
            </w:r>
          </w:p>
        </w:tc>
        <w:tc>
          <w:tcPr>
            <w:tcW w:w="286" w:type="pct"/>
            <w:vAlign w:val="center"/>
          </w:tcPr>
          <w:p w14:paraId="56B2820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78,3</w:t>
            </w:r>
          </w:p>
          <w:p w14:paraId="193239F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63,6</w:t>
            </w:r>
          </w:p>
        </w:tc>
        <w:tc>
          <w:tcPr>
            <w:tcW w:w="339" w:type="pct"/>
            <w:vAlign w:val="center"/>
          </w:tcPr>
          <w:p w14:paraId="36E70EF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330</w:t>
            </w:r>
          </w:p>
        </w:tc>
        <w:tc>
          <w:tcPr>
            <w:tcW w:w="309" w:type="pct"/>
            <w:vAlign w:val="center"/>
          </w:tcPr>
          <w:p w14:paraId="5935660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271,4</w:t>
            </w:r>
          </w:p>
          <w:p w14:paraId="70980E0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222,1</w:t>
            </w:r>
          </w:p>
        </w:tc>
        <w:tc>
          <w:tcPr>
            <w:tcW w:w="287" w:type="pct"/>
            <w:vAlign w:val="center"/>
          </w:tcPr>
          <w:p w14:paraId="145E390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82,2</w:t>
            </w:r>
          </w:p>
          <w:p w14:paraId="7DBF3E6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67,3</w:t>
            </w:r>
          </w:p>
        </w:tc>
      </w:tr>
      <w:tr w:rsidR="00235FAF" w:rsidRPr="006D5179" w14:paraId="33C2E2A1" w14:textId="77777777" w:rsidTr="00995DC2">
        <w:trPr>
          <w:trHeight w:val="145"/>
        </w:trPr>
        <w:tc>
          <w:tcPr>
            <w:tcW w:w="168" w:type="pct"/>
            <w:vAlign w:val="center"/>
          </w:tcPr>
          <w:p w14:paraId="77D5F90D"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7</w:t>
            </w:r>
          </w:p>
        </w:tc>
        <w:tc>
          <w:tcPr>
            <w:tcW w:w="873" w:type="pct"/>
            <w:vAlign w:val="center"/>
          </w:tcPr>
          <w:p w14:paraId="66C04D79"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Pasta</w:t>
            </w:r>
          </w:p>
        </w:tc>
        <w:tc>
          <w:tcPr>
            <w:tcW w:w="298" w:type="pct"/>
            <w:vAlign w:val="center"/>
          </w:tcPr>
          <w:p w14:paraId="7A690E9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47" w:type="pct"/>
            <w:vAlign w:val="center"/>
          </w:tcPr>
          <w:p w14:paraId="2B60DB4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15,9</w:t>
            </w:r>
          </w:p>
          <w:p w14:paraId="3DC9A79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12,4</w:t>
            </w:r>
          </w:p>
        </w:tc>
        <w:tc>
          <w:tcPr>
            <w:tcW w:w="347" w:type="pct"/>
            <w:vAlign w:val="center"/>
          </w:tcPr>
          <w:p w14:paraId="7C2EE91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79,5</w:t>
            </w:r>
          </w:p>
          <w:p w14:paraId="2EB077F6"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62,0</w:t>
            </w:r>
          </w:p>
        </w:tc>
        <w:tc>
          <w:tcPr>
            <w:tcW w:w="360" w:type="pct"/>
            <w:vAlign w:val="center"/>
          </w:tcPr>
          <w:p w14:paraId="42F6EE2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61" w:type="pct"/>
            <w:vAlign w:val="center"/>
          </w:tcPr>
          <w:p w14:paraId="161B73E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12,1</w:t>
            </w:r>
          </w:p>
          <w:p w14:paraId="363A836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9,7</w:t>
            </w:r>
          </w:p>
        </w:tc>
        <w:tc>
          <w:tcPr>
            <w:tcW w:w="361" w:type="pct"/>
            <w:vAlign w:val="center"/>
          </w:tcPr>
          <w:p w14:paraId="7DCF73AF"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80,7</w:t>
            </w:r>
          </w:p>
          <w:p w14:paraId="1A95F10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64,7</w:t>
            </w:r>
          </w:p>
        </w:tc>
        <w:tc>
          <w:tcPr>
            <w:tcW w:w="329" w:type="pct"/>
            <w:vAlign w:val="center"/>
          </w:tcPr>
          <w:p w14:paraId="054CFF3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16</w:t>
            </w:r>
          </w:p>
        </w:tc>
        <w:tc>
          <w:tcPr>
            <w:tcW w:w="335" w:type="pct"/>
            <w:vAlign w:val="center"/>
          </w:tcPr>
          <w:p w14:paraId="75E716F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12,4</w:t>
            </w:r>
          </w:p>
          <w:p w14:paraId="3D6856C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9,8</w:t>
            </w:r>
          </w:p>
        </w:tc>
        <w:tc>
          <w:tcPr>
            <w:tcW w:w="286" w:type="pct"/>
            <w:vAlign w:val="center"/>
          </w:tcPr>
          <w:p w14:paraId="66D6A6F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77,5</w:t>
            </w:r>
          </w:p>
          <w:p w14:paraId="53CFA61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61,3</w:t>
            </w:r>
          </w:p>
        </w:tc>
        <w:tc>
          <w:tcPr>
            <w:tcW w:w="339" w:type="pct"/>
            <w:vAlign w:val="center"/>
          </w:tcPr>
          <w:p w14:paraId="6024D80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09" w:type="pct"/>
            <w:vAlign w:val="center"/>
          </w:tcPr>
          <w:p w14:paraId="0080DD3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11,5</w:t>
            </w:r>
          </w:p>
          <w:p w14:paraId="6AB42C5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10,1</w:t>
            </w:r>
          </w:p>
        </w:tc>
        <w:tc>
          <w:tcPr>
            <w:tcW w:w="287" w:type="pct"/>
            <w:vAlign w:val="center"/>
          </w:tcPr>
          <w:p w14:paraId="1D154AB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76,7</w:t>
            </w:r>
          </w:p>
          <w:p w14:paraId="54E0164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67,3</w:t>
            </w:r>
          </w:p>
        </w:tc>
      </w:tr>
      <w:tr w:rsidR="00235FAF" w:rsidRPr="006D5179" w14:paraId="4C959049" w14:textId="77777777" w:rsidTr="00995DC2">
        <w:trPr>
          <w:trHeight w:val="145"/>
        </w:trPr>
        <w:tc>
          <w:tcPr>
            <w:tcW w:w="168" w:type="pct"/>
            <w:vAlign w:val="center"/>
          </w:tcPr>
          <w:p w14:paraId="567D0F9B"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8</w:t>
            </w:r>
          </w:p>
        </w:tc>
        <w:tc>
          <w:tcPr>
            <w:tcW w:w="873" w:type="pct"/>
            <w:vAlign w:val="center"/>
          </w:tcPr>
          <w:p w14:paraId="16CC9456"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Potato</w:t>
            </w:r>
          </w:p>
        </w:tc>
        <w:tc>
          <w:tcPr>
            <w:tcW w:w="298" w:type="pct"/>
            <w:vAlign w:val="center"/>
          </w:tcPr>
          <w:p w14:paraId="416377B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180</w:t>
            </w:r>
          </w:p>
        </w:tc>
        <w:tc>
          <w:tcPr>
            <w:tcW w:w="347" w:type="pct"/>
            <w:vAlign w:val="center"/>
          </w:tcPr>
          <w:p w14:paraId="1FF4847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158,7</w:t>
            </w:r>
          </w:p>
          <w:p w14:paraId="028AB30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118,7</w:t>
            </w:r>
          </w:p>
        </w:tc>
        <w:tc>
          <w:tcPr>
            <w:tcW w:w="347" w:type="pct"/>
            <w:vAlign w:val="center"/>
          </w:tcPr>
          <w:p w14:paraId="1E02FFAB"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88,2</w:t>
            </w:r>
          </w:p>
          <w:p w14:paraId="7416FAB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65,9</w:t>
            </w:r>
          </w:p>
        </w:tc>
        <w:tc>
          <w:tcPr>
            <w:tcW w:w="360" w:type="pct"/>
            <w:vAlign w:val="center"/>
          </w:tcPr>
          <w:p w14:paraId="309D4D2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155</w:t>
            </w:r>
          </w:p>
        </w:tc>
        <w:tc>
          <w:tcPr>
            <w:tcW w:w="361" w:type="pct"/>
            <w:vAlign w:val="center"/>
          </w:tcPr>
          <w:p w14:paraId="1DA5584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126,3</w:t>
            </w:r>
          </w:p>
          <w:p w14:paraId="6B38CC2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98,6</w:t>
            </w:r>
          </w:p>
        </w:tc>
        <w:tc>
          <w:tcPr>
            <w:tcW w:w="361" w:type="pct"/>
            <w:vAlign w:val="center"/>
          </w:tcPr>
          <w:p w14:paraId="7CFDA426"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81,5</w:t>
            </w:r>
          </w:p>
          <w:p w14:paraId="298F42DD"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63,6</w:t>
            </w:r>
          </w:p>
        </w:tc>
        <w:tc>
          <w:tcPr>
            <w:tcW w:w="329" w:type="pct"/>
            <w:vAlign w:val="center"/>
          </w:tcPr>
          <w:p w14:paraId="7804D1E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140</w:t>
            </w:r>
          </w:p>
        </w:tc>
        <w:tc>
          <w:tcPr>
            <w:tcW w:w="335" w:type="pct"/>
            <w:vAlign w:val="center"/>
          </w:tcPr>
          <w:p w14:paraId="6BF57EE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121,4</w:t>
            </w:r>
          </w:p>
          <w:p w14:paraId="44126B0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92,3</w:t>
            </w:r>
          </w:p>
        </w:tc>
        <w:tc>
          <w:tcPr>
            <w:tcW w:w="286" w:type="pct"/>
            <w:vAlign w:val="center"/>
          </w:tcPr>
          <w:p w14:paraId="11A03F1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86,7</w:t>
            </w:r>
          </w:p>
          <w:p w14:paraId="4BA1FA0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65,9</w:t>
            </w:r>
          </w:p>
        </w:tc>
        <w:tc>
          <w:tcPr>
            <w:tcW w:w="339" w:type="pct"/>
            <w:vAlign w:val="center"/>
          </w:tcPr>
          <w:p w14:paraId="2001A4C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120</w:t>
            </w:r>
          </w:p>
        </w:tc>
        <w:tc>
          <w:tcPr>
            <w:tcW w:w="309" w:type="pct"/>
            <w:vAlign w:val="center"/>
          </w:tcPr>
          <w:p w14:paraId="7A1A3B2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101,4</w:t>
            </w:r>
          </w:p>
          <w:p w14:paraId="5B5C4C7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75,8</w:t>
            </w:r>
          </w:p>
        </w:tc>
        <w:tc>
          <w:tcPr>
            <w:tcW w:w="287" w:type="pct"/>
            <w:vAlign w:val="center"/>
          </w:tcPr>
          <w:p w14:paraId="7EEE507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84,5</w:t>
            </w:r>
          </w:p>
          <w:p w14:paraId="1791B9E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63,2</w:t>
            </w:r>
          </w:p>
        </w:tc>
      </w:tr>
      <w:tr w:rsidR="00235FAF" w:rsidRPr="006D5179" w14:paraId="23B87C72" w14:textId="77777777" w:rsidTr="00995DC2">
        <w:trPr>
          <w:trHeight w:val="145"/>
        </w:trPr>
        <w:tc>
          <w:tcPr>
            <w:tcW w:w="168" w:type="pct"/>
            <w:vAlign w:val="center"/>
          </w:tcPr>
          <w:p w14:paraId="20CD114B"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9</w:t>
            </w:r>
          </w:p>
        </w:tc>
        <w:tc>
          <w:tcPr>
            <w:tcW w:w="873" w:type="pct"/>
            <w:vAlign w:val="center"/>
          </w:tcPr>
          <w:p w14:paraId="761D3CBD"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Cabbage</w:t>
            </w:r>
          </w:p>
        </w:tc>
        <w:tc>
          <w:tcPr>
            <w:tcW w:w="298" w:type="pct"/>
            <w:vAlign w:val="center"/>
          </w:tcPr>
          <w:p w14:paraId="5AB01E5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w:t>
            </w:r>
          </w:p>
        </w:tc>
        <w:tc>
          <w:tcPr>
            <w:tcW w:w="347" w:type="pct"/>
            <w:vAlign w:val="center"/>
          </w:tcPr>
          <w:p w14:paraId="3188B6D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15,0</w:t>
            </w:r>
          </w:p>
          <w:p w14:paraId="64DC0C2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31,6</w:t>
            </w:r>
          </w:p>
        </w:tc>
        <w:tc>
          <w:tcPr>
            <w:tcW w:w="347" w:type="pct"/>
            <w:vAlign w:val="center"/>
          </w:tcPr>
          <w:p w14:paraId="68CB4C7F"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27,3</w:t>
            </w:r>
          </w:p>
          <w:p w14:paraId="5A42888A"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57,5</w:t>
            </w:r>
          </w:p>
        </w:tc>
        <w:tc>
          <w:tcPr>
            <w:tcW w:w="360" w:type="pct"/>
            <w:vAlign w:val="center"/>
          </w:tcPr>
          <w:p w14:paraId="457CFF4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w:t>
            </w:r>
          </w:p>
        </w:tc>
        <w:tc>
          <w:tcPr>
            <w:tcW w:w="361" w:type="pct"/>
            <w:vAlign w:val="center"/>
          </w:tcPr>
          <w:p w14:paraId="67595AB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11,3</w:t>
            </w:r>
          </w:p>
          <w:p w14:paraId="69FB2E1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23,7</w:t>
            </w:r>
          </w:p>
        </w:tc>
        <w:tc>
          <w:tcPr>
            <w:tcW w:w="361" w:type="pct"/>
            <w:vAlign w:val="center"/>
          </w:tcPr>
          <w:p w14:paraId="64235CD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28,3</w:t>
            </w:r>
          </w:p>
          <w:p w14:paraId="3BAD0742"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59,3</w:t>
            </w:r>
          </w:p>
        </w:tc>
        <w:tc>
          <w:tcPr>
            <w:tcW w:w="329" w:type="pct"/>
            <w:vAlign w:val="center"/>
          </w:tcPr>
          <w:p w14:paraId="77FC4B6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44</w:t>
            </w:r>
          </w:p>
        </w:tc>
        <w:tc>
          <w:tcPr>
            <w:tcW w:w="335" w:type="pct"/>
            <w:vAlign w:val="center"/>
          </w:tcPr>
          <w:p w14:paraId="24E6E71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14,1</w:t>
            </w:r>
          </w:p>
          <w:p w14:paraId="493B803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27,2</w:t>
            </w:r>
          </w:p>
        </w:tc>
        <w:tc>
          <w:tcPr>
            <w:tcW w:w="286" w:type="pct"/>
            <w:vAlign w:val="center"/>
          </w:tcPr>
          <w:p w14:paraId="0AB2C6A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32,0</w:t>
            </w:r>
          </w:p>
          <w:p w14:paraId="077BB42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61,8</w:t>
            </w:r>
          </w:p>
        </w:tc>
        <w:tc>
          <w:tcPr>
            <w:tcW w:w="339" w:type="pct"/>
            <w:vAlign w:val="center"/>
          </w:tcPr>
          <w:p w14:paraId="2FBA506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32</w:t>
            </w:r>
          </w:p>
        </w:tc>
        <w:tc>
          <w:tcPr>
            <w:tcW w:w="309" w:type="pct"/>
            <w:vAlign w:val="center"/>
          </w:tcPr>
          <w:p w14:paraId="19AC116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10,5</w:t>
            </w:r>
          </w:p>
          <w:p w14:paraId="79258CC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21,3</w:t>
            </w:r>
          </w:p>
        </w:tc>
        <w:tc>
          <w:tcPr>
            <w:tcW w:w="287" w:type="pct"/>
            <w:vAlign w:val="center"/>
          </w:tcPr>
          <w:p w14:paraId="309612F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32,8</w:t>
            </w:r>
          </w:p>
          <w:p w14:paraId="08619C5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66,6</w:t>
            </w:r>
          </w:p>
        </w:tc>
      </w:tr>
      <w:tr w:rsidR="00235FAF" w:rsidRPr="006D5179" w14:paraId="1472727D" w14:textId="77777777" w:rsidTr="00995DC2">
        <w:trPr>
          <w:trHeight w:val="145"/>
        </w:trPr>
        <w:tc>
          <w:tcPr>
            <w:tcW w:w="168" w:type="pct"/>
            <w:vAlign w:val="center"/>
          </w:tcPr>
          <w:p w14:paraId="778AE106"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11</w:t>
            </w:r>
          </w:p>
        </w:tc>
        <w:tc>
          <w:tcPr>
            <w:tcW w:w="873" w:type="pct"/>
            <w:vAlign w:val="center"/>
          </w:tcPr>
          <w:p w14:paraId="25E7AB8D"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Cucumbers and tomatoes</w:t>
            </w:r>
          </w:p>
        </w:tc>
        <w:tc>
          <w:tcPr>
            <w:tcW w:w="298" w:type="pct"/>
            <w:vAlign w:val="center"/>
          </w:tcPr>
          <w:p w14:paraId="43AD0A2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155</w:t>
            </w:r>
          </w:p>
        </w:tc>
        <w:tc>
          <w:tcPr>
            <w:tcW w:w="347" w:type="pct"/>
            <w:vAlign w:val="center"/>
          </w:tcPr>
          <w:p w14:paraId="606C44E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46,1</w:t>
            </w:r>
          </w:p>
          <w:p w14:paraId="349C229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115,8</w:t>
            </w:r>
          </w:p>
        </w:tc>
        <w:tc>
          <w:tcPr>
            <w:tcW w:w="347" w:type="pct"/>
            <w:vAlign w:val="center"/>
          </w:tcPr>
          <w:p w14:paraId="64E8D2ED"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29,7</w:t>
            </w:r>
          </w:p>
          <w:p w14:paraId="52F0AB8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74,7</w:t>
            </w:r>
          </w:p>
        </w:tc>
        <w:tc>
          <w:tcPr>
            <w:tcW w:w="360" w:type="pct"/>
            <w:vAlign w:val="center"/>
          </w:tcPr>
          <w:p w14:paraId="75F16DA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112</w:t>
            </w:r>
          </w:p>
        </w:tc>
        <w:tc>
          <w:tcPr>
            <w:tcW w:w="361" w:type="pct"/>
            <w:vAlign w:val="center"/>
          </w:tcPr>
          <w:p w14:paraId="4A08731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33,8</w:t>
            </w:r>
          </w:p>
          <w:p w14:paraId="41330D1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89,3</w:t>
            </w:r>
          </w:p>
        </w:tc>
        <w:tc>
          <w:tcPr>
            <w:tcW w:w="361" w:type="pct"/>
            <w:vAlign w:val="center"/>
          </w:tcPr>
          <w:p w14:paraId="5E8A3B3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30,2</w:t>
            </w:r>
          </w:p>
          <w:p w14:paraId="780EA397"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79,7</w:t>
            </w:r>
          </w:p>
        </w:tc>
        <w:tc>
          <w:tcPr>
            <w:tcW w:w="329" w:type="pct"/>
            <w:vAlign w:val="center"/>
          </w:tcPr>
          <w:p w14:paraId="64A6C64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124</w:t>
            </w:r>
          </w:p>
        </w:tc>
        <w:tc>
          <w:tcPr>
            <w:tcW w:w="335" w:type="pct"/>
            <w:vAlign w:val="center"/>
          </w:tcPr>
          <w:p w14:paraId="6D1247E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37,7</w:t>
            </w:r>
          </w:p>
          <w:p w14:paraId="715DFB4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85,5</w:t>
            </w:r>
          </w:p>
        </w:tc>
        <w:tc>
          <w:tcPr>
            <w:tcW w:w="286" w:type="pct"/>
            <w:vAlign w:val="center"/>
          </w:tcPr>
          <w:p w14:paraId="3D7EBFC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30,4</w:t>
            </w:r>
          </w:p>
          <w:p w14:paraId="428FB9B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69,0</w:t>
            </w:r>
          </w:p>
        </w:tc>
        <w:tc>
          <w:tcPr>
            <w:tcW w:w="339" w:type="pct"/>
            <w:vAlign w:val="center"/>
          </w:tcPr>
          <w:p w14:paraId="1ED4707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w:t>
            </w:r>
          </w:p>
        </w:tc>
        <w:tc>
          <w:tcPr>
            <w:tcW w:w="309" w:type="pct"/>
            <w:vAlign w:val="center"/>
          </w:tcPr>
          <w:p w14:paraId="56EAFD3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33,9</w:t>
            </w:r>
          </w:p>
          <w:p w14:paraId="1000F01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60,4</w:t>
            </w:r>
          </w:p>
        </w:tc>
        <w:tc>
          <w:tcPr>
            <w:tcW w:w="287" w:type="pct"/>
            <w:vAlign w:val="center"/>
          </w:tcPr>
          <w:p w14:paraId="0F0846C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38,1</w:t>
            </w:r>
          </w:p>
          <w:p w14:paraId="4B90FE2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67,9</w:t>
            </w:r>
          </w:p>
        </w:tc>
      </w:tr>
      <w:tr w:rsidR="00235FAF" w:rsidRPr="006D5179" w14:paraId="214FE0ED" w14:textId="77777777" w:rsidTr="00995DC2">
        <w:trPr>
          <w:trHeight w:val="145"/>
        </w:trPr>
        <w:tc>
          <w:tcPr>
            <w:tcW w:w="168" w:type="pct"/>
            <w:vAlign w:val="center"/>
          </w:tcPr>
          <w:p w14:paraId="059EDCDC"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12</w:t>
            </w:r>
          </w:p>
        </w:tc>
        <w:tc>
          <w:tcPr>
            <w:tcW w:w="873" w:type="pct"/>
            <w:vAlign w:val="center"/>
          </w:tcPr>
          <w:p w14:paraId="3A8BA748"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Beets and carrots</w:t>
            </w:r>
          </w:p>
        </w:tc>
        <w:tc>
          <w:tcPr>
            <w:tcW w:w="298" w:type="pct"/>
            <w:vAlign w:val="center"/>
          </w:tcPr>
          <w:p w14:paraId="1A9D5A5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95</w:t>
            </w:r>
          </w:p>
        </w:tc>
        <w:tc>
          <w:tcPr>
            <w:tcW w:w="347" w:type="pct"/>
            <w:vAlign w:val="center"/>
          </w:tcPr>
          <w:p w14:paraId="219E6AC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39,4</w:t>
            </w:r>
          </w:p>
          <w:p w14:paraId="55734B9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lang w:val="ru-RU" w:eastAsia="ru-RU"/>
              </w:rPr>
              <w:t>42,6</w:t>
            </w:r>
          </w:p>
        </w:tc>
        <w:tc>
          <w:tcPr>
            <w:tcW w:w="347" w:type="pct"/>
            <w:vAlign w:val="center"/>
          </w:tcPr>
          <w:p w14:paraId="43274D3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41,5</w:t>
            </w:r>
          </w:p>
          <w:p w14:paraId="55C96E99"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44,8</w:t>
            </w:r>
          </w:p>
        </w:tc>
        <w:tc>
          <w:tcPr>
            <w:tcW w:w="360" w:type="pct"/>
            <w:vAlign w:val="center"/>
          </w:tcPr>
          <w:p w14:paraId="2BA4D1F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65</w:t>
            </w:r>
          </w:p>
        </w:tc>
        <w:tc>
          <w:tcPr>
            <w:tcW w:w="361" w:type="pct"/>
            <w:vAlign w:val="center"/>
          </w:tcPr>
          <w:p w14:paraId="6D17467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31,7</w:t>
            </w:r>
          </w:p>
          <w:p w14:paraId="30F758B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35,4</w:t>
            </w:r>
          </w:p>
        </w:tc>
        <w:tc>
          <w:tcPr>
            <w:tcW w:w="361" w:type="pct"/>
            <w:vAlign w:val="center"/>
          </w:tcPr>
          <w:p w14:paraId="1C132658"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48,8</w:t>
            </w:r>
          </w:p>
          <w:p w14:paraId="25B2CAD9"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54,5</w:t>
            </w:r>
          </w:p>
        </w:tc>
        <w:tc>
          <w:tcPr>
            <w:tcW w:w="329" w:type="pct"/>
            <w:vAlign w:val="center"/>
          </w:tcPr>
          <w:p w14:paraId="571CA83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75</w:t>
            </w:r>
          </w:p>
        </w:tc>
        <w:tc>
          <w:tcPr>
            <w:tcW w:w="335" w:type="pct"/>
            <w:vAlign w:val="center"/>
          </w:tcPr>
          <w:p w14:paraId="016F425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33,5</w:t>
            </w:r>
          </w:p>
          <w:p w14:paraId="244FF79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38,4</w:t>
            </w:r>
          </w:p>
        </w:tc>
        <w:tc>
          <w:tcPr>
            <w:tcW w:w="286" w:type="pct"/>
            <w:vAlign w:val="center"/>
          </w:tcPr>
          <w:p w14:paraId="2AD93CD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44,7</w:t>
            </w:r>
          </w:p>
          <w:p w14:paraId="6B00985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51,2</w:t>
            </w:r>
          </w:p>
        </w:tc>
        <w:tc>
          <w:tcPr>
            <w:tcW w:w="339" w:type="pct"/>
            <w:vAlign w:val="center"/>
          </w:tcPr>
          <w:p w14:paraId="10E0ACE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52</w:t>
            </w:r>
          </w:p>
        </w:tc>
        <w:tc>
          <w:tcPr>
            <w:tcW w:w="309" w:type="pct"/>
            <w:vAlign w:val="center"/>
          </w:tcPr>
          <w:p w14:paraId="165564F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24,1</w:t>
            </w:r>
          </w:p>
          <w:p w14:paraId="650E61A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27,6</w:t>
            </w:r>
          </w:p>
        </w:tc>
        <w:tc>
          <w:tcPr>
            <w:tcW w:w="287" w:type="pct"/>
            <w:vAlign w:val="center"/>
          </w:tcPr>
          <w:p w14:paraId="73C4C69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46,3</w:t>
            </w:r>
          </w:p>
          <w:p w14:paraId="5F036BE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53,1</w:t>
            </w:r>
          </w:p>
        </w:tc>
      </w:tr>
      <w:tr w:rsidR="00235FAF" w:rsidRPr="006D5179" w14:paraId="799886EE" w14:textId="77777777" w:rsidTr="00995DC2">
        <w:trPr>
          <w:trHeight w:val="145"/>
        </w:trPr>
        <w:tc>
          <w:tcPr>
            <w:tcW w:w="168" w:type="pct"/>
            <w:vAlign w:val="center"/>
          </w:tcPr>
          <w:p w14:paraId="1074B3AD"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13</w:t>
            </w:r>
          </w:p>
        </w:tc>
        <w:tc>
          <w:tcPr>
            <w:tcW w:w="873" w:type="pct"/>
            <w:vAlign w:val="center"/>
          </w:tcPr>
          <w:p w14:paraId="681DA393"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Other vegetables</w:t>
            </w:r>
          </w:p>
        </w:tc>
        <w:tc>
          <w:tcPr>
            <w:tcW w:w="298" w:type="pct"/>
            <w:vAlign w:val="center"/>
          </w:tcPr>
          <w:p w14:paraId="5419334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155</w:t>
            </w:r>
          </w:p>
        </w:tc>
        <w:tc>
          <w:tcPr>
            <w:tcW w:w="347" w:type="pct"/>
            <w:vAlign w:val="center"/>
          </w:tcPr>
          <w:p w14:paraId="65D1858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72,4</w:t>
            </w:r>
          </w:p>
          <w:p w14:paraId="31FBAE1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126,8</w:t>
            </w:r>
          </w:p>
        </w:tc>
        <w:tc>
          <w:tcPr>
            <w:tcW w:w="347" w:type="pct"/>
            <w:vAlign w:val="center"/>
          </w:tcPr>
          <w:p w14:paraId="1F523E0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46,7</w:t>
            </w:r>
          </w:p>
          <w:p w14:paraId="3121BF86"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81,8</w:t>
            </w:r>
          </w:p>
        </w:tc>
        <w:tc>
          <w:tcPr>
            <w:tcW w:w="360" w:type="pct"/>
            <w:vAlign w:val="center"/>
          </w:tcPr>
          <w:p w14:paraId="76BD47A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112</w:t>
            </w:r>
          </w:p>
        </w:tc>
        <w:tc>
          <w:tcPr>
            <w:tcW w:w="361" w:type="pct"/>
            <w:vAlign w:val="center"/>
          </w:tcPr>
          <w:p w14:paraId="5671BE0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53,9</w:t>
            </w:r>
          </w:p>
          <w:p w14:paraId="649525E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95,4</w:t>
            </w:r>
          </w:p>
        </w:tc>
        <w:tc>
          <w:tcPr>
            <w:tcW w:w="361" w:type="pct"/>
            <w:vAlign w:val="center"/>
          </w:tcPr>
          <w:p w14:paraId="48DB202C"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48,1</w:t>
            </w:r>
          </w:p>
          <w:p w14:paraId="196E265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85,2</w:t>
            </w:r>
          </w:p>
        </w:tc>
        <w:tc>
          <w:tcPr>
            <w:tcW w:w="329" w:type="pct"/>
            <w:vAlign w:val="center"/>
          </w:tcPr>
          <w:p w14:paraId="31C239E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124</w:t>
            </w:r>
          </w:p>
        </w:tc>
        <w:tc>
          <w:tcPr>
            <w:tcW w:w="335" w:type="pct"/>
            <w:vAlign w:val="center"/>
          </w:tcPr>
          <w:p w14:paraId="0333A89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65,5</w:t>
            </w:r>
          </w:p>
          <w:p w14:paraId="6FD7444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103,4</w:t>
            </w:r>
          </w:p>
        </w:tc>
        <w:tc>
          <w:tcPr>
            <w:tcW w:w="286" w:type="pct"/>
            <w:vAlign w:val="center"/>
          </w:tcPr>
          <w:p w14:paraId="3063441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52,8</w:t>
            </w:r>
          </w:p>
          <w:p w14:paraId="6B371CB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83,4</w:t>
            </w:r>
          </w:p>
        </w:tc>
        <w:tc>
          <w:tcPr>
            <w:tcW w:w="339" w:type="pct"/>
            <w:vAlign w:val="center"/>
          </w:tcPr>
          <w:p w14:paraId="3C55587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w:t>
            </w:r>
          </w:p>
        </w:tc>
        <w:tc>
          <w:tcPr>
            <w:tcW w:w="309" w:type="pct"/>
            <w:vAlign w:val="center"/>
          </w:tcPr>
          <w:p w14:paraId="312FD23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42,8</w:t>
            </w:r>
          </w:p>
          <w:p w14:paraId="12A0E4B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72,8</w:t>
            </w:r>
          </w:p>
        </w:tc>
        <w:tc>
          <w:tcPr>
            <w:tcW w:w="287" w:type="pct"/>
            <w:vAlign w:val="center"/>
          </w:tcPr>
          <w:p w14:paraId="4173450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48,1</w:t>
            </w:r>
          </w:p>
          <w:p w14:paraId="7E2C03B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81,8</w:t>
            </w:r>
          </w:p>
        </w:tc>
      </w:tr>
      <w:tr w:rsidR="00235FAF" w:rsidRPr="006D5179" w14:paraId="1F89689C" w14:textId="77777777" w:rsidTr="00995DC2">
        <w:trPr>
          <w:trHeight w:val="303"/>
        </w:trPr>
        <w:tc>
          <w:tcPr>
            <w:tcW w:w="168" w:type="pct"/>
            <w:vAlign w:val="center"/>
          </w:tcPr>
          <w:p w14:paraId="6B7D62DA"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14</w:t>
            </w:r>
          </w:p>
        </w:tc>
        <w:tc>
          <w:tcPr>
            <w:tcW w:w="873" w:type="pct"/>
            <w:vAlign w:val="center"/>
          </w:tcPr>
          <w:p w14:paraId="444631EB"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eastAsia="ru-RU"/>
              </w:rPr>
              <w:t>M</w:t>
            </w:r>
            <w:r w:rsidRPr="006D5179">
              <w:rPr>
                <w:rFonts w:eastAsia="Times New Roman" w:cs="Times New Roman"/>
                <w:sz w:val="24"/>
                <w:szCs w:val="24"/>
                <w:lang w:val="ru-RU" w:eastAsia="ru-RU"/>
              </w:rPr>
              <w:t>elons</w:t>
            </w:r>
          </w:p>
        </w:tc>
        <w:tc>
          <w:tcPr>
            <w:tcW w:w="298" w:type="pct"/>
            <w:vAlign w:val="center"/>
          </w:tcPr>
          <w:p w14:paraId="53F5CD6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w:t>
            </w:r>
          </w:p>
        </w:tc>
        <w:tc>
          <w:tcPr>
            <w:tcW w:w="347" w:type="pct"/>
            <w:vAlign w:val="center"/>
          </w:tcPr>
          <w:p w14:paraId="17D6AC4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15,0</w:t>
            </w:r>
          </w:p>
          <w:p w14:paraId="219B3BC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43,1</w:t>
            </w:r>
          </w:p>
        </w:tc>
        <w:tc>
          <w:tcPr>
            <w:tcW w:w="347" w:type="pct"/>
            <w:vAlign w:val="center"/>
          </w:tcPr>
          <w:p w14:paraId="5B50953C"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37,5</w:t>
            </w:r>
          </w:p>
          <w:p w14:paraId="3D7A0021"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107,8</w:t>
            </w:r>
          </w:p>
        </w:tc>
        <w:tc>
          <w:tcPr>
            <w:tcW w:w="360" w:type="pct"/>
            <w:vAlign w:val="center"/>
          </w:tcPr>
          <w:p w14:paraId="0C63C9F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w:t>
            </w:r>
          </w:p>
        </w:tc>
        <w:tc>
          <w:tcPr>
            <w:tcW w:w="361" w:type="pct"/>
            <w:vAlign w:val="center"/>
          </w:tcPr>
          <w:p w14:paraId="6B4778E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12,8</w:t>
            </w:r>
          </w:p>
          <w:p w14:paraId="2FF6C31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45,8</w:t>
            </w:r>
          </w:p>
        </w:tc>
        <w:tc>
          <w:tcPr>
            <w:tcW w:w="361" w:type="pct"/>
            <w:vAlign w:val="center"/>
          </w:tcPr>
          <w:p w14:paraId="28A601AC"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23,3</w:t>
            </w:r>
          </w:p>
          <w:p w14:paraId="039AFA8E"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83,3</w:t>
            </w:r>
          </w:p>
        </w:tc>
        <w:tc>
          <w:tcPr>
            <w:tcW w:w="329" w:type="pct"/>
            <w:vAlign w:val="center"/>
          </w:tcPr>
          <w:p w14:paraId="6B8ACF9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32</w:t>
            </w:r>
          </w:p>
        </w:tc>
        <w:tc>
          <w:tcPr>
            <w:tcW w:w="335" w:type="pct"/>
            <w:vAlign w:val="center"/>
          </w:tcPr>
          <w:p w14:paraId="474B6C1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10,1</w:t>
            </w:r>
          </w:p>
          <w:p w14:paraId="337E6EB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35,3</w:t>
            </w:r>
          </w:p>
        </w:tc>
        <w:tc>
          <w:tcPr>
            <w:tcW w:w="286" w:type="pct"/>
            <w:vAlign w:val="center"/>
          </w:tcPr>
          <w:p w14:paraId="146A63C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31,6</w:t>
            </w:r>
          </w:p>
          <w:p w14:paraId="5083C34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110,3</w:t>
            </w:r>
          </w:p>
        </w:tc>
        <w:tc>
          <w:tcPr>
            <w:tcW w:w="339" w:type="pct"/>
            <w:vAlign w:val="center"/>
          </w:tcPr>
          <w:p w14:paraId="69E86FA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w:t>
            </w:r>
          </w:p>
        </w:tc>
        <w:tc>
          <w:tcPr>
            <w:tcW w:w="309" w:type="pct"/>
            <w:vAlign w:val="center"/>
          </w:tcPr>
          <w:p w14:paraId="150F941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12,1</w:t>
            </w:r>
          </w:p>
          <w:p w14:paraId="11AFE71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33,4</w:t>
            </w:r>
          </w:p>
        </w:tc>
        <w:tc>
          <w:tcPr>
            <w:tcW w:w="287" w:type="pct"/>
            <w:vAlign w:val="center"/>
          </w:tcPr>
          <w:p w14:paraId="2441C09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30,3</w:t>
            </w:r>
          </w:p>
          <w:p w14:paraId="09871DA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83,5</w:t>
            </w:r>
          </w:p>
        </w:tc>
      </w:tr>
      <w:tr w:rsidR="00235FAF" w:rsidRPr="006D5179" w14:paraId="4979B285" w14:textId="77777777" w:rsidTr="00995DC2">
        <w:trPr>
          <w:trHeight w:val="166"/>
        </w:trPr>
        <w:tc>
          <w:tcPr>
            <w:tcW w:w="168" w:type="pct"/>
            <w:vAlign w:val="center"/>
          </w:tcPr>
          <w:p w14:paraId="757EF373"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15</w:t>
            </w:r>
          </w:p>
        </w:tc>
        <w:tc>
          <w:tcPr>
            <w:tcW w:w="873" w:type="pct"/>
            <w:vAlign w:val="center"/>
          </w:tcPr>
          <w:p w14:paraId="224E6742"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Fresh fruits and berries</w:t>
            </w:r>
          </w:p>
        </w:tc>
        <w:tc>
          <w:tcPr>
            <w:tcW w:w="298" w:type="pct"/>
            <w:vAlign w:val="center"/>
          </w:tcPr>
          <w:p w14:paraId="34DC18C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150</w:t>
            </w:r>
          </w:p>
        </w:tc>
        <w:tc>
          <w:tcPr>
            <w:tcW w:w="347" w:type="pct"/>
            <w:vAlign w:val="center"/>
          </w:tcPr>
          <w:p w14:paraId="7AAF874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70,3</w:t>
            </w:r>
          </w:p>
          <w:p w14:paraId="3AE5615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125,4</w:t>
            </w:r>
          </w:p>
        </w:tc>
        <w:tc>
          <w:tcPr>
            <w:tcW w:w="347" w:type="pct"/>
            <w:vAlign w:val="center"/>
          </w:tcPr>
          <w:p w14:paraId="0CD5445E"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46,9</w:t>
            </w:r>
          </w:p>
          <w:p w14:paraId="6CAC8F3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83,6</w:t>
            </w:r>
          </w:p>
        </w:tc>
        <w:tc>
          <w:tcPr>
            <w:tcW w:w="360" w:type="pct"/>
            <w:vAlign w:val="center"/>
          </w:tcPr>
          <w:p w14:paraId="32FFB66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100</w:t>
            </w:r>
          </w:p>
        </w:tc>
        <w:tc>
          <w:tcPr>
            <w:tcW w:w="361" w:type="pct"/>
            <w:vAlign w:val="center"/>
          </w:tcPr>
          <w:p w14:paraId="170583E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52,2</w:t>
            </w:r>
          </w:p>
          <w:p w14:paraId="49A12F3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112,3</w:t>
            </w:r>
          </w:p>
        </w:tc>
        <w:tc>
          <w:tcPr>
            <w:tcW w:w="361" w:type="pct"/>
            <w:vAlign w:val="center"/>
          </w:tcPr>
          <w:p w14:paraId="479E5BED"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52,2</w:t>
            </w:r>
          </w:p>
          <w:p w14:paraId="21397D59"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112,3</w:t>
            </w:r>
          </w:p>
        </w:tc>
        <w:tc>
          <w:tcPr>
            <w:tcW w:w="329" w:type="pct"/>
            <w:vAlign w:val="center"/>
          </w:tcPr>
          <w:p w14:paraId="358A888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114</w:t>
            </w:r>
          </w:p>
        </w:tc>
        <w:tc>
          <w:tcPr>
            <w:tcW w:w="335" w:type="pct"/>
            <w:vAlign w:val="center"/>
          </w:tcPr>
          <w:p w14:paraId="1EA4DB5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55,5</w:t>
            </w:r>
          </w:p>
          <w:p w14:paraId="358078B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98,7</w:t>
            </w:r>
          </w:p>
        </w:tc>
        <w:tc>
          <w:tcPr>
            <w:tcW w:w="286" w:type="pct"/>
            <w:vAlign w:val="center"/>
          </w:tcPr>
          <w:p w14:paraId="1CA30C7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48,7</w:t>
            </w:r>
          </w:p>
          <w:p w14:paraId="36214BB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86,6</w:t>
            </w:r>
          </w:p>
        </w:tc>
        <w:tc>
          <w:tcPr>
            <w:tcW w:w="339" w:type="pct"/>
            <w:vAlign w:val="center"/>
          </w:tcPr>
          <w:p w14:paraId="36620D8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150</w:t>
            </w:r>
          </w:p>
        </w:tc>
        <w:tc>
          <w:tcPr>
            <w:tcW w:w="309" w:type="pct"/>
            <w:vAlign w:val="center"/>
          </w:tcPr>
          <w:p w14:paraId="6AAD1B4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70,6</w:t>
            </w:r>
          </w:p>
          <w:p w14:paraId="0DFB5D1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110,4</w:t>
            </w:r>
          </w:p>
        </w:tc>
        <w:tc>
          <w:tcPr>
            <w:tcW w:w="287" w:type="pct"/>
            <w:vAlign w:val="center"/>
          </w:tcPr>
          <w:p w14:paraId="7F2EF1F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47,1</w:t>
            </w:r>
          </w:p>
          <w:p w14:paraId="4705ED9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73,6</w:t>
            </w:r>
          </w:p>
        </w:tc>
      </w:tr>
      <w:tr w:rsidR="00235FAF" w:rsidRPr="006D5179" w14:paraId="7EBA5060" w14:textId="77777777" w:rsidTr="00995DC2">
        <w:trPr>
          <w:trHeight w:val="303"/>
        </w:trPr>
        <w:tc>
          <w:tcPr>
            <w:tcW w:w="168" w:type="pct"/>
            <w:vAlign w:val="center"/>
          </w:tcPr>
          <w:p w14:paraId="5CC27646"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lastRenderedPageBreak/>
              <w:t>16</w:t>
            </w:r>
          </w:p>
        </w:tc>
        <w:tc>
          <w:tcPr>
            <w:tcW w:w="873" w:type="pct"/>
            <w:vAlign w:val="center"/>
          </w:tcPr>
          <w:p w14:paraId="2B405317"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eastAsia="ru-RU"/>
              </w:rPr>
              <w:t>D</w:t>
            </w:r>
            <w:r w:rsidRPr="006D5179">
              <w:rPr>
                <w:rFonts w:eastAsia="Times New Roman" w:cs="Times New Roman"/>
                <w:sz w:val="24"/>
                <w:szCs w:val="24"/>
                <w:lang w:val="ru-RU" w:eastAsia="ru-RU"/>
              </w:rPr>
              <w:t>ried</w:t>
            </w:r>
          </w:p>
        </w:tc>
        <w:tc>
          <w:tcPr>
            <w:tcW w:w="298" w:type="pct"/>
            <w:vAlign w:val="center"/>
          </w:tcPr>
          <w:p w14:paraId="5DC0764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18</w:t>
            </w:r>
          </w:p>
        </w:tc>
        <w:tc>
          <w:tcPr>
            <w:tcW w:w="347" w:type="pct"/>
            <w:vAlign w:val="center"/>
          </w:tcPr>
          <w:p w14:paraId="3B85F18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22,3</w:t>
            </w:r>
          </w:p>
          <w:p w14:paraId="1C8FDEA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12,6</w:t>
            </w:r>
          </w:p>
        </w:tc>
        <w:tc>
          <w:tcPr>
            <w:tcW w:w="347" w:type="pct"/>
            <w:vAlign w:val="center"/>
          </w:tcPr>
          <w:p w14:paraId="565D63E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123,9</w:t>
            </w:r>
          </w:p>
          <w:p w14:paraId="57CDF6A5"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70,0</w:t>
            </w:r>
          </w:p>
        </w:tc>
        <w:tc>
          <w:tcPr>
            <w:tcW w:w="360" w:type="pct"/>
            <w:vAlign w:val="center"/>
          </w:tcPr>
          <w:p w14:paraId="137C097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w:t>
            </w:r>
          </w:p>
        </w:tc>
        <w:tc>
          <w:tcPr>
            <w:tcW w:w="361" w:type="pct"/>
            <w:vAlign w:val="center"/>
          </w:tcPr>
          <w:p w14:paraId="1883AE7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29,8</w:t>
            </w:r>
          </w:p>
          <w:p w14:paraId="0EC8C05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15,4</w:t>
            </w:r>
          </w:p>
        </w:tc>
        <w:tc>
          <w:tcPr>
            <w:tcW w:w="361" w:type="pct"/>
            <w:vAlign w:val="center"/>
          </w:tcPr>
          <w:p w14:paraId="46883495"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74,5</w:t>
            </w:r>
          </w:p>
          <w:p w14:paraId="72560394"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38,5</w:t>
            </w:r>
          </w:p>
        </w:tc>
        <w:tc>
          <w:tcPr>
            <w:tcW w:w="329" w:type="pct"/>
            <w:vAlign w:val="center"/>
          </w:tcPr>
          <w:p w14:paraId="68D4419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24</w:t>
            </w:r>
          </w:p>
        </w:tc>
        <w:tc>
          <w:tcPr>
            <w:tcW w:w="335" w:type="pct"/>
            <w:vAlign w:val="center"/>
          </w:tcPr>
          <w:p w14:paraId="31E555B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15,1</w:t>
            </w:r>
          </w:p>
          <w:p w14:paraId="4616EE4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13,3</w:t>
            </w:r>
          </w:p>
        </w:tc>
        <w:tc>
          <w:tcPr>
            <w:tcW w:w="286" w:type="pct"/>
            <w:vAlign w:val="center"/>
          </w:tcPr>
          <w:p w14:paraId="78BF0F1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62,9</w:t>
            </w:r>
          </w:p>
          <w:p w14:paraId="54B329F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55,4</w:t>
            </w:r>
          </w:p>
        </w:tc>
        <w:tc>
          <w:tcPr>
            <w:tcW w:w="339" w:type="pct"/>
            <w:vAlign w:val="center"/>
          </w:tcPr>
          <w:p w14:paraId="785DDA8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32</w:t>
            </w:r>
          </w:p>
        </w:tc>
        <w:tc>
          <w:tcPr>
            <w:tcW w:w="309" w:type="pct"/>
            <w:vAlign w:val="center"/>
          </w:tcPr>
          <w:p w14:paraId="4396035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22,3</w:t>
            </w:r>
          </w:p>
          <w:p w14:paraId="6D0A78A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15,2</w:t>
            </w:r>
          </w:p>
        </w:tc>
        <w:tc>
          <w:tcPr>
            <w:tcW w:w="287" w:type="pct"/>
            <w:vAlign w:val="center"/>
          </w:tcPr>
          <w:p w14:paraId="45C4191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69,7</w:t>
            </w:r>
          </w:p>
          <w:p w14:paraId="0F02EFE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47,5</w:t>
            </w:r>
          </w:p>
        </w:tc>
      </w:tr>
      <w:tr w:rsidR="00235FAF" w:rsidRPr="006D5179" w14:paraId="70436DE4" w14:textId="77777777" w:rsidTr="00995DC2">
        <w:trPr>
          <w:trHeight w:val="303"/>
        </w:trPr>
        <w:tc>
          <w:tcPr>
            <w:tcW w:w="168" w:type="pct"/>
            <w:vAlign w:val="center"/>
          </w:tcPr>
          <w:p w14:paraId="4CAA5C73"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17</w:t>
            </w:r>
          </w:p>
        </w:tc>
        <w:tc>
          <w:tcPr>
            <w:tcW w:w="873" w:type="pct"/>
            <w:vAlign w:val="center"/>
          </w:tcPr>
          <w:p w14:paraId="3EA97F12"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Citrus</w:t>
            </w:r>
          </w:p>
        </w:tc>
        <w:tc>
          <w:tcPr>
            <w:tcW w:w="298" w:type="pct"/>
            <w:vAlign w:val="center"/>
          </w:tcPr>
          <w:p w14:paraId="077CA07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47" w:type="pct"/>
            <w:vAlign w:val="center"/>
          </w:tcPr>
          <w:p w14:paraId="5324E7A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12,6</w:t>
            </w:r>
          </w:p>
          <w:p w14:paraId="49D78CC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6,6</w:t>
            </w:r>
          </w:p>
        </w:tc>
        <w:tc>
          <w:tcPr>
            <w:tcW w:w="347" w:type="pct"/>
            <w:vAlign w:val="center"/>
          </w:tcPr>
          <w:p w14:paraId="6D41182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126,0</w:t>
            </w:r>
          </w:p>
          <w:p w14:paraId="75481975"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66,0</w:t>
            </w:r>
          </w:p>
        </w:tc>
        <w:tc>
          <w:tcPr>
            <w:tcW w:w="360" w:type="pct"/>
            <w:vAlign w:val="center"/>
          </w:tcPr>
          <w:p w14:paraId="6A058B6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61" w:type="pct"/>
            <w:vAlign w:val="center"/>
          </w:tcPr>
          <w:p w14:paraId="71C29A0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11,9</w:t>
            </w:r>
          </w:p>
          <w:p w14:paraId="519CF38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5,9</w:t>
            </w:r>
          </w:p>
        </w:tc>
        <w:tc>
          <w:tcPr>
            <w:tcW w:w="361" w:type="pct"/>
            <w:vAlign w:val="center"/>
          </w:tcPr>
          <w:p w14:paraId="0D37B0B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119,0</w:t>
            </w:r>
          </w:p>
          <w:p w14:paraId="2C82AC61"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59,0</w:t>
            </w:r>
          </w:p>
        </w:tc>
        <w:tc>
          <w:tcPr>
            <w:tcW w:w="329" w:type="pct"/>
            <w:vAlign w:val="center"/>
          </w:tcPr>
          <w:p w14:paraId="2C1BC78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35" w:type="pct"/>
            <w:vAlign w:val="center"/>
          </w:tcPr>
          <w:p w14:paraId="40C33C8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10,5</w:t>
            </w:r>
          </w:p>
          <w:p w14:paraId="1CF695E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5,7</w:t>
            </w:r>
          </w:p>
        </w:tc>
        <w:tc>
          <w:tcPr>
            <w:tcW w:w="286" w:type="pct"/>
            <w:vAlign w:val="center"/>
          </w:tcPr>
          <w:p w14:paraId="3AE1D75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131,3</w:t>
            </w:r>
          </w:p>
          <w:p w14:paraId="050E502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71,3</w:t>
            </w:r>
          </w:p>
        </w:tc>
        <w:tc>
          <w:tcPr>
            <w:tcW w:w="339" w:type="pct"/>
            <w:vAlign w:val="center"/>
          </w:tcPr>
          <w:p w14:paraId="112619E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09" w:type="pct"/>
            <w:vAlign w:val="center"/>
          </w:tcPr>
          <w:p w14:paraId="7DBC60B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11,0</w:t>
            </w:r>
          </w:p>
          <w:p w14:paraId="3ED68C3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6,1</w:t>
            </w:r>
          </w:p>
        </w:tc>
        <w:tc>
          <w:tcPr>
            <w:tcW w:w="287" w:type="pct"/>
            <w:vAlign w:val="center"/>
          </w:tcPr>
          <w:p w14:paraId="47CD13A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137,5</w:t>
            </w:r>
          </w:p>
          <w:p w14:paraId="217713E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76,3</w:t>
            </w:r>
          </w:p>
        </w:tc>
      </w:tr>
      <w:tr w:rsidR="00235FAF" w:rsidRPr="006D5179" w14:paraId="6DD42A17" w14:textId="77777777" w:rsidTr="00995DC2">
        <w:trPr>
          <w:trHeight w:val="318"/>
        </w:trPr>
        <w:tc>
          <w:tcPr>
            <w:tcW w:w="168" w:type="pct"/>
            <w:vAlign w:val="center"/>
          </w:tcPr>
          <w:p w14:paraId="65DBB006"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18</w:t>
            </w:r>
          </w:p>
        </w:tc>
        <w:tc>
          <w:tcPr>
            <w:tcW w:w="873" w:type="pct"/>
            <w:vAlign w:val="center"/>
          </w:tcPr>
          <w:p w14:paraId="37FCBB1C"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eastAsia="ru-RU"/>
              </w:rPr>
              <w:t>M</w:t>
            </w:r>
            <w:r w:rsidRPr="006D5179">
              <w:rPr>
                <w:rFonts w:eastAsia="Times New Roman" w:cs="Times New Roman"/>
                <w:sz w:val="24"/>
                <w:szCs w:val="24"/>
                <w:lang w:val="ru-RU" w:eastAsia="ru-RU"/>
              </w:rPr>
              <w:t>eat beef</w:t>
            </w:r>
          </w:p>
        </w:tc>
        <w:tc>
          <w:tcPr>
            <w:tcW w:w="298" w:type="pct"/>
            <w:vAlign w:val="center"/>
          </w:tcPr>
          <w:p w14:paraId="75A2EE5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65</w:t>
            </w:r>
          </w:p>
        </w:tc>
        <w:tc>
          <w:tcPr>
            <w:tcW w:w="347" w:type="pct"/>
            <w:vAlign w:val="center"/>
          </w:tcPr>
          <w:p w14:paraId="069EA99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50,0</w:t>
            </w:r>
          </w:p>
          <w:p w14:paraId="0FDDF1C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41,5</w:t>
            </w:r>
          </w:p>
        </w:tc>
        <w:tc>
          <w:tcPr>
            <w:tcW w:w="347" w:type="pct"/>
            <w:vAlign w:val="center"/>
          </w:tcPr>
          <w:p w14:paraId="50916843"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76,9</w:t>
            </w:r>
          </w:p>
          <w:p w14:paraId="7559ADAD"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63,8</w:t>
            </w:r>
          </w:p>
        </w:tc>
        <w:tc>
          <w:tcPr>
            <w:tcW w:w="360" w:type="pct"/>
            <w:vAlign w:val="center"/>
          </w:tcPr>
          <w:p w14:paraId="0C68AFC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50</w:t>
            </w:r>
          </w:p>
        </w:tc>
        <w:tc>
          <w:tcPr>
            <w:tcW w:w="361" w:type="pct"/>
            <w:vAlign w:val="center"/>
          </w:tcPr>
          <w:p w14:paraId="272CF8F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35,5</w:t>
            </w:r>
          </w:p>
          <w:p w14:paraId="03578C4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29,8</w:t>
            </w:r>
          </w:p>
        </w:tc>
        <w:tc>
          <w:tcPr>
            <w:tcW w:w="361" w:type="pct"/>
            <w:vAlign w:val="center"/>
          </w:tcPr>
          <w:p w14:paraId="50AE096A"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71,0</w:t>
            </w:r>
          </w:p>
          <w:p w14:paraId="3FABFE20"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59,6</w:t>
            </w:r>
          </w:p>
        </w:tc>
        <w:tc>
          <w:tcPr>
            <w:tcW w:w="329" w:type="pct"/>
            <w:vAlign w:val="center"/>
          </w:tcPr>
          <w:p w14:paraId="4440EA9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45</w:t>
            </w:r>
          </w:p>
        </w:tc>
        <w:tc>
          <w:tcPr>
            <w:tcW w:w="335" w:type="pct"/>
            <w:vAlign w:val="center"/>
          </w:tcPr>
          <w:p w14:paraId="0973877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32,7</w:t>
            </w:r>
          </w:p>
          <w:p w14:paraId="3020519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28,6</w:t>
            </w:r>
          </w:p>
        </w:tc>
        <w:tc>
          <w:tcPr>
            <w:tcW w:w="286" w:type="pct"/>
            <w:vAlign w:val="center"/>
          </w:tcPr>
          <w:p w14:paraId="62E80A7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72,7</w:t>
            </w:r>
          </w:p>
          <w:p w14:paraId="7AE7536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63,6</w:t>
            </w:r>
          </w:p>
        </w:tc>
        <w:tc>
          <w:tcPr>
            <w:tcW w:w="339" w:type="pct"/>
            <w:vAlign w:val="center"/>
          </w:tcPr>
          <w:p w14:paraId="1778334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50</w:t>
            </w:r>
          </w:p>
        </w:tc>
        <w:tc>
          <w:tcPr>
            <w:tcW w:w="309" w:type="pct"/>
            <w:vAlign w:val="center"/>
          </w:tcPr>
          <w:p w14:paraId="7954B52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36,8</w:t>
            </w:r>
          </w:p>
          <w:p w14:paraId="41B6DBD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32,3</w:t>
            </w:r>
          </w:p>
        </w:tc>
        <w:tc>
          <w:tcPr>
            <w:tcW w:w="287" w:type="pct"/>
            <w:vAlign w:val="center"/>
          </w:tcPr>
          <w:p w14:paraId="1F1C50A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73,6</w:t>
            </w:r>
          </w:p>
          <w:p w14:paraId="1C4DC03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64,6</w:t>
            </w:r>
          </w:p>
        </w:tc>
      </w:tr>
      <w:tr w:rsidR="00235FAF" w:rsidRPr="006D5179" w14:paraId="42C05F51" w14:textId="77777777" w:rsidTr="00995DC2">
        <w:trPr>
          <w:trHeight w:val="151"/>
        </w:trPr>
        <w:tc>
          <w:tcPr>
            <w:tcW w:w="168" w:type="pct"/>
            <w:vAlign w:val="center"/>
          </w:tcPr>
          <w:p w14:paraId="7F5F96F5"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19</w:t>
            </w:r>
          </w:p>
        </w:tc>
        <w:tc>
          <w:tcPr>
            <w:tcW w:w="873" w:type="pct"/>
            <w:vAlign w:val="center"/>
          </w:tcPr>
          <w:p w14:paraId="112F36B5"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eastAsia="ru-RU"/>
              </w:rPr>
              <w:t>L</w:t>
            </w:r>
            <w:r w:rsidRPr="006D5179">
              <w:rPr>
                <w:rFonts w:eastAsia="Times New Roman" w:cs="Times New Roman"/>
                <w:sz w:val="24"/>
                <w:szCs w:val="24"/>
                <w:lang w:val="ru-RU" w:eastAsia="ru-RU"/>
              </w:rPr>
              <w:t>amb meat</w:t>
            </w:r>
          </w:p>
        </w:tc>
        <w:tc>
          <w:tcPr>
            <w:tcW w:w="298" w:type="pct"/>
            <w:vAlign w:val="center"/>
          </w:tcPr>
          <w:p w14:paraId="5B52816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47" w:type="pct"/>
            <w:vAlign w:val="center"/>
          </w:tcPr>
          <w:p w14:paraId="073B9A2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9,5</w:t>
            </w:r>
          </w:p>
          <w:p w14:paraId="14965B9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8,6</w:t>
            </w:r>
          </w:p>
        </w:tc>
        <w:tc>
          <w:tcPr>
            <w:tcW w:w="347" w:type="pct"/>
            <w:vAlign w:val="center"/>
          </w:tcPr>
          <w:p w14:paraId="6744358C"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47,5</w:t>
            </w:r>
          </w:p>
          <w:p w14:paraId="3EC73492"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43,0</w:t>
            </w:r>
          </w:p>
        </w:tc>
        <w:tc>
          <w:tcPr>
            <w:tcW w:w="360" w:type="pct"/>
            <w:vAlign w:val="center"/>
          </w:tcPr>
          <w:p w14:paraId="7B38906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61" w:type="pct"/>
            <w:vAlign w:val="center"/>
          </w:tcPr>
          <w:p w14:paraId="4409285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8,7</w:t>
            </w:r>
          </w:p>
          <w:p w14:paraId="2E5E93B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7,5</w:t>
            </w:r>
          </w:p>
        </w:tc>
        <w:tc>
          <w:tcPr>
            <w:tcW w:w="361" w:type="pct"/>
            <w:vAlign w:val="center"/>
          </w:tcPr>
          <w:p w14:paraId="7D5586BA"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43,5</w:t>
            </w:r>
          </w:p>
          <w:p w14:paraId="551E9710"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37,5</w:t>
            </w:r>
          </w:p>
        </w:tc>
        <w:tc>
          <w:tcPr>
            <w:tcW w:w="329" w:type="pct"/>
            <w:vAlign w:val="center"/>
          </w:tcPr>
          <w:p w14:paraId="119626A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35" w:type="pct"/>
            <w:vAlign w:val="center"/>
          </w:tcPr>
          <w:p w14:paraId="485535A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6,3</w:t>
            </w:r>
          </w:p>
          <w:p w14:paraId="07F7F38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5,2</w:t>
            </w:r>
          </w:p>
        </w:tc>
        <w:tc>
          <w:tcPr>
            <w:tcW w:w="286" w:type="pct"/>
            <w:vAlign w:val="center"/>
          </w:tcPr>
          <w:p w14:paraId="4E45594E"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42,0</w:t>
            </w:r>
          </w:p>
          <w:p w14:paraId="557FDD1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34,7</w:t>
            </w:r>
          </w:p>
        </w:tc>
        <w:tc>
          <w:tcPr>
            <w:tcW w:w="339" w:type="pct"/>
            <w:vAlign w:val="center"/>
          </w:tcPr>
          <w:p w14:paraId="255116A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09" w:type="pct"/>
            <w:vAlign w:val="center"/>
          </w:tcPr>
          <w:p w14:paraId="32DE6B4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6,6</w:t>
            </w:r>
          </w:p>
          <w:p w14:paraId="19C5F9C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w:t>
            </w:r>
          </w:p>
        </w:tc>
        <w:tc>
          <w:tcPr>
            <w:tcW w:w="287" w:type="pct"/>
            <w:vAlign w:val="center"/>
          </w:tcPr>
          <w:p w14:paraId="5B0D0F1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33,0</w:t>
            </w:r>
          </w:p>
          <w:p w14:paraId="1F094C4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27,5</w:t>
            </w:r>
          </w:p>
        </w:tc>
      </w:tr>
      <w:tr w:rsidR="00235FAF" w:rsidRPr="006D5179" w14:paraId="17AAECA5" w14:textId="77777777" w:rsidTr="00995DC2">
        <w:trPr>
          <w:trHeight w:val="166"/>
        </w:trPr>
        <w:tc>
          <w:tcPr>
            <w:tcW w:w="168" w:type="pct"/>
            <w:vAlign w:val="center"/>
          </w:tcPr>
          <w:p w14:paraId="69157540"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20</w:t>
            </w:r>
          </w:p>
        </w:tc>
        <w:tc>
          <w:tcPr>
            <w:tcW w:w="873" w:type="pct"/>
            <w:vAlign w:val="center"/>
          </w:tcPr>
          <w:p w14:paraId="773FF562"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eastAsia="ru-RU"/>
              </w:rPr>
              <w:t>M</w:t>
            </w:r>
            <w:r w:rsidRPr="006D5179">
              <w:rPr>
                <w:rFonts w:eastAsia="Times New Roman" w:cs="Times New Roman"/>
                <w:sz w:val="24"/>
                <w:szCs w:val="24"/>
                <w:lang w:val="ru-RU" w:eastAsia="ru-RU"/>
              </w:rPr>
              <w:t>eat poultry</w:t>
            </w:r>
          </w:p>
        </w:tc>
        <w:tc>
          <w:tcPr>
            <w:tcW w:w="298" w:type="pct"/>
            <w:vAlign w:val="center"/>
          </w:tcPr>
          <w:p w14:paraId="6BB5A85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47" w:type="pct"/>
            <w:vAlign w:val="center"/>
          </w:tcPr>
          <w:p w14:paraId="3307CF4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10,6</w:t>
            </w:r>
          </w:p>
          <w:p w14:paraId="4DA776C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12,6</w:t>
            </w:r>
          </w:p>
        </w:tc>
        <w:tc>
          <w:tcPr>
            <w:tcW w:w="347" w:type="pct"/>
            <w:vAlign w:val="center"/>
          </w:tcPr>
          <w:p w14:paraId="2C84EC5D"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53,0</w:t>
            </w:r>
          </w:p>
          <w:p w14:paraId="026C827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63,0</w:t>
            </w:r>
          </w:p>
        </w:tc>
        <w:tc>
          <w:tcPr>
            <w:tcW w:w="360" w:type="pct"/>
            <w:vAlign w:val="center"/>
          </w:tcPr>
          <w:p w14:paraId="17D6623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61" w:type="pct"/>
            <w:vAlign w:val="center"/>
          </w:tcPr>
          <w:p w14:paraId="1683381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8,1</w:t>
            </w:r>
          </w:p>
          <w:p w14:paraId="430BC63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8,7</w:t>
            </w:r>
          </w:p>
        </w:tc>
        <w:tc>
          <w:tcPr>
            <w:tcW w:w="361" w:type="pct"/>
            <w:vAlign w:val="center"/>
          </w:tcPr>
          <w:p w14:paraId="35BFE91F"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81,0</w:t>
            </w:r>
          </w:p>
          <w:p w14:paraId="1E5F2C7F"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87,0</w:t>
            </w:r>
          </w:p>
        </w:tc>
        <w:tc>
          <w:tcPr>
            <w:tcW w:w="329" w:type="pct"/>
            <w:vAlign w:val="center"/>
          </w:tcPr>
          <w:p w14:paraId="443ABCA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35" w:type="pct"/>
            <w:vAlign w:val="center"/>
          </w:tcPr>
          <w:p w14:paraId="1C636B0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10,3</w:t>
            </w:r>
          </w:p>
          <w:p w14:paraId="2D0E56D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9,7</w:t>
            </w:r>
          </w:p>
        </w:tc>
        <w:tc>
          <w:tcPr>
            <w:tcW w:w="286" w:type="pct"/>
            <w:vAlign w:val="center"/>
          </w:tcPr>
          <w:p w14:paraId="1A25774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68,7</w:t>
            </w:r>
          </w:p>
          <w:p w14:paraId="2A5CBE9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64,7</w:t>
            </w:r>
          </w:p>
        </w:tc>
        <w:tc>
          <w:tcPr>
            <w:tcW w:w="339" w:type="pct"/>
            <w:vAlign w:val="center"/>
          </w:tcPr>
          <w:p w14:paraId="4308C01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09" w:type="pct"/>
            <w:vAlign w:val="center"/>
          </w:tcPr>
          <w:p w14:paraId="41BDD0E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7,0</w:t>
            </w:r>
          </w:p>
          <w:p w14:paraId="2A04F22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6,4</w:t>
            </w:r>
          </w:p>
        </w:tc>
        <w:tc>
          <w:tcPr>
            <w:tcW w:w="287" w:type="pct"/>
            <w:vAlign w:val="center"/>
          </w:tcPr>
          <w:p w14:paraId="1AC9DA9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87,5</w:t>
            </w:r>
          </w:p>
          <w:p w14:paraId="4CD4B83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80,0</w:t>
            </w:r>
          </w:p>
        </w:tc>
      </w:tr>
      <w:tr w:rsidR="00235FAF" w:rsidRPr="006D5179" w14:paraId="384CB357" w14:textId="77777777" w:rsidTr="00995DC2">
        <w:trPr>
          <w:trHeight w:val="151"/>
        </w:trPr>
        <w:tc>
          <w:tcPr>
            <w:tcW w:w="168" w:type="pct"/>
            <w:vAlign w:val="center"/>
          </w:tcPr>
          <w:p w14:paraId="13453C4D"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21</w:t>
            </w:r>
          </w:p>
        </w:tc>
        <w:tc>
          <w:tcPr>
            <w:tcW w:w="873" w:type="pct"/>
            <w:vAlign w:val="center"/>
          </w:tcPr>
          <w:p w14:paraId="62271EF3"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Sausage product</w:t>
            </w:r>
          </w:p>
        </w:tc>
        <w:tc>
          <w:tcPr>
            <w:tcW w:w="298" w:type="pct"/>
            <w:vAlign w:val="center"/>
          </w:tcPr>
          <w:p w14:paraId="11DB4D5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26</w:t>
            </w:r>
          </w:p>
        </w:tc>
        <w:tc>
          <w:tcPr>
            <w:tcW w:w="347" w:type="pct"/>
            <w:vAlign w:val="center"/>
          </w:tcPr>
          <w:p w14:paraId="253295CA"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17,8</w:t>
            </w:r>
          </w:p>
          <w:p w14:paraId="20A92D0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lang w:val="ru-RU" w:eastAsia="ru-RU"/>
              </w:rPr>
              <w:t>12,6</w:t>
            </w:r>
          </w:p>
        </w:tc>
        <w:tc>
          <w:tcPr>
            <w:tcW w:w="347" w:type="pct"/>
            <w:vAlign w:val="center"/>
          </w:tcPr>
          <w:p w14:paraId="1531BD7D"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68,5</w:t>
            </w:r>
          </w:p>
          <w:p w14:paraId="303F2A9F"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48,5</w:t>
            </w:r>
          </w:p>
        </w:tc>
        <w:tc>
          <w:tcPr>
            <w:tcW w:w="360" w:type="pct"/>
            <w:vAlign w:val="center"/>
          </w:tcPr>
          <w:p w14:paraId="0252D0C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14</w:t>
            </w:r>
          </w:p>
        </w:tc>
        <w:tc>
          <w:tcPr>
            <w:tcW w:w="361" w:type="pct"/>
            <w:vAlign w:val="center"/>
          </w:tcPr>
          <w:p w14:paraId="3E214DC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13,1</w:t>
            </w:r>
          </w:p>
          <w:p w14:paraId="1EB15DB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9,5</w:t>
            </w:r>
          </w:p>
        </w:tc>
        <w:tc>
          <w:tcPr>
            <w:tcW w:w="361" w:type="pct"/>
            <w:vAlign w:val="center"/>
          </w:tcPr>
          <w:p w14:paraId="15658D4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93,6</w:t>
            </w:r>
          </w:p>
          <w:p w14:paraId="73E99510"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67,9</w:t>
            </w:r>
          </w:p>
        </w:tc>
        <w:tc>
          <w:tcPr>
            <w:tcW w:w="329" w:type="pct"/>
            <w:vAlign w:val="center"/>
          </w:tcPr>
          <w:p w14:paraId="6308707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21</w:t>
            </w:r>
          </w:p>
        </w:tc>
        <w:tc>
          <w:tcPr>
            <w:tcW w:w="335" w:type="pct"/>
            <w:vAlign w:val="center"/>
          </w:tcPr>
          <w:p w14:paraId="55CF3D3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11,1</w:t>
            </w:r>
          </w:p>
          <w:p w14:paraId="0A6BC1A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8,6</w:t>
            </w:r>
          </w:p>
        </w:tc>
        <w:tc>
          <w:tcPr>
            <w:tcW w:w="286" w:type="pct"/>
            <w:vAlign w:val="center"/>
          </w:tcPr>
          <w:p w14:paraId="62F1856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52,9</w:t>
            </w:r>
          </w:p>
          <w:p w14:paraId="66988B4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41,0</w:t>
            </w:r>
          </w:p>
        </w:tc>
        <w:tc>
          <w:tcPr>
            <w:tcW w:w="339" w:type="pct"/>
            <w:vAlign w:val="center"/>
          </w:tcPr>
          <w:p w14:paraId="0524E79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w:t>
            </w:r>
          </w:p>
        </w:tc>
        <w:tc>
          <w:tcPr>
            <w:tcW w:w="309" w:type="pct"/>
            <w:vAlign w:val="center"/>
          </w:tcPr>
          <w:p w14:paraId="73D60EF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8,7</w:t>
            </w:r>
          </w:p>
          <w:p w14:paraId="7608AB3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6,9</w:t>
            </w:r>
          </w:p>
        </w:tc>
        <w:tc>
          <w:tcPr>
            <w:tcW w:w="287" w:type="pct"/>
            <w:vAlign w:val="center"/>
          </w:tcPr>
          <w:p w14:paraId="459C36B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79,1</w:t>
            </w:r>
          </w:p>
          <w:p w14:paraId="14EBE21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62,7</w:t>
            </w:r>
          </w:p>
        </w:tc>
      </w:tr>
      <w:tr w:rsidR="00235FAF" w:rsidRPr="006D5179" w14:paraId="224DC211" w14:textId="77777777" w:rsidTr="00995DC2">
        <w:trPr>
          <w:trHeight w:val="151"/>
        </w:trPr>
        <w:tc>
          <w:tcPr>
            <w:tcW w:w="168" w:type="pct"/>
            <w:vAlign w:val="center"/>
          </w:tcPr>
          <w:p w14:paraId="7188F289"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22</w:t>
            </w:r>
          </w:p>
        </w:tc>
        <w:tc>
          <w:tcPr>
            <w:tcW w:w="873" w:type="pct"/>
            <w:vAlign w:val="center"/>
          </w:tcPr>
          <w:p w14:paraId="2DCD5B1F"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Whole fish</w:t>
            </w:r>
          </w:p>
        </w:tc>
        <w:tc>
          <w:tcPr>
            <w:tcW w:w="298" w:type="pct"/>
            <w:vAlign w:val="center"/>
          </w:tcPr>
          <w:p w14:paraId="3A2D76B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45</w:t>
            </w:r>
          </w:p>
        </w:tc>
        <w:tc>
          <w:tcPr>
            <w:tcW w:w="347" w:type="pct"/>
            <w:vAlign w:val="center"/>
          </w:tcPr>
          <w:p w14:paraId="7D30757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12,4</w:t>
            </w:r>
          </w:p>
          <w:p w14:paraId="4717436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13,6</w:t>
            </w:r>
          </w:p>
        </w:tc>
        <w:tc>
          <w:tcPr>
            <w:tcW w:w="347" w:type="pct"/>
            <w:vAlign w:val="center"/>
          </w:tcPr>
          <w:p w14:paraId="628192EB"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27,6</w:t>
            </w:r>
          </w:p>
          <w:p w14:paraId="1FEE2CAC"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30,2</w:t>
            </w:r>
          </w:p>
        </w:tc>
        <w:tc>
          <w:tcPr>
            <w:tcW w:w="360" w:type="pct"/>
            <w:vAlign w:val="center"/>
          </w:tcPr>
          <w:p w14:paraId="0F347A2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w:t>
            </w:r>
          </w:p>
        </w:tc>
        <w:tc>
          <w:tcPr>
            <w:tcW w:w="361" w:type="pct"/>
            <w:vAlign w:val="center"/>
          </w:tcPr>
          <w:p w14:paraId="6B3F28C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9,8</w:t>
            </w:r>
          </w:p>
          <w:p w14:paraId="710CF2E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10,5</w:t>
            </w:r>
          </w:p>
        </w:tc>
        <w:tc>
          <w:tcPr>
            <w:tcW w:w="361" w:type="pct"/>
            <w:vAlign w:val="center"/>
          </w:tcPr>
          <w:p w14:paraId="18CF44D6"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28,0</w:t>
            </w:r>
          </w:p>
          <w:p w14:paraId="62909324"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30,0</w:t>
            </w:r>
          </w:p>
        </w:tc>
        <w:tc>
          <w:tcPr>
            <w:tcW w:w="329" w:type="pct"/>
            <w:vAlign w:val="center"/>
          </w:tcPr>
          <w:p w14:paraId="5F69BE4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w:t>
            </w:r>
          </w:p>
        </w:tc>
        <w:tc>
          <w:tcPr>
            <w:tcW w:w="335" w:type="pct"/>
            <w:vAlign w:val="center"/>
          </w:tcPr>
          <w:p w14:paraId="76B5300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10,4</w:t>
            </w:r>
          </w:p>
          <w:p w14:paraId="1FFFBFD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12,2</w:t>
            </w:r>
          </w:p>
        </w:tc>
        <w:tc>
          <w:tcPr>
            <w:tcW w:w="286" w:type="pct"/>
            <w:vAlign w:val="center"/>
          </w:tcPr>
          <w:p w14:paraId="316FE33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29,7</w:t>
            </w:r>
          </w:p>
          <w:p w14:paraId="2C6D7B3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34,9</w:t>
            </w:r>
          </w:p>
        </w:tc>
        <w:tc>
          <w:tcPr>
            <w:tcW w:w="339" w:type="pct"/>
            <w:vAlign w:val="center"/>
          </w:tcPr>
          <w:p w14:paraId="7F1CE7E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w:t>
            </w:r>
          </w:p>
        </w:tc>
        <w:tc>
          <w:tcPr>
            <w:tcW w:w="309" w:type="pct"/>
            <w:vAlign w:val="center"/>
          </w:tcPr>
          <w:p w14:paraId="12FABEC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6,3</w:t>
            </w:r>
          </w:p>
          <w:p w14:paraId="3876856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w:t>
            </w:r>
          </w:p>
        </w:tc>
        <w:tc>
          <w:tcPr>
            <w:tcW w:w="287" w:type="pct"/>
            <w:vAlign w:val="center"/>
          </w:tcPr>
          <w:p w14:paraId="35E9A75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25,2</w:t>
            </w:r>
          </w:p>
          <w:p w14:paraId="5FC4F73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35,6</w:t>
            </w:r>
          </w:p>
        </w:tc>
      </w:tr>
      <w:tr w:rsidR="00235FAF" w:rsidRPr="006D5179" w14:paraId="180D518C" w14:textId="77777777" w:rsidTr="00995DC2">
        <w:trPr>
          <w:trHeight w:val="151"/>
        </w:trPr>
        <w:tc>
          <w:tcPr>
            <w:tcW w:w="168" w:type="pct"/>
            <w:vAlign w:val="center"/>
          </w:tcPr>
          <w:p w14:paraId="1C1AD707"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23</w:t>
            </w:r>
          </w:p>
        </w:tc>
        <w:tc>
          <w:tcPr>
            <w:tcW w:w="873" w:type="pct"/>
            <w:vAlign w:val="center"/>
          </w:tcPr>
          <w:p w14:paraId="4CB7DAA5"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Whole milk</w:t>
            </w:r>
          </w:p>
        </w:tc>
        <w:tc>
          <w:tcPr>
            <w:tcW w:w="298" w:type="pct"/>
            <w:vAlign w:val="center"/>
          </w:tcPr>
          <w:p w14:paraId="444BC12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250</w:t>
            </w:r>
          </w:p>
        </w:tc>
        <w:tc>
          <w:tcPr>
            <w:tcW w:w="347" w:type="pct"/>
            <w:vAlign w:val="center"/>
          </w:tcPr>
          <w:p w14:paraId="293D235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124,3</w:t>
            </w:r>
          </w:p>
          <w:p w14:paraId="2981D9B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105,4</w:t>
            </w:r>
          </w:p>
        </w:tc>
        <w:tc>
          <w:tcPr>
            <w:tcW w:w="347" w:type="pct"/>
            <w:vAlign w:val="center"/>
          </w:tcPr>
          <w:p w14:paraId="7588EBEF"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49,7</w:t>
            </w:r>
          </w:p>
          <w:p w14:paraId="20D0161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42,2</w:t>
            </w:r>
          </w:p>
        </w:tc>
        <w:tc>
          <w:tcPr>
            <w:tcW w:w="360" w:type="pct"/>
            <w:vAlign w:val="center"/>
          </w:tcPr>
          <w:p w14:paraId="69ECBB0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300</w:t>
            </w:r>
          </w:p>
        </w:tc>
        <w:tc>
          <w:tcPr>
            <w:tcW w:w="361" w:type="pct"/>
            <w:vAlign w:val="center"/>
          </w:tcPr>
          <w:p w14:paraId="39D02F1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145,6</w:t>
            </w:r>
          </w:p>
          <w:p w14:paraId="02AAA77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123,1</w:t>
            </w:r>
          </w:p>
        </w:tc>
        <w:tc>
          <w:tcPr>
            <w:tcW w:w="361" w:type="pct"/>
            <w:vAlign w:val="center"/>
          </w:tcPr>
          <w:p w14:paraId="67E78FF1"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48,5</w:t>
            </w:r>
          </w:p>
          <w:p w14:paraId="3989F93B"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41,0</w:t>
            </w:r>
          </w:p>
        </w:tc>
        <w:tc>
          <w:tcPr>
            <w:tcW w:w="329" w:type="pct"/>
            <w:vAlign w:val="center"/>
          </w:tcPr>
          <w:p w14:paraId="7D2B0D6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200</w:t>
            </w:r>
          </w:p>
        </w:tc>
        <w:tc>
          <w:tcPr>
            <w:tcW w:w="335" w:type="pct"/>
            <w:vAlign w:val="center"/>
          </w:tcPr>
          <w:p w14:paraId="77ADC809"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102,3</w:t>
            </w:r>
          </w:p>
          <w:p w14:paraId="60DFF44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89,7</w:t>
            </w:r>
          </w:p>
        </w:tc>
        <w:tc>
          <w:tcPr>
            <w:tcW w:w="286" w:type="pct"/>
            <w:vAlign w:val="center"/>
          </w:tcPr>
          <w:p w14:paraId="0AAB677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51,2</w:t>
            </w:r>
          </w:p>
          <w:p w14:paraId="6CAD1CF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44,9</w:t>
            </w:r>
          </w:p>
        </w:tc>
        <w:tc>
          <w:tcPr>
            <w:tcW w:w="339" w:type="pct"/>
            <w:vAlign w:val="center"/>
          </w:tcPr>
          <w:p w14:paraId="483E112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280</w:t>
            </w:r>
          </w:p>
        </w:tc>
        <w:tc>
          <w:tcPr>
            <w:tcW w:w="309" w:type="pct"/>
            <w:vAlign w:val="center"/>
          </w:tcPr>
          <w:p w14:paraId="102570D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135,6</w:t>
            </w:r>
          </w:p>
          <w:p w14:paraId="0765E5B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113,4</w:t>
            </w:r>
          </w:p>
        </w:tc>
        <w:tc>
          <w:tcPr>
            <w:tcW w:w="287" w:type="pct"/>
            <w:vAlign w:val="center"/>
          </w:tcPr>
          <w:p w14:paraId="6B2B0EA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48,4</w:t>
            </w:r>
          </w:p>
          <w:p w14:paraId="6DDED13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40,5</w:t>
            </w:r>
          </w:p>
        </w:tc>
      </w:tr>
      <w:tr w:rsidR="00235FAF" w:rsidRPr="006D5179" w14:paraId="2D6A09E2" w14:textId="77777777" w:rsidTr="00995DC2">
        <w:trPr>
          <w:trHeight w:val="151"/>
        </w:trPr>
        <w:tc>
          <w:tcPr>
            <w:tcW w:w="168" w:type="pct"/>
            <w:vAlign w:val="center"/>
          </w:tcPr>
          <w:p w14:paraId="51FE399B"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24</w:t>
            </w:r>
          </w:p>
        </w:tc>
        <w:tc>
          <w:tcPr>
            <w:tcW w:w="873" w:type="pct"/>
            <w:vAlign w:val="center"/>
          </w:tcPr>
          <w:p w14:paraId="20F4CFAB"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Sour cream, cream</w:t>
            </w:r>
          </w:p>
        </w:tc>
        <w:tc>
          <w:tcPr>
            <w:tcW w:w="298" w:type="pct"/>
            <w:vAlign w:val="center"/>
          </w:tcPr>
          <w:p w14:paraId="6ACF9D3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47" w:type="pct"/>
            <w:vAlign w:val="center"/>
          </w:tcPr>
          <w:p w14:paraId="39CF863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11,3</w:t>
            </w:r>
          </w:p>
          <w:p w14:paraId="695C1AF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9,5</w:t>
            </w:r>
          </w:p>
        </w:tc>
        <w:tc>
          <w:tcPr>
            <w:tcW w:w="347" w:type="pct"/>
            <w:vAlign w:val="center"/>
          </w:tcPr>
          <w:p w14:paraId="0D8401D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56,5</w:t>
            </w:r>
          </w:p>
          <w:p w14:paraId="1C46D20C"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47,5</w:t>
            </w:r>
          </w:p>
        </w:tc>
        <w:tc>
          <w:tcPr>
            <w:tcW w:w="360" w:type="pct"/>
            <w:vAlign w:val="center"/>
          </w:tcPr>
          <w:p w14:paraId="63F4DA6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61" w:type="pct"/>
            <w:vAlign w:val="center"/>
          </w:tcPr>
          <w:p w14:paraId="436B2BD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10,7</w:t>
            </w:r>
          </w:p>
          <w:p w14:paraId="017D6DB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9,0</w:t>
            </w:r>
          </w:p>
        </w:tc>
        <w:tc>
          <w:tcPr>
            <w:tcW w:w="361" w:type="pct"/>
            <w:vAlign w:val="center"/>
          </w:tcPr>
          <w:p w14:paraId="43E7999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53,5</w:t>
            </w:r>
          </w:p>
          <w:p w14:paraId="26FC1CF6"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45,0</w:t>
            </w:r>
          </w:p>
        </w:tc>
        <w:tc>
          <w:tcPr>
            <w:tcW w:w="329" w:type="pct"/>
            <w:vAlign w:val="center"/>
          </w:tcPr>
          <w:p w14:paraId="30EFC5E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16</w:t>
            </w:r>
          </w:p>
        </w:tc>
        <w:tc>
          <w:tcPr>
            <w:tcW w:w="335" w:type="pct"/>
            <w:vAlign w:val="center"/>
          </w:tcPr>
          <w:p w14:paraId="79884C7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9,2</w:t>
            </w:r>
          </w:p>
          <w:p w14:paraId="7CEB573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8,1</w:t>
            </w:r>
          </w:p>
        </w:tc>
        <w:tc>
          <w:tcPr>
            <w:tcW w:w="286" w:type="pct"/>
            <w:vAlign w:val="center"/>
          </w:tcPr>
          <w:p w14:paraId="6B7E948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57,5</w:t>
            </w:r>
          </w:p>
          <w:p w14:paraId="7213EE8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50,6</w:t>
            </w:r>
          </w:p>
        </w:tc>
        <w:tc>
          <w:tcPr>
            <w:tcW w:w="339" w:type="pct"/>
            <w:vAlign w:val="center"/>
          </w:tcPr>
          <w:p w14:paraId="01B1BC6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16</w:t>
            </w:r>
          </w:p>
        </w:tc>
        <w:tc>
          <w:tcPr>
            <w:tcW w:w="309" w:type="pct"/>
            <w:vAlign w:val="center"/>
          </w:tcPr>
          <w:p w14:paraId="1A94B64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8,5</w:t>
            </w:r>
          </w:p>
          <w:p w14:paraId="5621578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7,4</w:t>
            </w:r>
          </w:p>
        </w:tc>
        <w:tc>
          <w:tcPr>
            <w:tcW w:w="287" w:type="pct"/>
            <w:vAlign w:val="center"/>
          </w:tcPr>
          <w:p w14:paraId="5827941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53,1</w:t>
            </w:r>
          </w:p>
          <w:p w14:paraId="0168D2C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46,3</w:t>
            </w:r>
          </w:p>
        </w:tc>
      </w:tr>
      <w:tr w:rsidR="00235FAF" w:rsidRPr="006D5179" w14:paraId="67BC35ED" w14:textId="77777777" w:rsidTr="00995DC2">
        <w:trPr>
          <w:trHeight w:val="318"/>
        </w:trPr>
        <w:tc>
          <w:tcPr>
            <w:tcW w:w="168" w:type="pct"/>
            <w:vAlign w:val="center"/>
          </w:tcPr>
          <w:p w14:paraId="5809FFCA"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25</w:t>
            </w:r>
          </w:p>
        </w:tc>
        <w:tc>
          <w:tcPr>
            <w:tcW w:w="873" w:type="pct"/>
            <w:vAlign w:val="center"/>
          </w:tcPr>
          <w:p w14:paraId="12A6C1D0" w14:textId="77777777" w:rsidR="00235FAF" w:rsidRPr="006D5179" w:rsidRDefault="00235FAF" w:rsidP="003C7FF4">
            <w:pPr>
              <w:tabs>
                <w:tab w:val="left" w:pos="3686"/>
              </w:tabs>
              <w:rPr>
                <w:rFonts w:eastAsia="Times New Roman" w:cs="Times New Roman"/>
                <w:sz w:val="24"/>
                <w:szCs w:val="24"/>
                <w:lang w:val="ru-RU" w:eastAsia="ru-RU"/>
              </w:rPr>
            </w:pPr>
            <w:r w:rsidRPr="006D5179">
              <w:rPr>
                <w:rFonts w:eastAsia="Times New Roman" w:cs="Times New Roman"/>
                <w:sz w:val="24"/>
                <w:szCs w:val="24"/>
                <w:lang w:val="ru-RU" w:eastAsia="ru-RU"/>
              </w:rPr>
              <w:t>Butter animal</w:t>
            </w:r>
          </w:p>
        </w:tc>
        <w:tc>
          <w:tcPr>
            <w:tcW w:w="298" w:type="pct"/>
            <w:vAlign w:val="center"/>
          </w:tcPr>
          <w:p w14:paraId="2266070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30</w:t>
            </w:r>
          </w:p>
        </w:tc>
        <w:tc>
          <w:tcPr>
            <w:tcW w:w="347" w:type="pct"/>
            <w:vAlign w:val="center"/>
          </w:tcPr>
          <w:p w14:paraId="3F296A4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16,5</w:t>
            </w:r>
          </w:p>
          <w:p w14:paraId="32DFA0A7"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12,2</w:t>
            </w:r>
          </w:p>
        </w:tc>
        <w:tc>
          <w:tcPr>
            <w:tcW w:w="347" w:type="pct"/>
            <w:vAlign w:val="center"/>
          </w:tcPr>
          <w:p w14:paraId="4823059A"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55,0</w:t>
            </w:r>
          </w:p>
          <w:p w14:paraId="029AC41C"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40,7</w:t>
            </w:r>
          </w:p>
        </w:tc>
        <w:tc>
          <w:tcPr>
            <w:tcW w:w="360" w:type="pct"/>
            <w:vAlign w:val="center"/>
          </w:tcPr>
          <w:p w14:paraId="06620D8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61" w:type="pct"/>
            <w:vAlign w:val="center"/>
          </w:tcPr>
          <w:p w14:paraId="7AAD1BE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10,4</w:t>
            </w:r>
          </w:p>
          <w:p w14:paraId="5E1552E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8,7</w:t>
            </w:r>
          </w:p>
        </w:tc>
        <w:tc>
          <w:tcPr>
            <w:tcW w:w="361" w:type="pct"/>
            <w:vAlign w:val="center"/>
          </w:tcPr>
          <w:p w14:paraId="731AC76D"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52,0</w:t>
            </w:r>
          </w:p>
          <w:p w14:paraId="65619A6E"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43,5</w:t>
            </w:r>
          </w:p>
        </w:tc>
        <w:tc>
          <w:tcPr>
            <w:tcW w:w="329" w:type="pct"/>
            <w:vAlign w:val="center"/>
          </w:tcPr>
          <w:p w14:paraId="6C6E554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24</w:t>
            </w:r>
          </w:p>
        </w:tc>
        <w:tc>
          <w:tcPr>
            <w:tcW w:w="335" w:type="pct"/>
            <w:vAlign w:val="center"/>
          </w:tcPr>
          <w:p w14:paraId="5FCABDD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12,5</w:t>
            </w:r>
          </w:p>
          <w:p w14:paraId="7FE2BA4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10,8</w:t>
            </w:r>
          </w:p>
        </w:tc>
        <w:tc>
          <w:tcPr>
            <w:tcW w:w="286" w:type="pct"/>
            <w:vAlign w:val="center"/>
          </w:tcPr>
          <w:p w14:paraId="3811EED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52,1</w:t>
            </w:r>
          </w:p>
          <w:p w14:paraId="2304AA6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45,0</w:t>
            </w:r>
          </w:p>
        </w:tc>
        <w:tc>
          <w:tcPr>
            <w:tcW w:w="339" w:type="pct"/>
            <w:vAlign w:val="center"/>
          </w:tcPr>
          <w:p w14:paraId="050A651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09" w:type="pct"/>
            <w:vAlign w:val="center"/>
          </w:tcPr>
          <w:p w14:paraId="7AD5399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10,2</w:t>
            </w:r>
          </w:p>
          <w:p w14:paraId="610F109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8,3</w:t>
            </w:r>
          </w:p>
        </w:tc>
        <w:tc>
          <w:tcPr>
            <w:tcW w:w="287" w:type="pct"/>
            <w:vAlign w:val="center"/>
          </w:tcPr>
          <w:p w14:paraId="19FCA70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68,0</w:t>
            </w:r>
          </w:p>
          <w:p w14:paraId="0C9FC10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55,3</w:t>
            </w:r>
          </w:p>
        </w:tc>
      </w:tr>
      <w:tr w:rsidR="00235FAF" w:rsidRPr="006D5179" w14:paraId="1D52C65A" w14:textId="77777777" w:rsidTr="00995DC2">
        <w:trPr>
          <w:trHeight w:val="318"/>
        </w:trPr>
        <w:tc>
          <w:tcPr>
            <w:tcW w:w="168" w:type="pct"/>
            <w:vAlign w:val="center"/>
          </w:tcPr>
          <w:p w14:paraId="3A6DBAE3"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26</w:t>
            </w:r>
          </w:p>
        </w:tc>
        <w:tc>
          <w:tcPr>
            <w:tcW w:w="873" w:type="pct"/>
            <w:vAlign w:val="center"/>
          </w:tcPr>
          <w:p w14:paraId="1EA75EA0"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Cottage cheese</w:t>
            </w:r>
          </w:p>
        </w:tc>
        <w:tc>
          <w:tcPr>
            <w:tcW w:w="298" w:type="pct"/>
            <w:vAlign w:val="center"/>
          </w:tcPr>
          <w:p w14:paraId="15E5D08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w:t>
            </w:r>
          </w:p>
        </w:tc>
        <w:tc>
          <w:tcPr>
            <w:tcW w:w="347" w:type="pct"/>
            <w:vAlign w:val="center"/>
          </w:tcPr>
          <w:p w14:paraId="2C7DB1E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13,2</w:t>
            </w:r>
          </w:p>
          <w:p w14:paraId="6D1F6D45"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11,5</w:t>
            </w:r>
          </w:p>
        </w:tc>
        <w:tc>
          <w:tcPr>
            <w:tcW w:w="347" w:type="pct"/>
            <w:vAlign w:val="center"/>
          </w:tcPr>
          <w:p w14:paraId="69AFD54B"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88,0</w:t>
            </w:r>
          </w:p>
          <w:p w14:paraId="19968760"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76,7</w:t>
            </w:r>
          </w:p>
        </w:tc>
        <w:tc>
          <w:tcPr>
            <w:tcW w:w="360" w:type="pct"/>
            <w:vAlign w:val="center"/>
          </w:tcPr>
          <w:p w14:paraId="3ED41B4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30</w:t>
            </w:r>
          </w:p>
        </w:tc>
        <w:tc>
          <w:tcPr>
            <w:tcW w:w="361" w:type="pct"/>
            <w:vAlign w:val="center"/>
          </w:tcPr>
          <w:p w14:paraId="6A2775D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24,6</w:t>
            </w:r>
          </w:p>
          <w:p w14:paraId="06E0AD66"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19,6</w:t>
            </w:r>
          </w:p>
        </w:tc>
        <w:tc>
          <w:tcPr>
            <w:tcW w:w="361" w:type="pct"/>
            <w:vAlign w:val="center"/>
          </w:tcPr>
          <w:p w14:paraId="7468D1EE"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82,0</w:t>
            </w:r>
          </w:p>
          <w:p w14:paraId="744A9A4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65,3</w:t>
            </w:r>
          </w:p>
        </w:tc>
        <w:tc>
          <w:tcPr>
            <w:tcW w:w="329" w:type="pct"/>
            <w:vAlign w:val="center"/>
          </w:tcPr>
          <w:p w14:paraId="6D0DC20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w:t>
            </w:r>
          </w:p>
        </w:tc>
        <w:tc>
          <w:tcPr>
            <w:tcW w:w="335" w:type="pct"/>
            <w:vAlign w:val="center"/>
          </w:tcPr>
          <w:p w14:paraId="43DA5D5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10,2</w:t>
            </w:r>
          </w:p>
          <w:p w14:paraId="2B3BACB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8,9</w:t>
            </w:r>
          </w:p>
        </w:tc>
        <w:tc>
          <w:tcPr>
            <w:tcW w:w="286" w:type="pct"/>
            <w:vAlign w:val="center"/>
          </w:tcPr>
          <w:p w14:paraId="2B5EE29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85,0</w:t>
            </w:r>
          </w:p>
          <w:p w14:paraId="7226C3F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74,2</w:t>
            </w:r>
          </w:p>
        </w:tc>
        <w:tc>
          <w:tcPr>
            <w:tcW w:w="339" w:type="pct"/>
            <w:vAlign w:val="center"/>
          </w:tcPr>
          <w:p w14:paraId="5437EAA3"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24</w:t>
            </w:r>
          </w:p>
        </w:tc>
        <w:tc>
          <w:tcPr>
            <w:tcW w:w="309" w:type="pct"/>
            <w:vAlign w:val="center"/>
          </w:tcPr>
          <w:p w14:paraId="0031534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19,4</w:t>
            </w:r>
          </w:p>
          <w:p w14:paraId="7F535E2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12,3</w:t>
            </w:r>
          </w:p>
        </w:tc>
        <w:tc>
          <w:tcPr>
            <w:tcW w:w="287" w:type="pct"/>
            <w:vAlign w:val="center"/>
          </w:tcPr>
          <w:p w14:paraId="3C50800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80,8</w:t>
            </w:r>
          </w:p>
          <w:p w14:paraId="774B42E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51,3</w:t>
            </w:r>
          </w:p>
        </w:tc>
      </w:tr>
      <w:tr w:rsidR="00235FAF" w:rsidRPr="006D5179" w14:paraId="20E68173" w14:textId="77777777" w:rsidTr="00995DC2">
        <w:trPr>
          <w:trHeight w:val="318"/>
        </w:trPr>
        <w:tc>
          <w:tcPr>
            <w:tcW w:w="168" w:type="pct"/>
            <w:vAlign w:val="center"/>
          </w:tcPr>
          <w:p w14:paraId="0B903F25"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27</w:t>
            </w:r>
          </w:p>
        </w:tc>
        <w:tc>
          <w:tcPr>
            <w:tcW w:w="873" w:type="pct"/>
            <w:vAlign w:val="center"/>
          </w:tcPr>
          <w:p w14:paraId="37D316C1" w14:textId="77777777" w:rsidR="00235FAF" w:rsidRPr="006D5179" w:rsidRDefault="00235FAF" w:rsidP="003C7FF4">
            <w:pPr>
              <w:tabs>
                <w:tab w:val="left" w:pos="3686"/>
              </w:tabs>
              <w:rPr>
                <w:rFonts w:eastAsia="Times New Roman" w:cs="Times New Roman"/>
                <w:sz w:val="24"/>
                <w:szCs w:val="24"/>
                <w:lang w:val="ru-RU" w:eastAsia="ru-RU"/>
              </w:rPr>
            </w:pPr>
            <w:r w:rsidRPr="006D5179">
              <w:rPr>
                <w:rFonts w:eastAsia="Times New Roman" w:cs="Times New Roman"/>
                <w:sz w:val="24"/>
                <w:szCs w:val="24"/>
                <w:lang w:val="ru-RU" w:eastAsia="ru-RU"/>
              </w:rPr>
              <w:t>Cheese</w:t>
            </w:r>
            <w:r w:rsidRPr="006D5179">
              <w:rPr>
                <w:rFonts w:eastAsia="Times New Roman" w:cs="Times New Roman"/>
                <w:sz w:val="24"/>
                <w:szCs w:val="24"/>
                <w:lang w:eastAsia="ru-RU"/>
              </w:rPr>
              <w:t>, brynza</w:t>
            </w:r>
          </w:p>
        </w:tc>
        <w:tc>
          <w:tcPr>
            <w:tcW w:w="298" w:type="pct"/>
            <w:vAlign w:val="center"/>
          </w:tcPr>
          <w:p w14:paraId="381CB95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47" w:type="pct"/>
            <w:vAlign w:val="center"/>
          </w:tcPr>
          <w:p w14:paraId="40FE0BAD"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11,4</w:t>
            </w:r>
          </w:p>
          <w:p w14:paraId="6D12CEF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8,1</w:t>
            </w:r>
          </w:p>
        </w:tc>
        <w:tc>
          <w:tcPr>
            <w:tcW w:w="347" w:type="pct"/>
            <w:vAlign w:val="center"/>
          </w:tcPr>
          <w:p w14:paraId="059B329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114,0</w:t>
            </w:r>
          </w:p>
          <w:p w14:paraId="2DEFFEA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81,0</w:t>
            </w:r>
          </w:p>
        </w:tc>
        <w:tc>
          <w:tcPr>
            <w:tcW w:w="360" w:type="pct"/>
            <w:vAlign w:val="center"/>
          </w:tcPr>
          <w:p w14:paraId="6B0930E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10</w:t>
            </w:r>
          </w:p>
        </w:tc>
        <w:tc>
          <w:tcPr>
            <w:tcW w:w="361" w:type="pct"/>
            <w:vAlign w:val="center"/>
          </w:tcPr>
          <w:p w14:paraId="5AA6A8E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12,0</w:t>
            </w:r>
          </w:p>
          <w:p w14:paraId="46AB41D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7,4</w:t>
            </w:r>
          </w:p>
        </w:tc>
        <w:tc>
          <w:tcPr>
            <w:tcW w:w="361" w:type="pct"/>
            <w:vAlign w:val="center"/>
          </w:tcPr>
          <w:p w14:paraId="3308F832"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120,0</w:t>
            </w:r>
          </w:p>
          <w:p w14:paraId="7A266702"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74,0</w:t>
            </w:r>
          </w:p>
        </w:tc>
        <w:tc>
          <w:tcPr>
            <w:tcW w:w="329" w:type="pct"/>
            <w:vAlign w:val="center"/>
          </w:tcPr>
          <w:p w14:paraId="2E4AB78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35" w:type="pct"/>
            <w:vAlign w:val="center"/>
          </w:tcPr>
          <w:p w14:paraId="037097EF"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8,9</w:t>
            </w:r>
          </w:p>
          <w:p w14:paraId="11815B0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6,6</w:t>
            </w:r>
          </w:p>
        </w:tc>
        <w:tc>
          <w:tcPr>
            <w:tcW w:w="286" w:type="pct"/>
            <w:vAlign w:val="center"/>
          </w:tcPr>
          <w:p w14:paraId="2A8E060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111,3</w:t>
            </w:r>
          </w:p>
          <w:p w14:paraId="2589A591"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82,5</w:t>
            </w:r>
          </w:p>
        </w:tc>
        <w:tc>
          <w:tcPr>
            <w:tcW w:w="339" w:type="pct"/>
            <w:vAlign w:val="center"/>
          </w:tcPr>
          <w:p w14:paraId="2CA1648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8</w:t>
            </w:r>
          </w:p>
        </w:tc>
        <w:tc>
          <w:tcPr>
            <w:tcW w:w="309" w:type="pct"/>
            <w:vAlign w:val="center"/>
          </w:tcPr>
          <w:p w14:paraId="469B2387"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9,1</w:t>
            </w:r>
          </w:p>
          <w:p w14:paraId="48AED59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6,2</w:t>
            </w:r>
          </w:p>
        </w:tc>
        <w:tc>
          <w:tcPr>
            <w:tcW w:w="287" w:type="pct"/>
            <w:vAlign w:val="center"/>
          </w:tcPr>
          <w:p w14:paraId="76461DF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113,8</w:t>
            </w:r>
          </w:p>
          <w:p w14:paraId="7AF8411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77,5</w:t>
            </w:r>
          </w:p>
        </w:tc>
      </w:tr>
      <w:tr w:rsidR="00235FAF" w:rsidRPr="006D5179" w14:paraId="2685FDE4" w14:textId="77777777" w:rsidTr="00995DC2">
        <w:trPr>
          <w:trHeight w:val="318"/>
        </w:trPr>
        <w:tc>
          <w:tcPr>
            <w:tcW w:w="168" w:type="pct"/>
            <w:vAlign w:val="center"/>
          </w:tcPr>
          <w:p w14:paraId="4600EE1F"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28</w:t>
            </w:r>
          </w:p>
        </w:tc>
        <w:tc>
          <w:tcPr>
            <w:tcW w:w="873" w:type="pct"/>
            <w:vAlign w:val="center"/>
          </w:tcPr>
          <w:p w14:paraId="2CBBF0D5"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Egg (pcs)</w:t>
            </w:r>
          </w:p>
        </w:tc>
        <w:tc>
          <w:tcPr>
            <w:tcW w:w="298" w:type="pct"/>
            <w:vAlign w:val="center"/>
          </w:tcPr>
          <w:p w14:paraId="4112DF7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0,9</w:t>
            </w:r>
          </w:p>
        </w:tc>
        <w:tc>
          <w:tcPr>
            <w:tcW w:w="347" w:type="pct"/>
            <w:vAlign w:val="center"/>
          </w:tcPr>
          <w:p w14:paraId="0C149C8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0,75</w:t>
            </w:r>
          </w:p>
          <w:p w14:paraId="0DC5798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0,56</w:t>
            </w:r>
          </w:p>
        </w:tc>
        <w:tc>
          <w:tcPr>
            <w:tcW w:w="347" w:type="pct"/>
            <w:vAlign w:val="center"/>
          </w:tcPr>
          <w:p w14:paraId="6BD4EAE4"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83,3</w:t>
            </w:r>
          </w:p>
          <w:p w14:paraId="62441068"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62,2</w:t>
            </w:r>
          </w:p>
        </w:tc>
        <w:tc>
          <w:tcPr>
            <w:tcW w:w="360" w:type="pct"/>
            <w:vAlign w:val="center"/>
          </w:tcPr>
          <w:p w14:paraId="68364F0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0,8</w:t>
            </w:r>
          </w:p>
        </w:tc>
        <w:tc>
          <w:tcPr>
            <w:tcW w:w="361" w:type="pct"/>
            <w:vAlign w:val="center"/>
          </w:tcPr>
          <w:p w14:paraId="0683ADC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0,68</w:t>
            </w:r>
          </w:p>
          <w:p w14:paraId="04AF193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0,50</w:t>
            </w:r>
          </w:p>
        </w:tc>
        <w:tc>
          <w:tcPr>
            <w:tcW w:w="361" w:type="pct"/>
            <w:vAlign w:val="center"/>
          </w:tcPr>
          <w:p w14:paraId="4C663B7A"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85,0</w:t>
            </w:r>
          </w:p>
          <w:p w14:paraId="09048686"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62,5</w:t>
            </w:r>
          </w:p>
        </w:tc>
        <w:tc>
          <w:tcPr>
            <w:tcW w:w="329" w:type="pct"/>
            <w:vAlign w:val="center"/>
          </w:tcPr>
          <w:p w14:paraId="0DA975E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0,7</w:t>
            </w:r>
          </w:p>
        </w:tc>
        <w:tc>
          <w:tcPr>
            <w:tcW w:w="335" w:type="pct"/>
            <w:vAlign w:val="center"/>
          </w:tcPr>
          <w:p w14:paraId="391E0E9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0,61</w:t>
            </w:r>
          </w:p>
          <w:p w14:paraId="51229C9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0,48</w:t>
            </w:r>
          </w:p>
        </w:tc>
        <w:tc>
          <w:tcPr>
            <w:tcW w:w="286" w:type="pct"/>
            <w:vAlign w:val="center"/>
          </w:tcPr>
          <w:p w14:paraId="37DED9C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87,1</w:t>
            </w:r>
          </w:p>
          <w:p w14:paraId="7B55573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68,6</w:t>
            </w:r>
          </w:p>
        </w:tc>
        <w:tc>
          <w:tcPr>
            <w:tcW w:w="339" w:type="pct"/>
            <w:vAlign w:val="center"/>
          </w:tcPr>
          <w:p w14:paraId="1400EF52"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0,7</w:t>
            </w:r>
          </w:p>
        </w:tc>
        <w:tc>
          <w:tcPr>
            <w:tcW w:w="309" w:type="pct"/>
            <w:vAlign w:val="center"/>
          </w:tcPr>
          <w:p w14:paraId="02E9D1C4"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0,6</w:t>
            </w:r>
          </w:p>
          <w:p w14:paraId="5F210FC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0,45</w:t>
            </w:r>
          </w:p>
        </w:tc>
        <w:tc>
          <w:tcPr>
            <w:tcW w:w="287" w:type="pct"/>
            <w:vAlign w:val="center"/>
          </w:tcPr>
          <w:p w14:paraId="12678C1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85,7</w:t>
            </w:r>
          </w:p>
          <w:p w14:paraId="2975C7FD"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64,3</w:t>
            </w:r>
          </w:p>
        </w:tc>
      </w:tr>
      <w:tr w:rsidR="00235FAF" w:rsidRPr="006D5179" w14:paraId="2CD7E5D0" w14:textId="77777777" w:rsidTr="00995DC2">
        <w:trPr>
          <w:trHeight w:val="78"/>
        </w:trPr>
        <w:tc>
          <w:tcPr>
            <w:tcW w:w="168" w:type="pct"/>
            <w:vAlign w:val="center"/>
          </w:tcPr>
          <w:p w14:paraId="7D69EA84"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29</w:t>
            </w:r>
          </w:p>
        </w:tc>
        <w:tc>
          <w:tcPr>
            <w:tcW w:w="873" w:type="pct"/>
            <w:vAlign w:val="center"/>
          </w:tcPr>
          <w:p w14:paraId="6356D039"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Sugar</w:t>
            </w:r>
          </w:p>
        </w:tc>
        <w:tc>
          <w:tcPr>
            <w:tcW w:w="298" w:type="pct"/>
            <w:vAlign w:val="center"/>
          </w:tcPr>
          <w:p w14:paraId="147F07B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55</w:t>
            </w:r>
          </w:p>
        </w:tc>
        <w:tc>
          <w:tcPr>
            <w:tcW w:w="347" w:type="pct"/>
            <w:vAlign w:val="center"/>
          </w:tcPr>
          <w:p w14:paraId="68584F6C"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13,1</w:t>
            </w:r>
          </w:p>
          <w:p w14:paraId="1EEBCEC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12,4</w:t>
            </w:r>
          </w:p>
        </w:tc>
        <w:tc>
          <w:tcPr>
            <w:tcW w:w="347" w:type="pct"/>
            <w:vAlign w:val="center"/>
          </w:tcPr>
          <w:p w14:paraId="5769963E"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23,8</w:t>
            </w:r>
          </w:p>
          <w:p w14:paraId="08B5A776"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22,5</w:t>
            </w:r>
          </w:p>
        </w:tc>
        <w:tc>
          <w:tcPr>
            <w:tcW w:w="360" w:type="pct"/>
            <w:vAlign w:val="center"/>
          </w:tcPr>
          <w:p w14:paraId="3BE612AA"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35</w:t>
            </w:r>
          </w:p>
        </w:tc>
        <w:tc>
          <w:tcPr>
            <w:tcW w:w="361" w:type="pct"/>
            <w:vAlign w:val="center"/>
          </w:tcPr>
          <w:p w14:paraId="0466D176"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8,9</w:t>
            </w:r>
          </w:p>
          <w:p w14:paraId="777E5D3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7,6</w:t>
            </w:r>
          </w:p>
        </w:tc>
        <w:tc>
          <w:tcPr>
            <w:tcW w:w="361" w:type="pct"/>
            <w:vAlign w:val="center"/>
          </w:tcPr>
          <w:p w14:paraId="45CA7CB7"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25,4</w:t>
            </w:r>
          </w:p>
          <w:p w14:paraId="041F56D2"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21,7</w:t>
            </w:r>
          </w:p>
        </w:tc>
        <w:tc>
          <w:tcPr>
            <w:tcW w:w="329" w:type="pct"/>
            <w:vAlign w:val="center"/>
          </w:tcPr>
          <w:p w14:paraId="41525DB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44</w:t>
            </w:r>
          </w:p>
        </w:tc>
        <w:tc>
          <w:tcPr>
            <w:tcW w:w="335" w:type="pct"/>
            <w:vAlign w:val="center"/>
          </w:tcPr>
          <w:p w14:paraId="0FE18AB3"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8,2</w:t>
            </w:r>
          </w:p>
          <w:p w14:paraId="5A92B35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7,4</w:t>
            </w:r>
          </w:p>
        </w:tc>
        <w:tc>
          <w:tcPr>
            <w:tcW w:w="286" w:type="pct"/>
            <w:vAlign w:val="center"/>
          </w:tcPr>
          <w:p w14:paraId="48F7FBC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18,6</w:t>
            </w:r>
          </w:p>
          <w:p w14:paraId="6C83114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16,8</w:t>
            </w:r>
          </w:p>
        </w:tc>
        <w:tc>
          <w:tcPr>
            <w:tcW w:w="339" w:type="pct"/>
            <w:vAlign w:val="center"/>
          </w:tcPr>
          <w:p w14:paraId="7B3BBB8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40</w:t>
            </w:r>
          </w:p>
        </w:tc>
        <w:tc>
          <w:tcPr>
            <w:tcW w:w="309" w:type="pct"/>
            <w:vAlign w:val="center"/>
          </w:tcPr>
          <w:p w14:paraId="3D95C39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7,1</w:t>
            </w:r>
          </w:p>
          <w:p w14:paraId="357D75D0"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6,9</w:t>
            </w:r>
          </w:p>
        </w:tc>
        <w:tc>
          <w:tcPr>
            <w:tcW w:w="287" w:type="pct"/>
            <w:vAlign w:val="center"/>
          </w:tcPr>
          <w:p w14:paraId="291D6D01"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17,8</w:t>
            </w:r>
          </w:p>
          <w:p w14:paraId="68EB7AEE"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17,3</w:t>
            </w:r>
          </w:p>
        </w:tc>
      </w:tr>
      <w:tr w:rsidR="00235FAF" w:rsidRPr="006D5179" w14:paraId="3947F9E2" w14:textId="77777777" w:rsidTr="00995DC2">
        <w:trPr>
          <w:trHeight w:val="318"/>
        </w:trPr>
        <w:tc>
          <w:tcPr>
            <w:tcW w:w="168" w:type="pct"/>
            <w:vAlign w:val="center"/>
          </w:tcPr>
          <w:p w14:paraId="71981EDF" w14:textId="77777777" w:rsidR="00235FAF" w:rsidRPr="006D5179" w:rsidRDefault="00235FAF" w:rsidP="003C7FF4">
            <w:pPr>
              <w:tabs>
                <w:tab w:val="left" w:pos="3686"/>
              </w:tabs>
              <w:jc w:val="center"/>
              <w:rPr>
                <w:rFonts w:eastAsia="Times New Roman" w:cs="Times New Roman"/>
                <w:sz w:val="24"/>
                <w:szCs w:val="24"/>
                <w:lang w:val="uz-Cyrl-UZ" w:eastAsia="ru-RU"/>
              </w:rPr>
            </w:pPr>
            <w:r w:rsidRPr="006D5179">
              <w:rPr>
                <w:rFonts w:eastAsia="Times New Roman" w:cs="Times New Roman"/>
                <w:sz w:val="24"/>
                <w:szCs w:val="24"/>
                <w:lang w:val="uz-Cyrl-UZ" w:eastAsia="ru-RU"/>
              </w:rPr>
              <w:t>30</w:t>
            </w:r>
          </w:p>
        </w:tc>
        <w:tc>
          <w:tcPr>
            <w:tcW w:w="873" w:type="pct"/>
            <w:vAlign w:val="center"/>
          </w:tcPr>
          <w:p w14:paraId="73E547B2" w14:textId="77777777" w:rsidR="00235FAF" w:rsidRPr="006D5179" w:rsidRDefault="00235FAF" w:rsidP="003C7FF4">
            <w:pPr>
              <w:tabs>
                <w:tab w:val="left" w:pos="3686"/>
              </w:tabs>
              <w:rPr>
                <w:rFonts w:eastAsia="Times New Roman" w:cs="Times New Roman"/>
                <w:sz w:val="24"/>
                <w:szCs w:val="24"/>
                <w:lang w:val="uz-Cyrl-UZ" w:eastAsia="ru-RU"/>
              </w:rPr>
            </w:pPr>
            <w:r w:rsidRPr="006D5179">
              <w:rPr>
                <w:rFonts w:eastAsia="Times New Roman" w:cs="Times New Roman"/>
                <w:sz w:val="24"/>
                <w:szCs w:val="24"/>
                <w:lang w:val="ru-RU" w:eastAsia="ru-RU"/>
              </w:rPr>
              <w:t>Vegetable oil</w:t>
            </w:r>
          </w:p>
        </w:tc>
        <w:tc>
          <w:tcPr>
            <w:tcW w:w="298" w:type="pct"/>
            <w:vAlign w:val="center"/>
          </w:tcPr>
          <w:p w14:paraId="3DFC6D14"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w:t>
            </w:r>
          </w:p>
        </w:tc>
        <w:tc>
          <w:tcPr>
            <w:tcW w:w="347" w:type="pct"/>
            <w:vAlign w:val="center"/>
          </w:tcPr>
          <w:p w14:paraId="17F16405"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21,2</w:t>
            </w:r>
          </w:p>
          <w:p w14:paraId="2296DFC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17,3</w:t>
            </w:r>
          </w:p>
        </w:tc>
        <w:tc>
          <w:tcPr>
            <w:tcW w:w="347" w:type="pct"/>
            <w:vAlign w:val="center"/>
          </w:tcPr>
          <w:p w14:paraId="11144FA2"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84,8</w:t>
            </w:r>
          </w:p>
          <w:p w14:paraId="533FA802"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69,2</w:t>
            </w:r>
          </w:p>
        </w:tc>
        <w:tc>
          <w:tcPr>
            <w:tcW w:w="360" w:type="pct"/>
            <w:vAlign w:val="center"/>
          </w:tcPr>
          <w:p w14:paraId="4C1D2A5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25</w:t>
            </w:r>
          </w:p>
        </w:tc>
        <w:tc>
          <w:tcPr>
            <w:tcW w:w="361" w:type="pct"/>
            <w:vAlign w:val="center"/>
          </w:tcPr>
          <w:p w14:paraId="15EF499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20,9</w:t>
            </w:r>
          </w:p>
          <w:p w14:paraId="17E6FFD9"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15,9</w:t>
            </w:r>
          </w:p>
        </w:tc>
        <w:tc>
          <w:tcPr>
            <w:tcW w:w="361" w:type="pct"/>
            <w:vAlign w:val="center"/>
          </w:tcPr>
          <w:p w14:paraId="13F1E115" w14:textId="77777777" w:rsidR="00235FAF" w:rsidRPr="006D5179" w:rsidRDefault="00235FAF" w:rsidP="003C7FF4">
            <w:pPr>
              <w:tabs>
                <w:tab w:val="left" w:pos="3686"/>
              </w:tabs>
              <w:jc w:val="center"/>
              <w:rPr>
                <w:rFonts w:eastAsia="Times New Roman" w:cs="Times New Roman"/>
                <w:color w:val="000000"/>
                <w:sz w:val="24"/>
                <w:szCs w:val="24"/>
                <w:u w:val="single"/>
                <w:lang w:val="ru-RU" w:eastAsia="ru-RU"/>
              </w:rPr>
            </w:pPr>
            <w:r w:rsidRPr="006D5179">
              <w:rPr>
                <w:rFonts w:eastAsia="Times New Roman" w:cs="Times New Roman"/>
                <w:color w:val="000000"/>
                <w:sz w:val="24"/>
                <w:szCs w:val="24"/>
                <w:u w:val="single"/>
                <w:lang w:val="ru-RU" w:eastAsia="ru-RU"/>
              </w:rPr>
              <w:t>83,6</w:t>
            </w:r>
          </w:p>
          <w:p w14:paraId="41548D6A" w14:textId="77777777" w:rsidR="00235FAF" w:rsidRPr="006D5179" w:rsidRDefault="00235FAF" w:rsidP="003C7FF4">
            <w:pPr>
              <w:tabs>
                <w:tab w:val="left" w:pos="3686"/>
              </w:tabs>
              <w:jc w:val="center"/>
              <w:rPr>
                <w:rFonts w:eastAsia="Times New Roman" w:cs="Times New Roman"/>
                <w:color w:val="000000"/>
                <w:sz w:val="24"/>
                <w:szCs w:val="24"/>
                <w:lang w:val="ru-RU" w:eastAsia="ru-RU"/>
              </w:rPr>
            </w:pPr>
            <w:r w:rsidRPr="006D5179">
              <w:rPr>
                <w:rFonts w:eastAsia="Times New Roman" w:cs="Times New Roman"/>
                <w:color w:val="000000"/>
                <w:sz w:val="24"/>
                <w:szCs w:val="24"/>
                <w:lang w:val="ru-RU" w:eastAsia="ru-RU"/>
              </w:rPr>
              <w:t>63,6</w:t>
            </w:r>
          </w:p>
        </w:tc>
        <w:tc>
          <w:tcPr>
            <w:tcW w:w="329" w:type="pct"/>
            <w:vAlign w:val="center"/>
          </w:tcPr>
          <w:p w14:paraId="63C1EA7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35" w:type="pct"/>
            <w:vAlign w:val="center"/>
          </w:tcPr>
          <w:p w14:paraId="214D5BC2"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15,4</w:t>
            </w:r>
          </w:p>
          <w:p w14:paraId="2FC5EA9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12,5</w:t>
            </w:r>
          </w:p>
        </w:tc>
        <w:tc>
          <w:tcPr>
            <w:tcW w:w="286" w:type="pct"/>
            <w:vAlign w:val="center"/>
          </w:tcPr>
          <w:p w14:paraId="56C620F0"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77,0</w:t>
            </w:r>
          </w:p>
          <w:p w14:paraId="09EA6EDB"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62,5</w:t>
            </w:r>
          </w:p>
        </w:tc>
        <w:tc>
          <w:tcPr>
            <w:tcW w:w="339" w:type="pct"/>
            <w:vAlign w:val="center"/>
          </w:tcPr>
          <w:p w14:paraId="01AB8EF8"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20</w:t>
            </w:r>
          </w:p>
        </w:tc>
        <w:tc>
          <w:tcPr>
            <w:tcW w:w="309" w:type="pct"/>
            <w:vAlign w:val="center"/>
          </w:tcPr>
          <w:p w14:paraId="2D98778B"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14,8</w:t>
            </w:r>
          </w:p>
          <w:p w14:paraId="4D2ED2DC"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11,3</w:t>
            </w:r>
          </w:p>
        </w:tc>
        <w:tc>
          <w:tcPr>
            <w:tcW w:w="287" w:type="pct"/>
            <w:vAlign w:val="center"/>
          </w:tcPr>
          <w:p w14:paraId="185C17B8" w14:textId="77777777" w:rsidR="00235FAF" w:rsidRPr="006D5179" w:rsidRDefault="00235FAF" w:rsidP="003C7FF4">
            <w:pPr>
              <w:tabs>
                <w:tab w:val="left" w:pos="3686"/>
              </w:tabs>
              <w:jc w:val="center"/>
              <w:rPr>
                <w:rFonts w:eastAsia="Times New Roman" w:cs="Times New Roman"/>
                <w:sz w:val="24"/>
                <w:szCs w:val="24"/>
                <w:u w:val="single"/>
                <w:lang w:val="ru-RU" w:eastAsia="ru-RU"/>
              </w:rPr>
            </w:pPr>
            <w:r w:rsidRPr="006D5179">
              <w:rPr>
                <w:rFonts w:eastAsia="Times New Roman" w:cs="Times New Roman"/>
                <w:sz w:val="24"/>
                <w:szCs w:val="24"/>
                <w:u w:val="single"/>
                <w:lang w:val="ru-RU" w:eastAsia="ru-RU"/>
              </w:rPr>
              <w:t>74,0</w:t>
            </w:r>
          </w:p>
          <w:p w14:paraId="2006A07F" w14:textId="77777777" w:rsidR="00235FAF" w:rsidRPr="006D5179" w:rsidRDefault="00235FAF" w:rsidP="003C7FF4">
            <w:pPr>
              <w:tabs>
                <w:tab w:val="left" w:pos="3686"/>
              </w:tabs>
              <w:jc w:val="center"/>
              <w:rPr>
                <w:rFonts w:eastAsia="Times New Roman" w:cs="Times New Roman"/>
                <w:sz w:val="24"/>
                <w:szCs w:val="24"/>
                <w:lang w:val="ru-RU" w:eastAsia="ru-RU"/>
              </w:rPr>
            </w:pPr>
            <w:r w:rsidRPr="006D5179">
              <w:rPr>
                <w:rFonts w:eastAsia="Times New Roman" w:cs="Times New Roman"/>
                <w:sz w:val="24"/>
                <w:szCs w:val="24"/>
                <w:lang w:val="ru-RU" w:eastAsia="ru-RU"/>
              </w:rPr>
              <w:t>56,5</w:t>
            </w:r>
          </w:p>
        </w:tc>
      </w:tr>
    </w:tbl>
    <w:p w14:paraId="6BFA7393" w14:textId="31861056" w:rsidR="00F50458" w:rsidRDefault="00F50458" w:rsidP="00B53C0B">
      <w:pPr>
        <w:spacing w:line="276" w:lineRule="auto"/>
        <w:ind w:firstLine="284"/>
        <w:jc w:val="both"/>
        <w:rPr>
          <w:rFonts w:cs="Times New Roman"/>
          <w:sz w:val="24"/>
          <w:szCs w:val="24"/>
          <w:lang w:val="uz-Latn-UZ"/>
        </w:rPr>
      </w:pPr>
    </w:p>
    <w:p w14:paraId="62331AB2" w14:textId="77777777" w:rsidR="00995DC2" w:rsidRDefault="00995DC2" w:rsidP="00B53C0B">
      <w:pPr>
        <w:spacing w:line="276" w:lineRule="auto"/>
        <w:ind w:firstLine="284"/>
        <w:jc w:val="both"/>
        <w:rPr>
          <w:rFonts w:cs="Times New Roman"/>
          <w:i/>
          <w:iCs/>
          <w:sz w:val="24"/>
          <w:szCs w:val="24"/>
          <w:lang w:val="uz-Latn-UZ"/>
        </w:rPr>
        <w:sectPr w:rsidR="00995DC2" w:rsidSect="00235FAF">
          <w:pgSz w:w="16840" w:h="11907" w:orient="landscape" w:code="9"/>
          <w:pgMar w:top="1134" w:right="1418" w:bottom="1134" w:left="1134" w:header="907" w:footer="794" w:gutter="0"/>
          <w:cols w:space="708"/>
          <w:docGrid w:linePitch="381"/>
        </w:sectPr>
      </w:pPr>
      <w:r w:rsidRPr="00995DC2">
        <w:rPr>
          <w:rFonts w:cs="Times New Roman"/>
          <w:i/>
          <w:iCs/>
          <w:sz w:val="24"/>
          <w:szCs w:val="24"/>
          <w:lang w:val="uz-Latn-UZ"/>
        </w:rPr>
        <w:t>Note: When compiling the table, a set of products and basic nutrients for one day according to SanPin 0105-01 (Republic of Uzbekistan) was taken into account.</w:t>
      </w:r>
    </w:p>
    <w:p w14:paraId="1CD7469B" w14:textId="3029C570"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lastRenderedPageBreak/>
        <w:t>In the surveyed (men over 60 years old, women over 54 years old) in the winter-spring period, the following data were obtained: the consumption of cereals was higher than nor</w:t>
      </w:r>
      <w:r>
        <w:rPr>
          <w:rFonts w:cs="Times New Roman"/>
          <w:sz w:val="24"/>
          <w:szCs w:val="24"/>
        </w:rPr>
        <w:softHyphen/>
      </w:r>
      <w:r w:rsidRPr="00995DC2">
        <w:rPr>
          <w:rFonts w:cs="Times New Roman"/>
          <w:sz w:val="24"/>
          <w:szCs w:val="24"/>
        </w:rPr>
        <w:t>mal: men by 15.0%, women by 16.3%, and cheese by 11.3 and 13.8%. The consumption of other products was below the norm: meat prod</w:t>
      </w:r>
      <w:r>
        <w:rPr>
          <w:rFonts w:cs="Times New Roman"/>
          <w:sz w:val="24"/>
          <w:szCs w:val="24"/>
        </w:rPr>
        <w:softHyphen/>
      </w:r>
      <w:r w:rsidRPr="00995DC2">
        <w:rPr>
          <w:rFonts w:cs="Times New Roman"/>
          <w:sz w:val="24"/>
          <w:szCs w:val="24"/>
        </w:rPr>
        <w:t>ucts for men by 27.3%, for women by 22.4%, sausage products by 47.1 and 20.9%; dairy products from 15.0 to 48.8% for men, from 19.2 to 51.6% for women; potatoes by 13.3 and 15.5%; vegetable oil by 23.0 and 26.0%. The availability of vegetables, melons and fruits turned out to be much lower than normal: men from 51.3 to 68.4%, women from 51.9 to 69.7%.</w:t>
      </w:r>
    </w:p>
    <w:p w14:paraId="09BC629B" w14:textId="0E12C686"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t>In the summer-autumn period (in men from 18 to 59 years, in women from 18 to 55 years), in contrast to the winter-spring period, the consumption of melons in men exceeded by 7.8%. In women, the consumption of wheat flour was 32.0% higher than normal, as well as fruits and fresh berries by 12.3%. Consump</w:t>
      </w:r>
      <w:r>
        <w:rPr>
          <w:rFonts w:cs="Times New Roman"/>
          <w:sz w:val="24"/>
          <w:szCs w:val="24"/>
        </w:rPr>
        <w:softHyphen/>
      </w:r>
      <w:r w:rsidRPr="00995DC2">
        <w:rPr>
          <w:rFonts w:cs="Times New Roman"/>
          <w:sz w:val="24"/>
          <w:szCs w:val="24"/>
        </w:rPr>
        <w:t>tion of other products (meat and meat products, fish, milk and dairy, flour and other products) was below normal.</w:t>
      </w:r>
    </w:p>
    <w:p w14:paraId="1B1F93ED" w14:textId="144AB852"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t>The same indicators were obtained in el</w:t>
      </w:r>
      <w:r>
        <w:rPr>
          <w:rFonts w:cs="Times New Roman"/>
          <w:sz w:val="24"/>
          <w:szCs w:val="24"/>
        </w:rPr>
        <w:softHyphen/>
      </w:r>
      <w:r w:rsidRPr="00995DC2">
        <w:rPr>
          <w:rFonts w:cs="Times New Roman"/>
          <w:sz w:val="24"/>
          <w:szCs w:val="24"/>
        </w:rPr>
        <w:t>derly patients with CKD (55 years and older in women, 60 years and older in men). In the summer-autumn period of melons, they con</w:t>
      </w:r>
      <w:r>
        <w:rPr>
          <w:rFonts w:cs="Times New Roman"/>
          <w:sz w:val="24"/>
          <w:szCs w:val="24"/>
        </w:rPr>
        <w:softHyphen/>
      </w:r>
      <w:r w:rsidRPr="00995DC2">
        <w:rPr>
          <w:rFonts w:cs="Times New Roman"/>
          <w:sz w:val="24"/>
          <w:szCs w:val="24"/>
        </w:rPr>
        <w:t>sumed more than the norm by 10.3%. There was a shortage of other products. It should be noted that even in the summer-autumn period, patients with CKD, regardless of the season of the year, consumed little vegetables, fruits, berries and greens.</w:t>
      </w:r>
    </w:p>
    <w:p w14:paraId="257AA6BE" w14:textId="6D73EB67"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t>The analysis of the diet also revealed a number of features. Thus, almost 85% of the examined patients with CKD aged 18 to 55 years violate the diet: four meals with a long interval (5-6). In old age, there was no desire for frequent consumption of food. Low physi</w:t>
      </w:r>
      <w:r>
        <w:rPr>
          <w:rFonts w:cs="Times New Roman"/>
          <w:sz w:val="24"/>
          <w:szCs w:val="24"/>
        </w:rPr>
        <w:softHyphen/>
      </w:r>
      <w:r w:rsidRPr="00995DC2">
        <w:rPr>
          <w:rFonts w:cs="Times New Roman"/>
          <w:sz w:val="24"/>
          <w:szCs w:val="24"/>
        </w:rPr>
        <w:t xml:space="preserve">cal activity was revealed, especially in elderly people. Both the assortment list of products and the structure of nutrition had no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w:t>
      </w:r>
      <w:r>
        <w:rPr>
          <w:rFonts w:cs="Times New Roman"/>
          <w:sz w:val="24"/>
          <w:szCs w:val="24"/>
        </w:rPr>
        <w:softHyphen/>
      </w:r>
      <w:r w:rsidRPr="00995DC2">
        <w:rPr>
          <w:rFonts w:cs="Times New Roman"/>
          <w:sz w:val="24"/>
          <w:szCs w:val="24"/>
        </w:rPr>
        <w:t>tal differences.</w:t>
      </w:r>
    </w:p>
    <w:p w14:paraId="6D5B90FA" w14:textId="77777777" w:rsidR="00995DC2" w:rsidRPr="00995DC2" w:rsidRDefault="00995DC2" w:rsidP="00995DC2">
      <w:pPr>
        <w:spacing w:line="264" w:lineRule="auto"/>
        <w:ind w:firstLine="567"/>
        <w:jc w:val="both"/>
        <w:rPr>
          <w:rFonts w:cs="Times New Roman"/>
          <w:sz w:val="24"/>
          <w:szCs w:val="24"/>
        </w:rPr>
      </w:pPr>
    </w:p>
    <w:p w14:paraId="6CD5AB5F" w14:textId="6FFC78F6" w:rsidR="00995DC2" w:rsidRPr="00995DC2" w:rsidRDefault="00995DC2" w:rsidP="00995DC2">
      <w:pPr>
        <w:spacing w:line="264" w:lineRule="auto"/>
        <w:jc w:val="center"/>
        <w:rPr>
          <w:rFonts w:cs="Times New Roman"/>
          <w:b/>
          <w:bCs/>
          <w:sz w:val="24"/>
          <w:szCs w:val="24"/>
        </w:rPr>
      </w:pPr>
      <w:r w:rsidRPr="00995DC2">
        <w:rPr>
          <w:rFonts w:cs="Times New Roman"/>
          <w:b/>
          <w:bCs/>
          <w:sz w:val="24"/>
          <w:szCs w:val="24"/>
        </w:rPr>
        <w:t>CONCLUSIONS</w:t>
      </w:r>
    </w:p>
    <w:p w14:paraId="372C3B92" w14:textId="77777777" w:rsidR="00995DC2" w:rsidRPr="00995DC2" w:rsidRDefault="00995DC2" w:rsidP="00995DC2">
      <w:pPr>
        <w:spacing w:line="264" w:lineRule="auto"/>
        <w:ind w:firstLine="567"/>
        <w:jc w:val="both"/>
        <w:rPr>
          <w:rFonts w:cs="Times New Roman"/>
          <w:sz w:val="24"/>
          <w:szCs w:val="24"/>
        </w:rPr>
      </w:pPr>
    </w:p>
    <w:p w14:paraId="5C1C52B9" w14:textId="1EB4C2F9"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t>1. Only 35% of the surveyed have an idea of rational nutrition and dietary nutrition in CKD. Only 28% of the surveyed could inde</w:t>
      </w:r>
      <w:r>
        <w:rPr>
          <w:rFonts w:cs="Times New Roman"/>
          <w:sz w:val="24"/>
          <w:szCs w:val="24"/>
        </w:rPr>
        <w:softHyphen/>
      </w:r>
      <w:r w:rsidRPr="00995DC2">
        <w:rPr>
          <w:rFonts w:cs="Times New Roman"/>
          <w:sz w:val="24"/>
          <w:szCs w:val="24"/>
        </w:rPr>
        <w:t>pendently and objectively assess their diet, in most cases it was possible to find out with the help of medical professionals.</w:t>
      </w:r>
    </w:p>
    <w:p w14:paraId="459E5CBF" w14:textId="6D294748" w:rsidR="00995DC2" w:rsidRPr="00995DC2" w:rsidRDefault="00995DC2" w:rsidP="00995DC2">
      <w:pPr>
        <w:spacing w:line="264" w:lineRule="auto"/>
        <w:ind w:firstLine="567"/>
        <w:jc w:val="both"/>
        <w:rPr>
          <w:rFonts w:cs="Times New Roman"/>
          <w:sz w:val="24"/>
          <w:szCs w:val="24"/>
        </w:rPr>
      </w:pPr>
      <w:r w:rsidRPr="00995DC2">
        <w:rPr>
          <w:rFonts w:cs="Times New Roman"/>
          <w:sz w:val="24"/>
          <w:szCs w:val="24"/>
        </w:rPr>
        <w:t>2. Irrational nutrition plays a signifi</w:t>
      </w:r>
      <w:r>
        <w:rPr>
          <w:rFonts w:cs="Times New Roman"/>
          <w:sz w:val="24"/>
          <w:szCs w:val="24"/>
        </w:rPr>
        <w:softHyphen/>
      </w:r>
      <w:r w:rsidRPr="00995DC2">
        <w:rPr>
          <w:rFonts w:cs="Times New Roman"/>
          <w:sz w:val="24"/>
          <w:szCs w:val="24"/>
        </w:rPr>
        <w:t>cantly negative role in the development of CKD. It is obvious that only a conversation be</w:t>
      </w:r>
      <w:r>
        <w:rPr>
          <w:rFonts w:cs="Times New Roman"/>
          <w:sz w:val="24"/>
          <w:szCs w:val="24"/>
        </w:rPr>
        <w:softHyphen/>
      </w:r>
      <w:r w:rsidRPr="00995DC2">
        <w:rPr>
          <w:rFonts w:cs="Times New Roman"/>
          <w:sz w:val="24"/>
          <w:szCs w:val="24"/>
        </w:rPr>
        <w:t>tween a doctor and a patient at a medical ap</w:t>
      </w:r>
      <w:r>
        <w:rPr>
          <w:rFonts w:cs="Times New Roman"/>
          <w:sz w:val="24"/>
          <w:szCs w:val="24"/>
        </w:rPr>
        <w:softHyphen/>
      </w:r>
      <w:r w:rsidRPr="00995DC2">
        <w:rPr>
          <w:rFonts w:cs="Times New Roman"/>
          <w:sz w:val="24"/>
          <w:szCs w:val="24"/>
        </w:rPr>
        <w:t>pointment is not enough. It is necessary to de</w:t>
      </w:r>
      <w:r>
        <w:rPr>
          <w:rFonts w:cs="Times New Roman"/>
          <w:sz w:val="24"/>
          <w:szCs w:val="24"/>
        </w:rPr>
        <w:softHyphen/>
      </w:r>
      <w:r w:rsidRPr="00995DC2">
        <w:rPr>
          <w:rFonts w:cs="Times New Roman"/>
          <w:sz w:val="24"/>
          <w:szCs w:val="24"/>
        </w:rPr>
        <w:t>velop and conduct an educational program to teach the basics of rational nutrition of patients with CKD.</w:t>
      </w:r>
    </w:p>
    <w:p w14:paraId="6758E78C" w14:textId="77777777" w:rsidR="00995DC2" w:rsidRPr="00995DC2" w:rsidRDefault="00995DC2" w:rsidP="00995DC2">
      <w:pPr>
        <w:spacing w:line="264" w:lineRule="auto"/>
        <w:ind w:firstLine="567"/>
        <w:jc w:val="both"/>
        <w:rPr>
          <w:rFonts w:cs="Times New Roman"/>
          <w:sz w:val="24"/>
          <w:szCs w:val="24"/>
        </w:rPr>
      </w:pPr>
    </w:p>
    <w:p w14:paraId="58B7CFBB" w14:textId="32199D18" w:rsidR="00995DC2" w:rsidRPr="00D27CEF" w:rsidRDefault="00995DC2" w:rsidP="00995DC2">
      <w:pPr>
        <w:spacing w:line="264" w:lineRule="auto"/>
        <w:jc w:val="center"/>
        <w:rPr>
          <w:rFonts w:cs="Times New Roman"/>
          <w:b/>
          <w:bCs/>
          <w:sz w:val="24"/>
          <w:szCs w:val="24"/>
        </w:rPr>
      </w:pPr>
      <w:r w:rsidRPr="00995DC2">
        <w:rPr>
          <w:rFonts w:cs="Times New Roman"/>
          <w:b/>
          <w:bCs/>
          <w:sz w:val="24"/>
          <w:szCs w:val="24"/>
        </w:rPr>
        <w:t>REFERENCES</w:t>
      </w:r>
    </w:p>
    <w:p w14:paraId="24F7FDF2" w14:textId="77777777" w:rsidR="00F45F40" w:rsidRPr="00F45F40" w:rsidRDefault="00F45F40" w:rsidP="00F45F40">
      <w:pPr>
        <w:tabs>
          <w:tab w:val="left" w:pos="851"/>
        </w:tabs>
        <w:spacing w:line="264" w:lineRule="auto"/>
        <w:ind w:firstLine="567"/>
        <w:jc w:val="both"/>
        <w:rPr>
          <w:rFonts w:cs="Times New Roman"/>
          <w:sz w:val="24"/>
          <w:szCs w:val="24"/>
        </w:rPr>
      </w:pPr>
      <w:r w:rsidRPr="00F45F40">
        <w:rPr>
          <w:rFonts w:cs="Times New Roman"/>
          <w:sz w:val="24"/>
          <w:szCs w:val="24"/>
        </w:rPr>
        <w:t>1. Kucher A.G. Features of therapeutic nutrition in patients with chronic renal failure receiving permanent outpatient peritoneal dialysis. Nephrology. 2002; 3: 105-106.;</w:t>
      </w:r>
    </w:p>
    <w:p w14:paraId="5B0ABC04" w14:textId="58D5E662" w:rsidR="00995DC2" w:rsidRPr="00B71C19" w:rsidRDefault="00F45F40" w:rsidP="00F45F40">
      <w:pPr>
        <w:tabs>
          <w:tab w:val="left" w:pos="851"/>
        </w:tabs>
        <w:spacing w:line="264" w:lineRule="auto"/>
        <w:ind w:firstLine="567"/>
        <w:jc w:val="both"/>
        <w:rPr>
          <w:rFonts w:cs="Times New Roman"/>
          <w:sz w:val="24"/>
          <w:szCs w:val="24"/>
        </w:rPr>
      </w:pPr>
      <w:r w:rsidRPr="00F45F40">
        <w:rPr>
          <w:rFonts w:cs="Times New Roman"/>
          <w:sz w:val="24"/>
          <w:szCs w:val="24"/>
        </w:rPr>
        <w:t>2. Handbook of dietetics / Ed. V.A. Tutelyan, M.A. Samsonova. 3</w:t>
      </w:r>
      <w:r w:rsidRPr="00F44A75">
        <w:rPr>
          <w:rFonts w:cs="Times New Roman"/>
          <w:sz w:val="24"/>
          <w:szCs w:val="24"/>
          <w:vertAlign w:val="superscript"/>
        </w:rPr>
        <w:t>rd</w:t>
      </w:r>
      <w:r w:rsidRPr="00F45F40">
        <w:rPr>
          <w:rFonts w:cs="Times New Roman"/>
          <w:sz w:val="24"/>
          <w:szCs w:val="24"/>
        </w:rPr>
        <w:t xml:space="preserve"> ed., revised. and additional M., 2002. </w:t>
      </w:r>
      <w:r w:rsidRPr="00D27CEF">
        <w:rPr>
          <w:rFonts w:cs="Times New Roman"/>
          <w:sz w:val="24"/>
          <w:szCs w:val="24"/>
        </w:rPr>
        <w:t>544 p.</w:t>
      </w:r>
    </w:p>
    <w:p w14:paraId="45DBDD7D" w14:textId="2AF706C6" w:rsidR="00995DC2" w:rsidRPr="00995DC2" w:rsidRDefault="00995DC2" w:rsidP="00995DC2">
      <w:pPr>
        <w:tabs>
          <w:tab w:val="left" w:pos="851"/>
        </w:tabs>
        <w:spacing w:line="264" w:lineRule="auto"/>
        <w:ind w:firstLine="567"/>
        <w:jc w:val="both"/>
        <w:rPr>
          <w:rFonts w:cs="Times New Roman"/>
          <w:sz w:val="24"/>
          <w:szCs w:val="24"/>
        </w:rPr>
      </w:pPr>
      <w:r w:rsidRPr="00995DC2">
        <w:rPr>
          <w:rFonts w:cs="Times New Roman"/>
          <w:sz w:val="24"/>
          <w:szCs w:val="24"/>
        </w:rPr>
        <w:t>3.</w:t>
      </w:r>
      <w:r w:rsidRPr="00995DC2">
        <w:rPr>
          <w:rFonts w:cs="Times New Roman"/>
          <w:sz w:val="24"/>
          <w:szCs w:val="24"/>
        </w:rPr>
        <w:tab/>
        <w:t xml:space="preserve">Shinaberger C.S., Kilpatrick R.D., Regidor D.L. et al. Longitudinal associations between dietary protein intake and survival in hemodialysis patients. // Am J Kidney Dis. </w:t>
      </w:r>
      <w:r w:rsidR="00F44A75">
        <w:rPr>
          <w:rFonts w:cs="Times New Roman"/>
          <w:sz w:val="24"/>
          <w:szCs w:val="24"/>
        </w:rPr>
        <w:t>–</w:t>
      </w:r>
      <w:r w:rsidRPr="00995DC2">
        <w:rPr>
          <w:rFonts w:cs="Times New Roman"/>
          <w:sz w:val="24"/>
          <w:szCs w:val="24"/>
        </w:rPr>
        <w:t xml:space="preserve"> 2006. </w:t>
      </w:r>
      <w:r w:rsidR="00F44A75">
        <w:rPr>
          <w:rFonts w:cs="Times New Roman"/>
          <w:sz w:val="24"/>
          <w:szCs w:val="24"/>
        </w:rPr>
        <w:t>–</w:t>
      </w:r>
      <w:r w:rsidRPr="00995DC2">
        <w:rPr>
          <w:rFonts w:cs="Times New Roman"/>
          <w:sz w:val="24"/>
          <w:szCs w:val="24"/>
        </w:rPr>
        <w:t xml:space="preserve"> Vol.48 (1). -P.37-49.</w:t>
      </w:r>
    </w:p>
    <w:p w14:paraId="1ECCDDCD" w14:textId="248FD82E" w:rsidR="00995DC2" w:rsidRPr="00F45F40" w:rsidRDefault="00F45F40" w:rsidP="00995DC2">
      <w:pPr>
        <w:tabs>
          <w:tab w:val="left" w:pos="851"/>
        </w:tabs>
        <w:spacing w:line="264" w:lineRule="auto"/>
        <w:ind w:firstLine="567"/>
        <w:jc w:val="both"/>
        <w:rPr>
          <w:rFonts w:cs="Times New Roman"/>
          <w:sz w:val="24"/>
          <w:szCs w:val="24"/>
        </w:rPr>
      </w:pPr>
      <w:r w:rsidRPr="00F45F40">
        <w:rPr>
          <w:rFonts w:cs="Times New Roman"/>
          <w:sz w:val="24"/>
          <w:szCs w:val="24"/>
        </w:rPr>
        <w:t>4. Kucher A.G., Kayukov I.G., Grigor</w:t>
      </w:r>
      <w:r w:rsidR="00F44A75">
        <w:rPr>
          <w:rFonts w:cs="Times New Roman"/>
          <w:sz w:val="24"/>
          <w:szCs w:val="24"/>
        </w:rPr>
        <w:t>’</w:t>
      </w:r>
      <w:r w:rsidRPr="00F45F40">
        <w:rPr>
          <w:rFonts w:cs="Times New Roman"/>
          <w:sz w:val="24"/>
          <w:szCs w:val="24"/>
        </w:rPr>
        <w:t xml:space="preserve">eva N.D., Vasiliev A.N. Clinical nutrition at different stages of chronic kidney disease // Nephrology and dialysis. </w:t>
      </w:r>
      <w:r w:rsidR="00F44A75">
        <w:rPr>
          <w:rFonts w:cs="Times New Roman"/>
          <w:sz w:val="24"/>
          <w:szCs w:val="24"/>
        </w:rPr>
        <w:t>–</w:t>
      </w:r>
      <w:r w:rsidRPr="00F45F40">
        <w:rPr>
          <w:rFonts w:cs="Times New Roman"/>
          <w:sz w:val="24"/>
          <w:szCs w:val="24"/>
        </w:rPr>
        <w:t xml:space="preserve"> 2007. </w:t>
      </w:r>
      <w:r w:rsidR="00F44A75">
        <w:rPr>
          <w:rFonts w:cs="Times New Roman"/>
          <w:sz w:val="24"/>
          <w:szCs w:val="24"/>
        </w:rPr>
        <w:t>–</w:t>
      </w:r>
      <w:r w:rsidRPr="00F45F40">
        <w:rPr>
          <w:rFonts w:cs="Times New Roman"/>
          <w:sz w:val="24"/>
          <w:szCs w:val="24"/>
        </w:rPr>
        <w:t xml:space="preserve"> V.9, No. 2. </w:t>
      </w:r>
      <w:r w:rsidR="00F44A75">
        <w:rPr>
          <w:rFonts w:cs="Times New Roman"/>
          <w:sz w:val="24"/>
          <w:szCs w:val="24"/>
        </w:rPr>
        <w:t>–</w:t>
      </w:r>
      <w:r w:rsidRPr="00F45F40">
        <w:rPr>
          <w:rFonts w:cs="Times New Roman"/>
          <w:sz w:val="24"/>
          <w:szCs w:val="24"/>
        </w:rPr>
        <w:t xml:space="preserve"> S. 118-135.</w:t>
      </w:r>
    </w:p>
    <w:p w14:paraId="3465CFB3" w14:textId="00FB8C39" w:rsidR="00995DC2" w:rsidRPr="00D27CEF" w:rsidRDefault="00995DC2" w:rsidP="00995DC2">
      <w:pPr>
        <w:tabs>
          <w:tab w:val="left" w:pos="851"/>
        </w:tabs>
        <w:spacing w:line="264" w:lineRule="auto"/>
        <w:ind w:firstLine="567"/>
        <w:jc w:val="both"/>
        <w:rPr>
          <w:rFonts w:cs="Times New Roman"/>
          <w:sz w:val="24"/>
          <w:szCs w:val="24"/>
        </w:rPr>
      </w:pPr>
      <w:r w:rsidRPr="00D27CEF">
        <w:rPr>
          <w:rFonts w:cs="Times New Roman"/>
          <w:sz w:val="24"/>
          <w:szCs w:val="24"/>
        </w:rPr>
        <w:t>5.</w:t>
      </w:r>
      <w:r w:rsidRPr="00D27CEF">
        <w:rPr>
          <w:rFonts w:cs="Times New Roman"/>
          <w:sz w:val="24"/>
          <w:szCs w:val="24"/>
        </w:rPr>
        <w:tab/>
      </w:r>
      <w:r w:rsidRPr="00995DC2">
        <w:rPr>
          <w:rFonts w:cs="Times New Roman"/>
          <w:sz w:val="24"/>
          <w:szCs w:val="24"/>
        </w:rPr>
        <w:t>Teplan</w:t>
      </w:r>
      <w:r w:rsidRPr="00D27CEF">
        <w:rPr>
          <w:rFonts w:cs="Times New Roman"/>
          <w:sz w:val="24"/>
          <w:szCs w:val="24"/>
        </w:rPr>
        <w:t xml:space="preserve"> </w:t>
      </w:r>
      <w:r w:rsidRPr="00995DC2">
        <w:rPr>
          <w:rFonts w:cs="Times New Roman"/>
          <w:sz w:val="24"/>
          <w:szCs w:val="24"/>
        </w:rPr>
        <w:t>V</w:t>
      </w:r>
      <w:r w:rsidRPr="00D27CEF">
        <w:rPr>
          <w:rFonts w:cs="Times New Roman"/>
          <w:sz w:val="24"/>
          <w:szCs w:val="24"/>
        </w:rPr>
        <w:t xml:space="preserve">., </w:t>
      </w:r>
      <w:r w:rsidRPr="00995DC2">
        <w:rPr>
          <w:rFonts w:cs="Times New Roman"/>
          <w:sz w:val="24"/>
          <w:szCs w:val="24"/>
        </w:rPr>
        <w:t>Valkovsky</w:t>
      </w:r>
      <w:r w:rsidRPr="00D27CEF">
        <w:rPr>
          <w:rFonts w:cs="Times New Roman"/>
          <w:sz w:val="24"/>
          <w:szCs w:val="24"/>
        </w:rPr>
        <w:t xml:space="preserve"> </w:t>
      </w:r>
      <w:r w:rsidRPr="00995DC2">
        <w:rPr>
          <w:rFonts w:cs="Times New Roman"/>
          <w:sz w:val="24"/>
          <w:szCs w:val="24"/>
        </w:rPr>
        <w:t>I</w:t>
      </w:r>
      <w:r w:rsidRPr="00D27CEF">
        <w:rPr>
          <w:rFonts w:cs="Times New Roman"/>
          <w:sz w:val="24"/>
          <w:szCs w:val="24"/>
        </w:rPr>
        <w:t xml:space="preserve">., </w:t>
      </w:r>
      <w:r w:rsidRPr="00995DC2">
        <w:rPr>
          <w:rFonts w:cs="Times New Roman"/>
          <w:sz w:val="24"/>
          <w:szCs w:val="24"/>
        </w:rPr>
        <w:t>Teplan</w:t>
      </w:r>
      <w:r w:rsidRPr="00D27CEF">
        <w:rPr>
          <w:rFonts w:cs="Times New Roman"/>
          <w:sz w:val="24"/>
          <w:szCs w:val="24"/>
        </w:rPr>
        <w:t xml:space="preserve"> </w:t>
      </w:r>
      <w:r w:rsidRPr="00995DC2">
        <w:rPr>
          <w:rFonts w:cs="Times New Roman"/>
          <w:sz w:val="24"/>
          <w:szCs w:val="24"/>
        </w:rPr>
        <w:t>V</w:t>
      </w:r>
      <w:r w:rsidRPr="00D27CEF">
        <w:rPr>
          <w:rFonts w:cs="Times New Roman"/>
          <w:sz w:val="24"/>
          <w:szCs w:val="24"/>
        </w:rPr>
        <w:t xml:space="preserve">. </w:t>
      </w:r>
      <w:r w:rsidRPr="00995DC2">
        <w:rPr>
          <w:rFonts w:cs="Times New Roman"/>
          <w:sz w:val="24"/>
          <w:szCs w:val="24"/>
        </w:rPr>
        <w:t>et</w:t>
      </w:r>
      <w:r w:rsidRPr="00D27CEF">
        <w:rPr>
          <w:rFonts w:cs="Times New Roman"/>
          <w:sz w:val="24"/>
          <w:szCs w:val="24"/>
        </w:rPr>
        <w:t xml:space="preserve"> </w:t>
      </w:r>
      <w:r w:rsidRPr="00995DC2">
        <w:rPr>
          <w:rFonts w:cs="Times New Roman"/>
          <w:sz w:val="24"/>
          <w:szCs w:val="24"/>
        </w:rPr>
        <w:t>al</w:t>
      </w:r>
      <w:r w:rsidRPr="00D27CEF">
        <w:rPr>
          <w:rFonts w:cs="Times New Roman"/>
          <w:sz w:val="24"/>
          <w:szCs w:val="24"/>
        </w:rPr>
        <w:t xml:space="preserve">. </w:t>
      </w:r>
      <w:r w:rsidRPr="00995DC2">
        <w:rPr>
          <w:rFonts w:cs="Times New Roman"/>
          <w:sz w:val="24"/>
          <w:szCs w:val="24"/>
        </w:rPr>
        <w:t>Nutritional</w:t>
      </w:r>
      <w:r w:rsidRPr="00D27CEF">
        <w:rPr>
          <w:rFonts w:cs="Times New Roman"/>
          <w:sz w:val="24"/>
          <w:szCs w:val="24"/>
        </w:rPr>
        <w:t xml:space="preserve"> </w:t>
      </w:r>
      <w:r w:rsidRPr="00995DC2">
        <w:rPr>
          <w:rFonts w:cs="Times New Roman"/>
          <w:sz w:val="24"/>
          <w:szCs w:val="24"/>
        </w:rPr>
        <w:t>consequences</w:t>
      </w:r>
      <w:r w:rsidRPr="00D27CEF">
        <w:rPr>
          <w:rFonts w:cs="Times New Roman"/>
          <w:sz w:val="24"/>
          <w:szCs w:val="24"/>
        </w:rPr>
        <w:t xml:space="preserve"> </w:t>
      </w:r>
      <w:r w:rsidRPr="00995DC2">
        <w:rPr>
          <w:rFonts w:cs="Times New Roman"/>
          <w:sz w:val="24"/>
          <w:szCs w:val="24"/>
        </w:rPr>
        <w:t>of</w:t>
      </w:r>
      <w:r w:rsidRPr="00D27CEF">
        <w:rPr>
          <w:rFonts w:cs="Times New Roman"/>
          <w:sz w:val="24"/>
          <w:szCs w:val="24"/>
        </w:rPr>
        <w:t xml:space="preserve"> </w:t>
      </w:r>
      <w:r w:rsidRPr="00995DC2">
        <w:rPr>
          <w:rFonts w:cs="Times New Roman"/>
          <w:sz w:val="24"/>
          <w:szCs w:val="24"/>
        </w:rPr>
        <w:t>renal</w:t>
      </w:r>
      <w:r w:rsidRPr="00D27CEF">
        <w:rPr>
          <w:rFonts w:cs="Times New Roman"/>
          <w:sz w:val="24"/>
          <w:szCs w:val="24"/>
        </w:rPr>
        <w:t xml:space="preserve"> </w:t>
      </w:r>
      <w:r w:rsidRPr="00995DC2">
        <w:rPr>
          <w:rFonts w:cs="Times New Roman"/>
          <w:sz w:val="24"/>
          <w:szCs w:val="24"/>
        </w:rPr>
        <w:t>trans</w:t>
      </w:r>
      <w:r w:rsidRPr="00D27CEF">
        <w:rPr>
          <w:rFonts w:cs="Times New Roman"/>
          <w:sz w:val="24"/>
          <w:szCs w:val="24"/>
        </w:rPr>
        <w:softHyphen/>
      </w:r>
      <w:r w:rsidRPr="00995DC2">
        <w:rPr>
          <w:rFonts w:cs="Times New Roman"/>
          <w:sz w:val="24"/>
          <w:szCs w:val="24"/>
        </w:rPr>
        <w:t>plantation</w:t>
      </w:r>
      <w:r w:rsidRPr="00D27CEF">
        <w:rPr>
          <w:rFonts w:cs="Times New Roman"/>
          <w:sz w:val="24"/>
          <w:szCs w:val="24"/>
        </w:rPr>
        <w:t xml:space="preserve"> // </w:t>
      </w:r>
      <w:r w:rsidRPr="00995DC2">
        <w:rPr>
          <w:rFonts w:cs="Times New Roman"/>
          <w:sz w:val="24"/>
          <w:szCs w:val="24"/>
        </w:rPr>
        <w:t>J</w:t>
      </w:r>
      <w:r w:rsidRPr="00D27CEF">
        <w:rPr>
          <w:rFonts w:cs="Times New Roman"/>
          <w:sz w:val="24"/>
          <w:szCs w:val="24"/>
        </w:rPr>
        <w:t>.</w:t>
      </w:r>
      <w:r w:rsidRPr="00995DC2">
        <w:rPr>
          <w:rFonts w:cs="Times New Roman"/>
          <w:sz w:val="24"/>
          <w:szCs w:val="24"/>
        </w:rPr>
        <w:t>Renal</w:t>
      </w:r>
      <w:r w:rsidRPr="00D27CEF">
        <w:rPr>
          <w:rFonts w:cs="Times New Roman"/>
          <w:sz w:val="24"/>
          <w:szCs w:val="24"/>
        </w:rPr>
        <w:t>.</w:t>
      </w:r>
      <w:r w:rsidRPr="00995DC2">
        <w:rPr>
          <w:rFonts w:cs="Times New Roman"/>
          <w:sz w:val="24"/>
          <w:szCs w:val="24"/>
        </w:rPr>
        <w:t>Nutr</w:t>
      </w:r>
      <w:r w:rsidRPr="00D27CEF">
        <w:rPr>
          <w:rFonts w:cs="Times New Roman"/>
          <w:sz w:val="24"/>
          <w:szCs w:val="24"/>
        </w:rPr>
        <w:t xml:space="preserve">. </w:t>
      </w:r>
      <w:r w:rsidR="00F44A75" w:rsidRPr="00D27CEF">
        <w:rPr>
          <w:rFonts w:cs="Times New Roman"/>
          <w:sz w:val="24"/>
          <w:szCs w:val="24"/>
        </w:rPr>
        <w:t>–</w:t>
      </w:r>
      <w:r w:rsidRPr="00D27CEF">
        <w:rPr>
          <w:rFonts w:cs="Times New Roman"/>
          <w:sz w:val="24"/>
          <w:szCs w:val="24"/>
        </w:rPr>
        <w:t xml:space="preserve"> 2009. </w:t>
      </w:r>
      <w:r w:rsidR="00F44A75" w:rsidRPr="00D27CEF">
        <w:rPr>
          <w:rFonts w:cs="Times New Roman"/>
          <w:sz w:val="24"/>
          <w:szCs w:val="24"/>
        </w:rPr>
        <w:t>–</w:t>
      </w:r>
      <w:r w:rsidRPr="00D27CEF">
        <w:rPr>
          <w:rFonts w:cs="Times New Roman"/>
          <w:sz w:val="24"/>
          <w:szCs w:val="24"/>
        </w:rPr>
        <w:t xml:space="preserve"> </w:t>
      </w:r>
      <w:r w:rsidRPr="00995DC2">
        <w:rPr>
          <w:rFonts w:cs="Times New Roman"/>
          <w:sz w:val="24"/>
          <w:szCs w:val="24"/>
        </w:rPr>
        <w:t>Vol</w:t>
      </w:r>
      <w:r w:rsidRPr="00D27CEF">
        <w:rPr>
          <w:rFonts w:cs="Times New Roman"/>
          <w:sz w:val="24"/>
          <w:szCs w:val="24"/>
        </w:rPr>
        <w:t xml:space="preserve">.19. </w:t>
      </w:r>
      <w:r w:rsidR="00F44A75" w:rsidRPr="00D27CEF">
        <w:rPr>
          <w:rFonts w:cs="Times New Roman"/>
          <w:sz w:val="24"/>
          <w:szCs w:val="24"/>
        </w:rPr>
        <w:t>–</w:t>
      </w:r>
      <w:r w:rsidRPr="00D27CEF">
        <w:rPr>
          <w:rFonts w:cs="Times New Roman"/>
          <w:sz w:val="24"/>
          <w:szCs w:val="24"/>
        </w:rPr>
        <w:t xml:space="preserve"> </w:t>
      </w:r>
      <w:r w:rsidRPr="00995DC2">
        <w:rPr>
          <w:rFonts w:cs="Times New Roman"/>
          <w:sz w:val="24"/>
          <w:szCs w:val="24"/>
        </w:rPr>
        <w:t>P</w:t>
      </w:r>
      <w:r w:rsidRPr="00D27CEF">
        <w:rPr>
          <w:rFonts w:cs="Times New Roman"/>
          <w:sz w:val="24"/>
          <w:szCs w:val="24"/>
        </w:rPr>
        <w:t>.95-100.</w:t>
      </w:r>
    </w:p>
    <w:p w14:paraId="7F2D8270" w14:textId="61559159" w:rsidR="005C5D6C" w:rsidRPr="00F45F40" w:rsidRDefault="00F45F40" w:rsidP="00995DC2">
      <w:pPr>
        <w:tabs>
          <w:tab w:val="left" w:pos="851"/>
        </w:tabs>
        <w:spacing w:line="264" w:lineRule="auto"/>
        <w:ind w:firstLine="567"/>
        <w:jc w:val="both"/>
        <w:rPr>
          <w:rFonts w:cs="Times New Roman"/>
          <w:sz w:val="24"/>
          <w:szCs w:val="24"/>
        </w:rPr>
      </w:pPr>
      <w:r w:rsidRPr="00F45F40">
        <w:rPr>
          <w:rFonts w:cs="Times New Roman"/>
          <w:sz w:val="24"/>
          <w:szCs w:val="24"/>
        </w:rPr>
        <w:t xml:space="preserve">6. Average daily rational norms of food consumption by sex and age, professional groups of the population of Uzbekistan: SanPiN No. 0105-01. </w:t>
      </w:r>
      <w:r w:rsidR="00F44A75">
        <w:rPr>
          <w:rFonts w:cs="Times New Roman"/>
          <w:sz w:val="24"/>
          <w:szCs w:val="24"/>
        </w:rPr>
        <w:t>–</w:t>
      </w:r>
      <w:r w:rsidRPr="00F45F40">
        <w:rPr>
          <w:rFonts w:cs="Times New Roman"/>
          <w:sz w:val="24"/>
          <w:szCs w:val="24"/>
        </w:rPr>
        <w:t xml:space="preserve"> T., 2001. </w:t>
      </w:r>
      <w:r w:rsidR="00F44A75">
        <w:rPr>
          <w:rFonts w:cs="Times New Roman"/>
          <w:sz w:val="24"/>
          <w:szCs w:val="24"/>
        </w:rPr>
        <w:t>–</w:t>
      </w:r>
      <w:r w:rsidRPr="00F45F40">
        <w:rPr>
          <w:rFonts w:cs="Times New Roman"/>
          <w:sz w:val="24"/>
          <w:szCs w:val="24"/>
        </w:rPr>
        <w:t xml:space="preserve"> 25 p.</w:t>
      </w:r>
    </w:p>
    <w:p w14:paraId="3FA5F5CF" w14:textId="77777777" w:rsidR="00995DC2" w:rsidRPr="00F45F40" w:rsidRDefault="00995DC2" w:rsidP="00995DC2">
      <w:pPr>
        <w:spacing w:line="276" w:lineRule="auto"/>
        <w:ind w:firstLine="567"/>
        <w:jc w:val="both"/>
        <w:rPr>
          <w:rFonts w:cs="Times New Roman"/>
          <w:sz w:val="24"/>
          <w:szCs w:val="24"/>
        </w:rPr>
        <w:sectPr w:rsidR="00995DC2" w:rsidRPr="00F45F40" w:rsidSect="00995DC2">
          <w:pgSz w:w="11907" w:h="16840" w:code="9"/>
          <w:pgMar w:top="1418" w:right="1134" w:bottom="1134" w:left="1134" w:header="907" w:footer="794" w:gutter="0"/>
          <w:cols w:num="2" w:space="708"/>
          <w:docGrid w:linePitch="381"/>
        </w:sectPr>
      </w:pPr>
    </w:p>
    <w:p w14:paraId="3A8D146C" w14:textId="2F098BA4" w:rsidR="00B71C19" w:rsidRPr="00B71C19" w:rsidRDefault="00B71C19" w:rsidP="00B71C19">
      <w:pPr>
        <w:spacing w:line="276" w:lineRule="auto"/>
        <w:jc w:val="both"/>
        <w:rPr>
          <w:rFonts w:cs="Times New Roman"/>
          <w:sz w:val="24"/>
          <w:szCs w:val="24"/>
          <w:lang w:val="uz-Latn-UZ"/>
        </w:rPr>
      </w:pPr>
      <w:r w:rsidRPr="00B71C19">
        <w:rPr>
          <w:rFonts w:cs="Times New Roman"/>
          <w:sz w:val="24"/>
          <w:szCs w:val="24"/>
          <w:lang w:val="uz-Latn-UZ"/>
        </w:rPr>
        <w:t xml:space="preserve">UDC: УДК:613.2:613.27-053.4 </w:t>
      </w:r>
    </w:p>
    <w:p w14:paraId="51553B04" w14:textId="303DCD61" w:rsidR="00B71C19" w:rsidRPr="00B71C19" w:rsidRDefault="00B71C19" w:rsidP="00752EAA">
      <w:pPr>
        <w:pStyle w:val="1"/>
      </w:pPr>
      <w:bookmarkStart w:id="24" w:name="_Toc104745743"/>
      <w:r w:rsidRPr="00B71C19">
        <w:lastRenderedPageBreak/>
        <w:t>HYGIENIC ASPECTS OF NUTRITION MICRONUTRIENTS DEFICIENCY IN PRESCHOOL CHILDREN</w:t>
      </w:r>
      <w:bookmarkEnd w:id="24"/>
    </w:p>
    <w:p w14:paraId="4DC5F9BF" w14:textId="77777777" w:rsidR="00B71C19" w:rsidRPr="00B71C19" w:rsidRDefault="00B71C19" w:rsidP="00B71C19">
      <w:pPr>
        <w:spacing w:line="276" w:lineRule="auto"/>
        <w:ind w:firstLine="567"/>
        <w:jc w:val="both"/>
        <w:rPr>
          <w:rFonts w:cs="Times New Roman"/>
          <w:sz w:val="24"/>
          <w:szCs w:val="24"/>
          <w:lang w:val="uz-Latn-UZ"/>
        </w:rPr>
      </w:pPr>
    </w:p>
    <w:p w14:paraId="514DAA99" w14:textId="1A83FB83" w:rsidR="00B71C19" w:rsidRPr="00B71C19" w:rsidRDefault="00B71C19" w:rsidP="00B71C19">
      <w:pPr>
        <w:spacing w:line="276" w:lineRule="auto"/>
        <w:jc w:val="center"/>
        <w:rPr>
          <w:rFonts w:cs="Times New Roman"/>
          <w:b/>
          <w:bCs/>
          <w:sz w:val="24"/>
          <w:szCs w:val="24"/>
          <w:lang w:val="uz-Latn-UZ"/>
        </w:rPr>
      </w:pPr>
      <w:r w:rsidRPr="00B71C19">
        <w:rPr>
          <w:rFonts w:cs="Times New Roman"/>
          <w:b/>
          <w:bCs/>
          <w:sz w:val="24"/>
          <w:szCs w:val="24"/>
          <w:lang w:val="uz-Latn-UZ"/>
        </w:rPr>
        <w:t>Karimov Khurshid, student</w:t>
      </w:r>
    </w:p>
    <w:p w14:paraId="3C79928F" w14:textId="6D382EC3" w:rsidR="00B71C19" w:rsidRPr="00B71C19" w:rsidRDefault="00F44A75" w:rsidP="00B71C19">
      <w:pPr>
        <w:spacing w:line="276" w:lineRule="auto"/>
        <w:jc w:val="center"/>
        <w:rPr>
          <w:rFonts w:cs="Times New Roman"/>
          <w:b/>
          <w:bCs/>
          <w:sz w:val="24"/>
          <w:szCs w:val="24"/>
          <w:lang w:val="uz-Latn-UZ"/>
        </w:rPr>
      </w:pPr>
      <w:r w:rsidRPr="00B71C19">
        <w:rPr>
          <w:rFonts w:cs="Times New Roman"/>
          <w:b/>
          <w:bCs/>
          <w:sz w:val="24"/>
          <w:szCs w:val="24"/>
          <w:lang w:val="uz-Latn-UZ"/>
        </w:rPr>
        <w:t xml:space="preserve">Ermatov </w:t>
      </w:r>
      <w:r w:rsidR="00B71C19" w:rsidRPr="00B71C19">
        <w:rPr>
          <w:rFonts w:cs="Times New Roman"/>
          <w:b/>
          <w:bCs/>
          <w:sz w:val="24"/>
          <w:szCs w:val="24"/>
          <w:lang w:val="uz-Latn-UZ"/>
        </w:rPr>
        <w:t>Nizom, professor</w:t>
      </w:r>
    </w:p>
    <w:p w14:paraId="0AF7BBA8" w14:textId="3D2BFBD3" w:rsidR="00B71C19" w:rsidRPr="00B71C19" w:rsidRDefault="00B71C19" w:rsidP="00B71C19">
      <w:pPr>
        <w:spacing w:line="276" w:lineRule="auto"/>
        <w:jc w:val="center"/>
        <w:rPr>
          <w:rFonts w:cs="Times New Roman"/>
          <w:sz w:val="24"/>
          <w:szCs w:val="24"/>
          <w:lang w:val="uz-Latn-UZ"/>
        </w:rPr>
      </w:pPr>
      <w:r w:rsidRPr="00B71C19">
        <w:rPr>
          <w:rFonts w:cs="Times New Roman"/>
          <w:sz w:val="24"/>
          <w:szCs w:val="24"/>
          <w:lang w:val="uz-Latn-UZ"/>
        </w:rPr>
        <w:t>Tashkent medical academy, Tashkent, Uzbekistan</w:t>
      </w:r>
    </w:p>
    <w:p w14:paraId="473BF995" w14:textId="77777777" w:rsidR="00B71C19" w:rsidRDefault="00B71C19" w:rsidP="00B71C19">
      <w:pPr>
        <w:spacing w:line="276" w:lineRule="auto"/>
        <w:ind w:firstLine="567"/>
        <w:jc w:val="both"/>
        <w:rPr>
          <w:rFonts w:cs="Times New Roman"/>
          <w:sz w:val="24"/>
          <w:szCs w:val="24"/>
          <w:lang w:val="uz-Latn-UZ"/>
        </w:rPr>
      </w:pPr>
    </w:p>
    <w:p w14:paraId="3F0AE070" w14:textId="0F15827F" w:rsidR="00B71C19" w:rsidRPr="00B71C19" w:rsidRDefault="00B71C19" w:rsidP="00B71C19">
      <w:pPr>
        <w:spacing w:line="276" w:lineRule="auto"/>
        <w:jc w:val="center"/>
        <w:rPr>
          <w:rFonts w:cs="Times New Roman"/>
          <w:b/>
          <w:bCs/>
          <w:sz w:val="24"/>
          <w:szCs w:val="24"/>
          <w:lang w:val="uz-Latn-UZ"/>
        </w:rPr>
      </w:pPr>
      <w:r w:rsidRPr="00B71C19">
        <w:rPr>
          <w:rFonts w:cs="Times New Roman"/>
          <w:b/>
          <w:bCs/>
          <w:sz w:val="24"/>
          <w:szCs w:val="24"/>
          <w:lang w:val="uz-Latn-UZ"/>
        </w:rPr>
        <w:t>Munojatkhon Akhmadxojdaeva, assistant</w:t>
      </w:r>
    </w:p>
    <w:p w14:paraId="0EBF5628" w14:textId="7F88A492" w:rsidR="00B71C19" w:rsidRPr="00B71C19" w:rsidRDefault="00B71C19" w:rsidP="00B71C19">
      <w:pPr>
        <w:spacing w:line="276" w:lineRule="auto"/>
        <w:jc w:val="center"/>
        <w:rPr>
          <w:rFonts w:cs="Times New Roman"/>
          <w:sz w:val="24"/>
          <w:szCs w:val="24"/>
          <w:lang w:val="uz-Latn-UZ"/>
        </w:rPr>
      </w:pPr>
      <w:r w:rsidRPr="00B71C19">
        <w:rPr>
          <w:rFonts w:cs="Times New Roman"/>
          <w:sz w:val="24"/>
          <w:szCs w:val="24"/>
          <w:lang w:val="uz-Latn-UZ"/>
        </w:rPr>
        <w:t>Andijan state medical institute</w:t>
      </w:r>
      <w:r>
        <w:rPr>
          <w:rFonts w:cs="Times New Roman"/>
          <w:sz w:val="24"/>
          <w:szCs w:val="24"/>
          <w:lang w:val="uz-Latn-UZ"/>
        </w:rPr>
        <w:t xml:space="preserve">, </w:t>
      </w:r>
      <w:r w:rsidRPr="00B71C19">
        <w:rPr>
          <w:rFonts w:cs="Times New Roman"/>
          <w:sz w:val="24"/>
          <w:szCs w:val="24"/>
          <w:lang w:val="uz-Latn-UZ"/>
        </w:rPr>
        <w:t>Tashkent, Uzbekistan</w:t>
      </w:r>
    </w:p>
    <w:p w14:paraId="5D5901EA" w14:textId="77777777" w:rsidR="00B71C19" w:rsidRPr="00B71C19" w:rsidRDefault="00B71C19" w:rsidP="00B71C19">
      <w:pPr>
        <w:spacing w:line="276" w:lineRule="auto"/>
        <w:ind w:firstLine="567"/>
        <w:jc w:val="both"/>
        <w:rPr>
          <w:rFonts w:cs="Times New Roman"/>
          <w:sz w:val="24"/>
          <w:szCs w:val="24"/>
          <w:lang w:val="uz-Latn-UZ"/>
        </w:rPr>
      </w:pPr>
    </w:p>
    <w:p w14:paraId="59155450" w14:textId="01D43D43" w:rsidR="00B71C19" w:rsidRPr="00B71C19" w:rsidRDefault="00B71C19" w:rsidP="00B71C19">
      <w:pPr>
        <w:spacing w:line="276" w:lineRule="auto"/>
        <w:ind w:firstLine="567"/>
        <w:jc w:val="both"/>
        <w:rPr>
          <w:rFonts w:cs="Times New Roman"/>
          <w:i/>
          <w:iCs/>
          <w:sz w:val="24"/>
          <w:szCs w:val="24"/>
          <w:lang w:val="uz-Latn-UZ"/>
        </w:rPr>
      </w:pPr>
      <w:r w:rsidRPr="00B71C19">
        <w:rPr>
          <w:rFonts w:cs="Times New Roman"/>
          <w:b/>
          <w:bCs/>
          <w:i/>
          <w:iCs/>
          <w:sz w:val="24"/>
          <w:szCs w:val="24"/>
          <w:lang w:val="uz-Latn-UZ"/>
        </w:rPr>
        <w:t>Abstract</w:t>
      </w:r>
      <w:r w:rsidRPr="00B71C19">
        <w:rPr>
          <w:rFonts w:cs="Times New Roman"/>
          <w:i/>
          <w:iCs/>
          <w:sz w:val="24"/>
          <w:szCs w:val="24"/>
        </w:rPr>
        <w:t xml:space="preserve">. </w:t>
      </w:r>
      <w:r w:rsidRPr="00B71C19">
        <w:rPr>
          <w:rFonts w:cs="Times New Roman"/>
          <w:i/>
          <w:iCs/>
          <w:sz w:val="24"/>
          <w:szCs w:val="24"/>
          <w:lang w:val="uz-Latn-UZ"/>
        </w:rPr>
        <w:t>This article examines the nutritional status of pre-school age children and the changes that occur as a result of micronutrient deficiencies, cited in scientific sources in the last year, repeated in local and foreign articles published in various systems. The analysis of the results shows that the changes in the diet and quality of food among preschool children, their protein, fat, carbohydrates, minerals and vitamins, not only the nutrition of the growing organism, but also the nutritional status of the daily diet. . The dependence of the state of health, morbidity, and performance of preschool children on the quantity and quality of macro and micronutrients in the daily diet has been revealed through scientific sources.</w:t>
      </w:r>
    </w:p>
    <w:p w14:paraId="22505C1A" w14:textId="77777777" w:rsidR="00B71C19" w:rsidRPr="00B71C19" w:rsidRDefault="00B71C19" w:rsidP="00B71C19">
      <w:pPr>
        <w:spacing w:line="276" w:lineRule="auto"/>
        <w:ind w:firstLine="567"/>
        <w:jc w:val="both"/>
        <w:rPr>
          <w:rFonts w:cs="Times New Roman"/>
          <w:i/>
          <w:iCs/>
          <w:sz w:val="24"/>
          <w:szCs w:val="24"/>
          <w:lang w:val="uz-Latn-UZ"/>
        </w:rPr>
      </w:pPr>
      <w:r w:rsidRPr="00B71C19">
        <w:rPr>
          <w:rFonts w:cs="Times New Roman"/>
          <w:b/>
          <w:bCs/>
          <w:i/>
          <w:iCs/>
          <w:sz w:val="24"/>
          <w:szCs w:val="24"/>
          <w:lang w:val="uz-Latn-UZ"/>
        </w:rPr>
        <w:t>Keywords.</w:t>
      </w:r>
      <w:r w:rsidRPr="00B71C19">
        <w:rPr>
          <w:rFonts w:cs="Times New Roman"/>
          <w:i/>
          <w:iCs/>
          <w:sz w:val="24"/>
          <w:szCs w:val="24"/>
          <w:lang w:val="uz-Latn-UZ"/>
        </w:rPr>
        <w:t xml:space="preserve"> Preschool age, diet, health status, macro and micronutrients in food.</w:t>
      </w:r>
    </w:p>
    <w:p w14:paraId="7FEA1F84" w14:textId="77777777" w:rsidR="00B71C19" w:rsidRPr="00B71C19" w:rsidRDefault="00B71C19" w:rsidP="00B71C19">
      <w:pPr>
        <w:spacing w:line="276" w:lineRule="auto"/>
        <w:ind w:firstLine="567"/>
        <w:jc w:val="both"/>
        <w:rPr>
          <w:rFonts w:cs="Times New Roman"/>
          <w:sz w:val="24"/>
          <w:szCs w:val="24"/>
          <w:lang w:val="uz-Latn-UZ"/>
        </w:rPr>
      </w:pPr>
    </w:p>
    <w:p w14:paraId="14FAC40C" w14:textId="77777777" w:rsidR="00B71C19" w:rsidRDefault="00B71C19" w:rsidP="00B71C19">
      <w:pPr>
        <w:spacing w:line="276" w:lineRule="auto"/>
        <w:ind w:firstLine="567"/>
        <w:jc w:val="both"/>
        <w:rPr>
          <w:rFonts w:cs="Times New Roman"/>
          <w:sz w:val="24"/>
          <w:szCs w:val="24"/>
          <w:lang w:val="uz-Latn-UZ"/>
        </w:rPr>
        <w:sectPr w:rsidR="00B71C19" w:rsidSect="00995DC2">
          <w:type w:val="continuous"/>
          <w:pgSz w:w="11907" w:h="16840" w:code="9"/>
          <w:pgMar w:top="1418" w:right="1134" w:bottom="1134" w:left="1134" w:header="907" w:footer="794" w:gutter="0"/>
          <w:cols w:space="708"/>
          <w:docGrid w:linePitch="381"/>
        </w:sectPr>
      </w:pPr>
    </w:p>
    <w:p w14:paraId="30CA7760" w14:textId="0CD5E0E0"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The hormonal development of preschool children do not depends on the level of con</w:t>
      </w:r>
      <w:r>
        <w:rPr>
          <w:rFonts w:cs="Times New Roman"/>
          <w:sz w:val="24"/>
          <w:szCs w:val="24"/>
        </w:rPr>
        <w:softHyphen/>
      </w:r>
      <w:r w:rsidRPr="00B71C19">
        <w:rPr>
          <w:rFonts w:cs="Times New Roman"/>
          <w:sz w:val="24"/>
          <w:szCs w:val="24"/>
        </w:rPr>
        <w:t>sumption of micro and macronutrients in the diet in the development of various diseases that develop among them. Analysis of the literature shows that in all developed countries of the world, as well as in the USA, the Netherlands. Among children living in China, Russia, Ko</w:t>
      </w:r>
      <w:r>
        <w:rPr>
          <w:rFonts w:cs="Times New Roman"/>
          <w:sz w:val="24"/>
          <w:szCs w:val="24"/>
        </w:rPr>
        <w:softHyphen/>
      </w:r>
      <w:r w:rsidRPr="00B71C19">
        <w:rPr>
          <w:rFonts w:cs="Times New Roman"/>
          <w:sz w:val="24"/>
          <w:szCs w:val="24"/>
        </w:rPr>
        <w:t>rea, Kazakhstan and other Commonwealth of Independent States (CIS), the incidence of not only iodine and iron deficiency, but also a number of mineral and vitamin deficiencies is increasing [8, 9, 49, 57, 66,  67, 69, 70].</w:t>
      </w:r>
    </w:p>
    <w:p w14:paraId="6252673A" w14:textId="5626FCBD"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Today, not only in developed countries, but also in a number of developed countries, including the United States, Canada, New Zea</w:t>
      </w:r>
      <w:r>
        <w:rPr>
          <w:rFonts w:cs="Times New Roman"/>
          <w:sz w:val="24"/>
          <w:szCs w:val="24"/>
        </w:rPr>
        <w:softHyphen/>
      </w:r>
      <w:r w:rsidRPr="00B71C19">
        <w:rPr>
          <w:rFonts w:cs="Times New Roman"/>
          <w:sz w:val="24"/>
          <w:szCs w:val="24"/>
        </w:rPr>
        <w:t>land, China, Japan, Brazil, New Zealand, Rus</w:t>
      </w:r>
      <w:r>
        <w:rPr>
          <w:rFonts w:cs="Times New Roman"/>
          <w:sz w:val="24"/>
          <w:szCs w:val="24"/>
        </w:rPr>
        <w:softHyphen/>
      </w:r>
      <w:r w:rsidRPr="00B71C19">
        <w:rPr>
          <w:rFonts w:cs="Times New Roman"/>
          <w:sz w:val="24"/>
          <w:szCs w:val="24"/>
        </w:rPr>
        <w:t>sia and other Central Asian countries, the use of fas-fut products among children magne</w:t>
      </w:r>
      <w:r>
        <w:rPr>
          <w:rFonts w:cs="Times New Roman"/>
          <w:sz w:val="24"/>
          <w:szCs w:val="24"/>
        </w:rPr>
        <w:softHyphen/>
      </w:r>
      <w:r w:rsidRPr="00B71C19">
        <w:rPr>
          <w:rFonts w:cs="Times New Roman"/>
          <w:sz w:val="24"/>
          <w:szCs w:val="24"/>
        </w:rPr>
        <w:t>sium, zinc, vitamin deficiencies in the preven</w:t>
      </w:r>
      <w:r>
        <w:rPr>
          <w:rFonts w:cs="Times New Roman"/>
          <w:sz w:val="24"/>
          <w:szCs w:val="24"/>
        </w:rPr>
        <w:softHyphen/>
      </w:r>
      <w:r w:rsidRPr="00B71C19">
        <w:rPr>
          <w:rFonts w:cs="Times New Roman"/>
          <w:sz w:val="24"/>
          <w:szCs w:val="24"/>
        </w:rPr>
        <w:t xml:space="preserve">tion of eating disorders, the organization of prophylactic and dietary diets, overweight, obesity, iodine deficiency disorders and the creation of conditions for their development </w:t>
      </w:r>
      <w:r w:rsidRPr="00B71C19">
        <w:rPr>
          <w:rFonts w:cs="Times New Roman"/>
          <w:sz w:val="24"/>
          <w:szCs w:val="24"/>
        </w:rPr>
        <w:t>are repeated in the work of a number of authors [23, 51, 60, 64, 65, 66, 72].</w:t>
      </w:r>
    </w:p>
    <w:p w14:paraId="0E4F159B" w14:textId="75662BBE"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The human body does not produce min</w:t>
      </w:r>
      <w:r>
        <w:rPr>
          <w:rFonts w:cs="Times New Roman"/>
          <w:sz w:val="24"/>
          <w:szCs w:val="24"/>
        </w:rPr>
        <w:softHyphen/>
      </w:r>
      <w:r w:rsidRPr="00B71C19">
        <w:rPr>
          <w:rFonts w:cs="Times New Roman"/>
          <w:sz w:val="24"/>
          <w:szCs w:val="24"/>
        </w:rPr>
        <w:t>erals, its presence depends only on the compo</w:t>
      </w:r>
      <w:r>
        <w:rPr>
          <w:rFonts w:cs="Times New Roman"/>
          <w:sz w:val="24"/>
          <w:szCs w:val="24"/>
        </w:rPr>
        <w:softHyphen/>
      </w:r>
      <w:r w:rsidRPr="00B71C19">
        <w:rPr>
          <w:rFonts w:cs="Times New Roman"/>
          <w:sz w:val="24"/>
          <w:szCs w:val="24"/>
        </w:rPr>
        <w:t>sition of the food and diet consumed. Only 20% -40% of the minerals in food are absorbed by the human body [15, 23].</w:t>
      </w:r>
    </w:p>
    <w:p w14:paraId="0AFCA69D" w14:textId="76C5D3F2"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Calcium is involved in important meta</w:t>
      </w:r>
      <w:r>
        <w:rPr>
          <w:rFonts w:cs="Times New Roman"/>
          <w:sz w:val="24"/>
          <w:szCs w:val="24"/>
        </w:rPr>
        <w:softHyphen/>
      </w:r>
      <w:r w:rsidRPr="00B71C19">
        <w:rPr>
          <w:rFonts w:cs="Times New Roman"/>
          <w:sz w:val="24"/>
          <w:szCs w:val="24"/>
        </w:rPr>
        <w:t>bolic processes in the body (glycogenolysis, gluconeogenesis, lipolysis, etc.), is directly in</w:t>
      </w:r>
      <w:r>
        <w:rPr>
          <w:rFonts w:cs="Times New Roman"/>
          <w:sz w:val="24"/>
          <w:szCs w:val="24"/>
        </w:rPr>
        <w:softHyphen/>
      </w:r>
      <w:r w:rsidRPr="00B71C19">
        <w:rPr>
          <w:rFonts w:cs="Times New Roman"/>
          <w:sz w:val="24"/>
          <w:szCs w:val="24"/>
        </w:rPr>
        <w:t>volved in many functions [6, 28, 34, 45, 46, 56].</w:t>
      </w:r>
    </w:p>
    <w:p w14:paraId="19909D92" w14:textId="77777777"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Calcium is one of the essential minerals required for optimal health of teeth and bones and is especially important during the intensity of the growth process in children [56, 58, 76].</w:t>
      </w:r>
    </w:p>
    <w:p w14:paraId="5BF996EB" w14:textId="740B6294"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Calcium plays an important practical role in many activities of the body, such as stimulation of hormone release, participation in muscle contraction, conduction of nerve im</w:t>
      </w:r>
      <w:r>
        <w:rPr>
          <w:rFonts w:cs="Times New Roman"/>
          <w:sz w:val="24"/>
          <w:szCs w:val="24"/>
        </w:rPr>
        <w:softHyphen/>
      </w:r>
      <w:r w:rsidRPr="00B71C19">
        <w:rPr>
          <w:rFonts w:cs="Times New Roman"/>
          <w:sz w:val="24"/>
          <w:szCs w:val="24"/>
        </w:rPr>
        <w:t>pulses, activity of the immune system in men</w:t>
      </w:r>
      <w:r>
        <w:rPr>
          <w:rFonts w:cs="Times New Roman"/>
          <w:sz w:val="24"/>
          <w:szCs w:val="24"/>
        </w:rPr>
        <w:softHyphen/>
      </w:r>
      <w:r w:rsidRPr="00B71C19">
        <w:rPr>
          <w:rFonts w:cs="Times New Roman"/>
          <w:sz w:val="24"/>
          <w:szCs w:val="24"/>
        </w:rPr>
        <w:t xml:space="preserve">tal work and education [40,41, 58, 56]. </w:t>
      </w:r>
    </w:p>
    <w:p w14:paraId="111FAE02" w14:textId="211859FA"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In the study of the average daily con</w:t>
      </w:r>
      <w:r>
        <w:rPr>
          <w:rFonts w:cs="Times New Roman"/>
          <w:sz w:val="24"/>
          <w:szCs w:val="24"/>
        </w:rPr>
        <w:softHyphen/>
      </w:r>
      <w:r w:rsidRPr="00B71C19">
        <w:rPr>
          <w:rFonts w:cs="Times New Roman"/>
          <w:sz w:val="24"/>
          <w:szCs w:val="24"/>
        </w:rPr>
        <w:t>sumption of food for children in the middle and older age groups of children in CIS, an imbal</w:t>
      </w:r>
      <w:r>
        <w:rPr>
          <w:rFonts w:cs="Times New Roman"/>
          <w:sz w:val="24"/>
          <w:szCs w:val="24"/>
        </w:rPr>
        <w:softHyphen/>
      </w:r>
      <w:r w:rsidRPr="00B71C19">
        <w:rPr>
          <w:rFonts w:cs="Times New Roman"/>
          <w:sz w:val="24"/>
          <w:szCs w:val="24"/>
        </w:rPr>
        <w:lastRenderedPageBreak/>
        <w:t>ance was observed, which was clearly mani</w:t>
      </w:r>
      <w:r>
        <w:rPr>
          <w:rFonts w:cs="Times New Roman"/>
          <w:sz w:val="24"/>
          <w:szCs w:val="24"/>
        </w:rPr>
        <w:softHyphen/>
      </w:r>
      <w:r w:rsidRPr="00B71C19">
        <w:rPr>
          <w:rFonts w:cs="Times New Roman"/>
          <w:sz w:val="24"/>
          <w:szCs w:val="24"/>
        </w:rPr>
        <w:t>fested in individual products. In these children, orthopedic and dental pathologies were found to be 44-54% and the prevalence of caries was 28-33% when dispensaries were performed us</w:t>
      </w:r>
      <w:r>
        <w:rPr>
          <w:rFonts w:cs="Times New Roman"/>
          <w:sz w:val="24"/>
          <w:szCs w:val="24"/>
        </w:rPr>
        <w:softHyphen/>
      </w:r>
      <w:r w:rsidRPr="00B71C19">
        <w:rPr>
          <w:rFonts w:cs="Times New Roman"/>
          <w:sz w:val="24"/>
          <w:szCs w:val="24"/>
        </w:rPr>
        <w:t>ing an additional dental and orthopedic auto</w:t>
      </w:r>
      <w:r>
        <w:rPr>
          <w:rFonts w:cs="Times New Roman"/>
          <w:sz w:val="24"/>
          <w:szCs w:val="24"/>
        </w:rPr>
        <w:softHyphen/>
      </w:r>
      <w:r w:rsidRPr="00B71C19">
        <w:rPr>
          <w:rFonts w:cs="Times New Roman"/>
          <w:sz w:val="24"/>
          <w:szCs w:val="24"/>
        </w:rPr>
        <w:t>mated DNA complex. Calcium is involved in important metabolic processes in the body (glycogenolysis, gluconeogenesis, lipolysis, etc.), is directly involved in many activities [37,55,59].</w:t>
      </w:r>
    </w:p>
    <w:p w14:paraId="07634724" w14:textId="0D6AB2ED"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Thus, ensuring adequate demand for cal</w:t>
      </w:r>
      <w:r>
        <w:rPr>
          <w:rFonts w:cs="Times New Roman"/>
          <w:sz w:val="24"/>
          <w:szCs w:val="24"/>
        </w:rPr>
        <w:softHyphen/>
      </w:r>
      <w:r w:rsidRPr="00B71C19">
        <w:rPr>
          <w:rFonts w:cs="Times New Roman"/>
          <w:sz w:val="24"/>
          <w:szCs w:val="24"/>
        </w:rPr>
        <w:t>cium leads to growth, prevention of osteoporo</w:t>
      </w:r>
      <w:r>
        <w:rPr>
          <w:rFonts w:cs="Times New Roman"/>
          <w:sz w:val="24"/>
          <w:szCs w:val="24"/>
        </w:rPr>
        <w:softHyphen/>
      </w:r>
      <w:r w:rsidRPr="00B71C19">
        <w:rPr>
          <w:rFonts w:cs="Times New Roman"/>
          <w:sz w:val="24"/>
          <w:szCs w:val="24"/>
        </w:rPr>
        <w:t>sis and osteopenia, as well as minimization of consequences in protection against bone frac</w:t>
      </w:r>
      <w:r>
        <w:rPr>
          <w:rFonts w:cs="Times New Roman"/>
          <w:sz w:val="24"/>
          <w:szCs w:val="24"/>
        </w:rPr>
        <w:softHyphen/>
      </w:r>
      <w:r w:rsidRPr="00B71C19">
        <w:rPr>
          <w:rFonts w:cs="Times New Roman"/>
          <w:sz w:val="24"/>
          <w:szCs w:val="24"/>
        </w:rPr>
        <w:t>tures [61, 68, 76].</w:t>
      </w:r>
    </w:p>
    <w:p w14:paraId="06ACDD57" w14:textId="0CC63AB9"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Some studies have shown that moderate calcium intake is important in the prevention of diseases such as obesity, hypertension, kid</w:t>
      </w:r>
      <w:r>
        <w:rPr>
          <w:rFonts w:cs="Times New Roman"/>
          <w:sz w:val="24"/>
          <w:szCs w:val="24"/>
        </w:rPr>
        <w:softHyphen/>
      </w:r>
      <w:r w:rsidRPr="00B71C19">
        <w:rPr>
          <w:rFonts w:cs="Times New Roman"/>
          <w:sz w:val="24"/>
          <w:szCs w:val="24"/>
        </w:rPr>
        <w:t>ney stones, insulin resistance, and malignant tumors of the colon [61, 68, 76].</w:t>
      </w:r>
    </w:p>
    <w:p w14:paraId="30B3FAFE" w14:textId="24458659"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Biological uptake of calcium leads to the formation of lactose, vitamin D, fats, proteins, vitamin C and acidic environment [61]. Con</w:t>
      </w:r>
      <w:r>
        <w:rPr>
          <w:rFonts w:cs="Times New Roman"/>
          <w:sz w:val="24"/>
          <w:szCs w:val="24"/>
        </w:rPr>
        <w:softHyphen/>
      </w:r>
      <w:r w:rsidRPr="00B71C19">
        <w:rPr>
          <w:rFonts w:cs="Times New Roman"/>
          <w:sz w:val="24"/>
          <w:szCs w:val="24"/>
        </w:rPr>
        <w:t>versely, a decrease in its biological degradation is associated with the amount of oats and phytic acid [61].</w:t>
      </w:r>
    </w:p>
    <w:p w14:paraId="03B0B872" w14:textId="6B1A57AF"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Thus, proper intake of calcium and other nutrients will be essential for healthy growth. One of the most important nutritional risks in childhood is the condition of irregular eating, in the occurrence of which three main links are important: the family, the media and pre</w:t>
      </w:r>
      <w:r>
        <w:rPr>
          <w:rFonts w:cs="Times New Roman"/>
          <w:sz w:val="24"/>
          <w:szCs w:val="24"/>
        </w:rPr>
        <w:softHyphen/>
      </w:r>
      <w:r w:rsidRPr="00B71C19">
        <w:rPr>
          <w:rFonts w:cs="Times New Roman"/>
          <w:sz w:val="24"/>
          <w:szCs w:val="24"/>
        </w:rPr>
        <w:t>schools, school [1,2,3,48]. Irregular eating habits lead to many negative situations [4,21, 40,41].</w:t>
      </w:r>
    </w:p>
    <w:p w14:paraId="2DA09C8C" w14:textId="38BCC38E"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Calcium-rich products (crabs, shrimp) are abundant in Vietnam and can be consumed by the entire population. However, the calcium problem was found to be inconsistent with the requirements proposed by the Vietnam Na</w:t>
      </w:r>
      <w:r>
        <w:rPr>
          <w:rFonts w:cs="Times New Roman"/>
          <w:sz w:val="24"/>
          <w:szCs w:val="24"/>
        </w:rPr>
        <w:softHyphen/>
      </w:r>
      <w:r w:rsidRPr="00B71C19">
        <w:rPr>
          <w:rFonts w:cs="Times New Roman"/>
          <w:sz w:val="24"/>
          <w:szCs w:val="24"/>
        </w:rPr>
        <w:t>tional Institute of Nutrition [14, 18,57]. Cal</w:t>
      </w:r>
      <w:r>
        <w:rPr>
          <w:rFonts w:cs="Times New Roman"/>
          <w:sz w:val="24"/>
          <w:szCs w:val="24"/>
        </w:rPr>
        <w:softHyphen/>
      </w:r>
      <w:r w:rsidRPr="00B71C19">
        <w:rPr>
          <w:rFonts w:cs="Times New Roman"/>
          <w:sz w:val="24"/>
          <w:szCs w:val="24"/>
        </w:rPr>
        <w:t xml:space="preserve">cium intake in adults was reported to be 524 mg/day per capita by 2000 [14,18,57], and by </w:t>
      </w:r>
      <w:r w:rsidRPr="00B71C19">
        <w:rPr>
          <w:rFonts w:cs="Times New Roman"/>
          <w:sz w:val="24"/>
          <w:szCs w:val="24"/>
        </w:rPr>
        <w:t>2010 it had fallen to 506 / day per capita [14,75].</w:t>
      </w:r>
    </w:p>
    <w:p w14:paraId="05A26401" w14:textId="530ED056"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xml:space="preserve">There is an increase in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ninga</w:t>
      </w:r>
      <w:r w:rsidRPr="00B71C19">
        <w:rPr>
          <w:rFonts w:cs="Times New Roman"/>
          <w:sz w:val="24"/>
          <w:szCs w:val="24"/>
        </w:rPr>
        <w:t xml:space="preserve"> and other diseases associated with vitamin D defi</w:t>
      </w:r>
      <w:r>
        <w:rPr>
          <w:rFonts w:cs="Times New Roman"/>
          <w:sz w:val="24"/>
          <w:szCs w:val="24"/>
        </w:rPr>
        <w:softHyphen/>
      </w:r>
      <w:r w:rsidRPr="00B71C19">
        <w:rPr>
          <w:rFonts w:cs="Times New Roman"/>
          <w:sz w:val="24"/>
          <w:szCs w:val="24"/>
        </w:rPr>
        <w:t>ciency, along with calcium and phosphorus mi</w:t>
      </w:r>
      <w:r>
        <w:rPr>
          <w:rFonts w:cs="Times New Roman"/>
          <w:sz w:val="24"/>
          <w:szCs w:val="24"/>
        </w:rPr>
        <w:softHyphen/>
      </w:r>
      <w:r w:rsidRPr="00B71C19">
        <w:rPr>
          <w:rFonts w:cs="Times New Roman"/>
          <w:sz w:val="24"/>
          <w:szCs w:val="24"/>
        </w:rPr>
        <w:t>cronutrients, which develop as a result of un</w:t>
      </w:r>
      <w:r>
        <w:rPr>
          <w:rFonts w:cs="Times New Roman"/>
          <w:sz w:val="24"/>
          <w:szCs w:val="24"/>
        </w:rPr>
        <w:softHyphen/>
      </w:r>
      <w:r w:rsidRPr="00B71C19">
        <w:rPr>
          <w:rFonts w:cs="Times New Roman"/>
          <w:sz w:val="24"/>
          <w:szCs w:val="24"/>
        </w:rPr>
        <w:t>derutilization of milk and dairy products in children</w:t>
      </w:r>
      <w:r w:rsidR="00F44A75">
        <w:rPr>
          <w:rFonts w:cs="Times New Roman"/>
          <w:sz w:val="24"/>
          <w:szCs w:val="24"/>
        </w:rPr>
        <w:t>’</w:t>
      </w:r>
      <w:r w:rsidRPr="00B71C19">
        <w:rPr>
          <w:rFonts w:cs="Times New Roman"/>
          <w:sz w:val="24"/>
          <w:szCs w:val="24"/>
        </w:rPr>
        <w:t>s daily diet, impaired absorption of this micronutrient in the body, lack of calcium-containing diet and therapeutic dairy products [44, 45,46, 47,50,54,55].</w:t>
      </w:r>
    </w:p>
    <w:p w14:paraId="41E3363B" w14:textId="2A2E4CBC"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Among the risk factors that are a priority in the formation of the health of various seg</w:t>
      </w:r>
      <w:r>
        <w:rPr>
          <w:rFonts w:cs="Times New Roman"/>
          <w:sz w:val="24"/>
          <w:szCs w:val="24"/>
        </w:rPr>
        <w:softHyphen/>
      </w:r>
      <w:r w:rsidRPr="00B71C19">
        <w:rPr>
          <w:rFonts w:cs="Times New Roman"/>
          <w:sz w:val="24"/>
          <w:szCs w:val="24"/>
        </w:rPr>
        <w:t>ments of the population, the leading role is fo</w:t>
      </w:r>
      <w:r>
        <w:rPr>
          <w:rFonts w:cs="Times New Roman"/>
          <w:sz w:val="24"/>
          <w:szCs w:val="24"/>
        </w:rPr>
        <w:softHyphen/>
      </w:r>
      <w:r w:rsidRPr="00B71C19">
        <w:rPr>
          <w:rFonts w:cs="Times New Roman"/>
          <w:sz w:val="24"/>
          <w:szCs w:val="24"/>
        </w:rPr>
        <w:t>cused on the organization of healthy eating. It is now widely acknowledged that 30-50% of the population living in the U.S. and Europe suffers from vitamin D deficiency [44, 52, 53, 55,61]. Population studies have shown a high prevalence of vitamin D hypovitaminosis among the pediatric population. 61% of chil</w:t>
      </w:r>
      <w:r>
        <w:rPr>
          <w:rFonts w:cs="Times New Roman"/>
          <w:sz w:val="24"/>
          <w:szCs w:val="24"/>
        </w:rPr>
        <w:softHyphen/>
      </w:r>
      <w:r w:rsidRPr="00B71C19">
        <w:rPr>
          <w:rFonts w:cs="Times New Roman"/>
          <w:sz w:val="24"/>
          <w:szCs w:val="24"/>
        </w:rPr>
        <w:t>dren living in the U.S. had 25 (ON) D levels of 15–29 ng / ml and 9% less, 15 ng / mg D [30, 31,32, 44, 53, 62].</w:t>
      </w:r>
    </w:p>
    <w:p w14:paraId="44A4544B" w14:textId="1AC2FAA6"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According to the results of epidemiolog</w:t>
      </w:r>
      <w:r>
        <w:rPr>
          <w:rFonts w:cs="Times New Roman"/>
          <w:sz w:val="24"/>
          <w:szCs w:val="24"/>
        </w:rPr>
        <w:softHyphen/>
      </w:r>
      <w:r w:rsidRPr="00B71C19">
        <w:rPr>
          <w:rFonts w:cs="Times New Roman"/>
          <w:sz w:val="24"/>
          <w:szCs w:val="24"/>
        </w:rPr>
        <w:t xml:space="preserve">ical research, vitamin D deficiency and low amounts are also common among the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Pr>
          <w:rFonts w:cs="Times New Roman"/>
          <w:sz w:val="24"/>
          <w:szCs w:val="24"/>
        </w:rPr>
        <w:softHyphen/>
      </w:r>
      <w:r w:rsidRPr="00B71C19">
        <w:rPr>
          <w:rFonts w:cs="Times New Roman"/>
          <w:sz w:val="24"/>
          <w:szCs w:val="24"/>
        </w:rPr>
        <w:t>tion of a country such as Brazil where there is sufficient solar insulation. Deficiency of vita</w:t>
      </w:r>
      <w:r>
        <w:rPr>
          <w:rFonts w:cs="Times New Roman"/>
          <w:sz w:val="24"/>
          <w:szCs w:val="24"/>
        </w:rPr>
        <w:softHyphen/>
      </w:r>
      <w:r w:rsidRPr="00B71C19">
        <w:rPr>
          <w:rFonts w:cs="Times New Roman"/>
          <w:sz w:val="24"/>
          <w:szCs w:val="24"/>
        </w:rPr>
        <w:t>min D less than 20 ng / ml was detected in 14% of children under 10 years of age residing in the state of Brazil and in 24% of adolescents [3,39,40,41,71].</w:t>
      </w:r>
    </w:p>
    <w:p w14:paraId="6F42996F" w14:textId="1512F5EF"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Assessment of vitamin D status in the United Arab Emirates was performed on 183 children in 4 age groups of children. High lev</w:t>
      </w:r>
      <w:r>
        <w:rPr>
          <w:rFonts w:cs="Times New Roman"/>
          <w:sz w:val="24"/>
          <w:szCs w:val="24"/>
        </w:rPr>
        <w:softHyphen/>
      </w:r>
      <w:r w:rsidRPr="00B71C19">
        <w:rPr>
          <w:rFonts w:cs="Times New Roman"/>
          <w:sz w:val="24"/>
          <w:szCs w:val="24"/>
        </w:rPr>
        <w:t>els of vitamin D deficiency have been reported to be higher among children aged 8–14 years than among children aged 2–7 years. This sit</w:t>
      </w:r>
      <w:r>
        <w:rPr>
          <w:rFonts w:cs="Times New Roman"/>
          <w:sz w:val="24"/>
          <w:szCs w:val="24"/>
        </w:rPr>
        <w:softHyphen/>
      </w:r>
      <w:r w:rsidRPr="00B71C19">
        <w:rPr>
          <w:rFonts w:cs="Times New Roman"/>
          <w:sz w:val="24"/>
          <w:szCs w:val="24"/>
        </w:rPr>
        <w:t>uation is exacerbated by the fact that this age group is not always taken into account when calculating the need for vitamin D [39, 40,41, 63, 64,65].</w:t>
      </w:r>
    </w:p>
    <w:p w14:paraId="69052F82" w14:textId="0E83EE4A"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xml:space="preserve">In addition, the contribution of vitamin D in the growth and development of the human </w:t>
      </w:r>
      <w:r w:rsidRPr="00B71C19">
        <w:rPr>
          <w:rFonts w:cs="Times New Roman"/>
          <w:sz w:val="24"/>
          <w:szCs w:val="24"/>
        </w:rPr>
        <w:lastRenderedPageBreak/>
        <w:t>skeleton, combined with the composition of various foods, is of great importance. Calcium, a key component of bone tissue, leads to an in</w:t>
      </w:r>
      <w:r>
        <w:rPr>
          <w:rFonts w:cs="Times New Roman"/>
          <w:sz w:val="24"/>
          <w:szCs w:val="24"/>
        </w:rPr>
        <w:softHyphen/>
      </w:r>
      <w:r w:rsidRPr="00B71C19">
        <w:rPr>
          <w:rFonts w:cs="Times New Roman"/>
          <w:sz w:val="24"/>
          <w:szCs w:val="24"/>
        </w:rPr>
        <w:t>crease in the mineral density of bone tissue. Adequate intake of calcium throughout life can prevent the development of rickets in children and osteoporosis in adults. Vitamin D defi</w:t>
      </w:r>
      <w:r>
        <w:rPr>
          <w:rFonts w:cs="Times New Roman"/>
          <w:sz w:val="24"/>
          <w:szCs w:val="24"/>
        </w:rPr>
        <w:softHyphen/>
      </w:r>
      <w:r w:rsidRPr="00B71C19">
        <w:rPr>
          <w:rFonts w:cs="Times New Roman"/>
          <w:sz w:val="24"/>
          <w:szCs w:val="24"/>
        </w:rPr>
        <w:t>ciency is also a new problem for Vietnam, which has enough sunlight [1,3,38, 39,52,73,74].</w:t>
      </w:r>
    </w:p>
    <w:p w14:paraId="06FC758E" w14:textId="4025754F"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Problems in the organization of nutrition of preschool children In all regions of Russia, when quantitative assessment of the composi</w:t>
      </w:r>
      <w:r>
        <w:rPr>
          <w:rFonts w:cs="Times New Roman"/>
          <w:sz w:val="24"/>
          <w:szCs w:val="24"/>
        </w:rPr>
        <w:softHyphen/>
      </w:r>
      <w:r w:rsidRPr="00B71C19">
        <w:rPr>
          <w:rFonts w:cs="Times New Roman"/>
          <w:sz w:val="24"/>
          <w:szCs w:val="24"/>
        </w:rPr>
        <w:t>tion of individual foods in MTTs, the average shortage of meat, fish, cottage cheese, sour cream and butter was 23.2%, 20.4%, 16.8%, 30%. and showed results of 6.4%, respectively, with an increase in the amount of bread made from wheat flour in the diet (average 2.7%) and cereals, legumes and pasta (21.6%); deficien</w:t>
      </w:r>
      <w:r>
        <w:rPr>
          <w:rFonts w:cs="Times New Roman"/>
          <w:sz w:val="24"/>
          <w:szCs w:val="24"/>
        </w:rPr>
        <w:softHyphen/>
      </w:r>
      <w:r w:rsidRPr="00B71C19">
        <w:rPr>
          <w:rFonts w:cs="Times New Roman"/>
          <w:sz w:val="24"/>
          <w:szCs w:val="24"/>
        </w:rPr>
        <w:t>cies in potatoes, vegetables, and fresh fruits were identified [3,20,25,26,73,74]. Evaluation of the current nutrition of preschool children showed an increase in consumption of confec</w:t>
      </w:r>
      <w:r>
        <w:rPr>
          <w:rFonts w:cs="Times New Roman"/>
          <w:sz w:val="24"/>
          <w:szCs w:val="24"/>
        </w:rPr>
        <w:softHyphen/>
      </w:r>
      <w:r w:rsidRPr="00B71C19">
        <w:rPr>
          <w:rFonts w:cs="Times New Roman"/>
          <w:sz w:val="24"/>
          <w:szCs w:val="24"/>
        </w:rPr>
        <w:t>tionery (3 times), cereals and pasta, butter (1.4 times), meat (1.2 times), milk consumption (1.2 times) and fish. (1.5 times) was found to decrease [16,26].</w:t>
      </w:r>
    </w:p>
    <w:p w14:paraId="1E368E92" w14:textId="0AA9D489"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xml:space="preserve">In a number of regions of Russia children are significantly deficient in the daily diet of essential minerals </w:t>
      </w:r>
      <w:r w:rsidR="00F44A75">
        <w:rPr>
          <w:rFonts w:cs="Times New Roman"/>
          <w:sz w:val="24"/>
          <w:szCs w:val="24"/>
        </w:rPr>
        <w:t>–</w:t>
      </w:r>
      <w:r w:rsidRPr="00B71C19">
        <w:rPr>
          <w:rFonts w:cs="Times New Roman"/>
          <w:sz w:val="24"/>
          <w:szCs w:val="24"/>
        </w:rPr>
        <w:t xml:space="preserve"> iron, fluorine, iodine, mag</w:t>
      </w:r>
      <w:r>
        <w:rPr>
          <w:rFonts w:cs="Times New Roman"/>
          <w:sz w:val="24"/>
          <w:szCs w:val="24"/>
        </w:rPr>
        <w:softHyphen/>
      </w:r>
      <w:r w:rsidRPr="00B71C19">
        <w:rPr>
          <w:rFonts w:cs="Times New Roman"/>
          <w:sz w:val="24"/>
          <w:szCs w:val="24"/>
        </w:rPr>
        <w:t>nesium, copper, chromium, which can not meet the physiological needs of children [10,22,24,25].</w:t>
      </w:r>
    </w:p>
    <w:p w14:paraId="2E08438B" w14:textId="508DE3BE"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The current and past economic opportu</w:t>
      </w:r>
      <w:r>
        <w:rPr>
          <w:rFonts w:cs="Times New Roman"/>
          <w:sz w:val="24"/>
          <w:szCs w:val="24"/>
        </w:rPr>
        <w:softHyphen/>
      </w:r>
      <w:r w:rsidRPr="00B71C19">
        <w:rPr>
          <w:rFonts w:cs="Times New Roman"/>
          <w:sz w:val="24"/>
          <w:szCs w:val="24"/>
        </w:rPr>
        <w:t>nities for children</w:t>
      </w:r>
      <w:r w:rsidR="00F44A75">
        <w:rPr>
          <w:rFonts w:cs="Times New Roman"/>
          <w:sz w:val="24"/>
          <w:szCs w:val="24"/>
        </w:rPr>
        <w:t>’</w:t>
      </w:r>
      <w:r w:rsidRPr="00B71C19">
        <w:rPr>
          <w:rFonts w:cs="Times New Roman"/>
          <w:sz w:val="24"/>
          <w:szCs w:val="24"/>
        </w:rPr>
        <w:t>s nutrition in preschools, as well as the causes of violations of sanitary leg</w:t>
      </w:r>
      <w:r>
        <w:rPr>
          <w:rFonts w:cs="Times New Roman"/>
          <w:sz w:val="24"/>
          <w:szCs w:val="24"/>
        </w:rPr>
        <w:softHyphen/>
      </w:r>
      <w:r w:rsidRPr="00B71C19">
        <w:rPr>
          <w:rFonts w:cs="Times New Roman"/>
          <w:sz w:val="24"/>
          <w:szCs w:val="24"/>
        </w:rPr>
        <w:t>islation in the organization of nutrition, will al</w:t>
      </w:r>
      <w:r>
        <w:rPr>
          <w:rFonts w:cs="Times New Roman"/>
          <w:sz w:val="24"/>
          <w:szCs w:val="24"/>
        </w:rPr>
        <w:softHyphen/>
      </w:r>
      <w:r w:rsidRPr="00B71C19">
        <w:rPr>
          <w:rFonts w:cs="Times New Roman"/>
          <w:sz w:val="24"/>
          <w:szCs w:val="24"/>
        </w:rPr>
        <w:t>low to further develop a system of preventive measures to improve the study of the main causes of eating disorders. To do this, it is nec</w:t>
      </w:r>
      <w:r>
        <w:rPr>
          <w:rFonts w:cs="Times New Roman"/>
          <w:sz w:val="24"/>
          <w:szCs w:val="24"/>
        </w:rPr>
        <w:softHyphen/>
      </w:r>
      <w:r w:rsidRPr="00B71C19">
        <w:rPr>
          <w:rFonts w:cs="Times New Roman"/>
          <w:sz w:val="24"/>
          <w:szCs w:val="24"/>
        </w:rPr>
        <w:t>essary to develop a unified system of socio-hy</w:t>
      </w:r>
      <w:r>
        <w:rPr>
          <w:rFonts w:cs="Times New Roman"/>
          <w:sz w:val="24"/>
          <w:szCs w:val="24"/>
        </w:rPr>
        <w:softHyphen/>
      </w:r>
      <w:r w:rsidRPr="00B71C19">
        <w:rPr>
          <w:rFonts w:cs="Times New Roman"/>
          <w:sz w:val="24"/>
          <w:szCs w:val="24"/>
        </w:rPr>
        <w:t>gienic monitoring of the organization of chil</w:t>
      </w:r>
      <w:r>
        <w:rPr>
          <w:rFonts w:cs="Times New Roman"/>
          <w:sz w:val="24"/>
          <w:szCs w:val="24"/>
        </w:rPr>
        <w:softHyphen/>
      </w:r>
      <w:r w:rsidRPr="00B71C19">
        <w:rPr>
          <w:rFonts w:cs="Times New Roman"/>
          <w:sz w:val="24"/>
          <w:szCs w:val="24"/>
        </w:rPr>
        <w:t>dren</w:t>
      </w:r>
      <w:r w:rsidR="00F44A75">
        <w:rPr>
          <w:rFonts w:cs="Times New Roman"/>
          <w:sz w:val="24"/>
          <w:szCs w:val="24"/>
        </w:rPr>
        <w:t>’</w:t>
      </w:r>
      <w:r w:rsidRPr="00B71C19">
        <w:rPr>
          <w:rFonts w:cs="Times New Roman"/>
          <w:sz w:val="24"/>
          <w:szCs w:val="24"/>
        </w:rPr>
        <w:t xml:space="preserve">s nutrition at the regional level, based on </w:t>
      </w:r>
      <w:r w:rsidRPr="00B71C19">
        <w:rPr>
          <w:rFonts w:cs="Times New Roman"/>
          <w:sz w:val="24"/>
          <w:szCs w:val="24"/>
        </w:rPr>
        <w:t>an i</w:t>
      </w:r>
      <w:r w:rsidR="00F44A75">
        <w:rPr>
          <w:rFonts w:cs="Times New Roman"/>
          <w:sz w:val="24"/>
          <w:szCs w:val="24"/>
        </w:rPr>
        <w:t>’</w:t>
      </w:r>
      <w:r w:rsidRPr="00B71C19">
        <w:rPr>
          <w:rFonts w:cs="Times New Roman"/>
          <w:sz w:val="24"/>
          <w:szCs w:val="24"/>
        </w:rPr>
        <w:t>-depth analysis of annual data [3,35, 36,73,74].</w:t>
      </w:r>
    </w:p>
    <w:p w14:paraId="0E13F06F" w14:textId="54110C80"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Studies on the hygienic assessment of children’s current nutrition in some preschools in Prevolj Federal District have shown that nu</w:t>
      </w:r>
      <w:r>
        <w:rPr>
          <w:rFonts w:cs="Times New Roman"/>
          <w:sz w:val="24"/>
          <w:szCs w:val="24"/>
        </w:rPr>
        <w:softHyphen/>
      </w:r>
      <w:r w:rsidRPr="00B71C19">
        <w:rPr>
          <w:rFonts w:cs="Times New Roman"/>
          <w:sz w:val="24"/>
          <w:szCs w:val="24"/>
        </w:rPr>
        <w:t>trition is unbalanced [16, 29].</w:t>
      </w:r>
    </w:p>
    <w:p w14:paraId="2DFB89FF" w14:textId="50B576DC"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Children’s daily diets were found to be overactive due to increased carbohydrate, fat intake, however, decreased protein intake, es</w:t>
      </w:r>
      <w:r>
        <w:rPr>
          <w:rFonts w:cs="Times New Roman"/>
          <w:sz w:val="24"/>
          <w:szCs w:val="24"/>
        </w:rPr>
        <w:softHyphen/>
      </w:r>
      <w:r w:rsidRPr="00B71C19">
        <w:rPr>
          <w:rFonts w:cs="Times New Roman"/>
          <w:sz w:val="24"/>
          <w:szCs w:val="24"/>
        </w:rPr>
        <w:t>pecially due to increased animal protein, vita</w:t>
      </w:r>
      <w:r>
        <w:rPr>
          <w:rFonts w:cs="Times New Roman"/>
          <w:sz w:val="24"/>
          <w:szCs w:val="24"/>
        </w:rPr>
        <w:softHyphen/>
      </w:r>
      <w:r w:rsidRPr="00B71C19">
        <w:rPr>
          <w:rFonts w:cs="Times New Roman"/>
          <w:sz w:val="24"/>
          <w:szCs w:val="24"/>
        </w:rPr>
        <w:t>min-mineral deficiency was noted in children. While children received only bread, potatoes, and sugar in sufficient quantities from the products they were required to consume each day, there was a shortage of vegetables and raw fruits in the diet, and children not only did not consume dairy products regularly, but also consumed less than the daily norm [19,53].</w:t>
      </w:r>
    </w:p>
    <w:p w14:paraId="25E9D3E7" w14:textId="232E7E0C"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A study of their current diet in organized children</w:t>
      </w:r>
      <w:r w:rsidR="00F44A75">
        <w:rPr>
          <w:rFonts w:cs="Times New Roman"/>
          <w:sz w:val="24"/>
          <w:szCs w:val="24"/>
        </w:rPr>
        <w:t>’</w:t>
      </w:r>
      <w:r w:rsidRPr="00B71C19">
        <w:rPr>
          <w:rFonts w:cs="Times New Roman"/>
          <w:sz w:val="24"/>
          <w:szCs w:val="24"/>
        </w:rPr>
        <w:t>s communities in Perm found that the amount of essential nutrients in the diet of pre</w:t>
      </w:r>
      <w:r>
        <w:rPr>
          <w:rFonts w:cs="Times New Roman"/>
          <w:sz w:val="24"/>
          <w:szCs w:val="24"/>
        </w:rPr>
        <w:softHyphen/>
      </w:r>
      <w:r w:rsidRPr="00B71C19">
        <w:rPr>
          <w:rFonts w:cs="Times New Roman"/>
          <w:sz w:val="24"/>
          <w:szCs w:val="24"/>
        </w:rPr>
        <w:t xml:space="preserve">school children was lower than the average daily for the following substances: total protein was 76.9% of physiological consumption, fats </w:t>
      </w:r>
      <w:r w:rsidR="00F44A75">
        <w:rPr>
          <w:rFonts w:cs="Times New Roman"/>
          <w:sz w:val="24"/>
          <w:szCs w:val="24"/>
        </w:rPr>
        <w:t>–</w:t>
      </w:r>
      <w:r w:rsidRPr="00B71C19">
        <w:rPr>
          <w:rFonts w:cs="Times New Roman"/>
          <w:sz w:val="24"/>
          <w:szCs w:val="24"/>
        </w:rPr>
        <w:t xml:space="preserve"> 74.2%, fats. -83.8%. The current set of weekly products was characterized by a lack of fresh fruits, fresh vegetable and fruit juices, sour milk products, cheese. Children received 30-39% less meat, 62-66% milk, 7-24% fish, 27% butter than the recommended consump</w:t>
      </w:r>
      <w:r>
        <w:rPr>
          <w:rFonts w:cs="Times New Roman"/>
          <w:sz w:val="24"/>
          <w:szCs w:val="24"/>
        </w:rPr>
        <w:softHyphen/>
      </w:r>
      <w:r w:rsidRPr="00B71C19">
        <w:rPr>
          <w:rFonts w:cs="Times New Roman"/>
          <w:sz w:val="24"/>
          <w:szCs w:val="24"/>
        </w:rPr>
        <w:t>tion norms [17, 20,28, 29, 32, 33]. Physiologi</w:t>
      </w:r>
      <w:r>
        <w:rPr>
          <w:rFonts w:cs="Times New Roman"/>
          <w:sz w:val="24"/>
          <w:szCs w:val="24"/>
        </w:rPr>
        <w:softHyphen/>
      </w:r>
      <w:r w:rsidRPr="00B71C19">
        <w:rPr>
          <w:rFonts w:cs="Times New Roman"/>
          <w:sz w:val="24"/>
          <w:szCs w:val="24"/>
        </w:rPr>
        <w:t>cal deficiency of micronutrients fluoride, io</w:t>
      </w:r>
      <w:r>
        <w:rPr>
          <w:rFonts w:cs="Times New Roman"/>
          <w:sz w:val="24"/>
          <w:szCs w:val="24"/>
        </w:rPr>
        <w:softHyphen/>
      </w:r>
      <w:r w:rsidRPr="00B71C19">
        <w:rPr>
          <w:rFonts w:cs="Times New Roman"/>
          <w:sz w:val="24"/>
          <w:szCs w:val="24"/>
        </w:rPr>
        <w:t>dine, magnesium in the daily diet has a nega</w:t>
      </w:r>
      <w:r>
        <w:rPr>
          <w:rFonts w:cs="Times New Roman"/>
          <w:sz w:val="24"/>
          <w:szCs w:val="24"/>
        </w:rPr>
        <w:softHyphen/>
      </w:r>
      <w:r w:rsidRPr="00B71C19">
        <w:rPr>
          <w:rFonts w:cs="Times New Roman"/>
          <w:sz w:val="24"/>
          <w:szCs w:val="24"/>
        </w:rPr>
        <w:t xml:space="preserve">tive impact on the body of children [17,20,40,41]. The analysis of practical </w:t>
      </w:r>
      <w:r w:rsidR="00F44A75">
        <w:rPr>
          <w:rFonts w:cs="Times New Roman"/>
          <w:sz w:val="24"/>
          <w:szCs w:val="24"/>
        </w:rPr>
        <w:pgNum/>
      </w:r>
      <w:r w:rsidR="00F44A75">
        <w:rPr>
          <w:rFonts w:cs="Times New Roman"/>
          <w:sz w:val="24"/>
          <w:szCs w:val="24"/>
        </w:rPr>
        <w:t>utria</w:t>
      </w:r>
      <w:r>
        <w:rPr>
          <w:rFonts w:cs="Times New Roman"/>
          <w:sz w:val="24"/>
          <w:szCs w:val="24"/>
        </w:rPr>
        <w:softHyphen/>
      </w:r>
      <w:r w:rsidRPr="00B71C19">
        <w:rPr>
          <w:rFonts w:cs="Times New Roman"/>
          <w:sz w:val="24"/>
          <w:szCs w:val="24"/>
        </w:rPr>
        <w:t>tion using the method of weighing children in MTY [3,17,20,40.41,73,74] showed that today the situation with the organization of nutrition in MTT in the city has not only changed, but also complicated, the main nutrients averaged 35%, carbohydrates 38%, proteins 28%, fats 30%, and micronutrients 14% [3,17,20,40,41,42].</w:t>
      </w:r>
    </w:p>
    <w:p w14:paraId="16731DB6" w14:textId="0EB1A7CD"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xml:space="preserve">According to the results of micronutrient content and cytomorphological examination of </w:t>
      </w:r>
      <w:r w:rsidRPr="00B71C19">
        <w:rPr>
          <w:rFonts w:cs="Times New Roman"/>
          <w:sz w:val="24"/>
          <w:szCs w:val="24"/>
        </w:rPr>
        <w:lastRenderedPageBreak/>
        <w:t>preschool children living in East Kazakhstan, the accumulation of lead, mercury, cadmium toxins in children</w:t>
      </w:r>
      <w:r w:rsidR="00F44A75">
        <w:rPr>
          <w:rFonts w:cs="Times New Roman"/>
          <w:sz w:val="24"/>
          <w:szCs w:val="24"/>
        </w:rPr>
        <w:t>’</w:t>
      </w:r>
      <w:r w:rsidRPr="00B71C19">
        <w:rPr>
          <w:rFonts w:cs="Times New Roman"/>
          <w:sz w:val="24"/>
          <w:szCs w:val="24"/>
        </w:rPr>
        <w:t>s hair fibers and a decrease in essential micronutrients (copper, selenium) in urine, as well as the number of cells with vacuolar dystrophy, apocytes nucleoli and buc</w:t>
      </w:r>
      <w:r>
        <w:rPr>
          <w:rFonts w:cs="Times New Roman"/>
          <w:sz w:val="24"/>
          <w:szCs w:val="24"/>
        </w:rPr>
        <w:softHyphen/>
      </w:r>
      <w:r w:rsidRPr="00B71C19">
        <w:rPr>
          <w:rFonts w:cs="Times New Roman"/>
          <w:sz w:val="24"/>
          <w:szCs w:val="24"/>
        </w:rPr>
        <w:t>cal epithelium of the cheeks and an increase in the number of degenerated nasal cells were found [27,69].</w:t>
      </w:r>
    </w:p>
    <w:p w14:paraId="59478BF5" w14:textId="750CBED4"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This, in turn, can be explained to a cer</w:t>
      </w:r>
      <w:r>
        <w:rPr>
          <w:rFonts w:cs="Times New Roman"/>
          <w:sz w:val="24"/>
          <w:szCs w:val="24"/>
        </w:rPr>
        <w:softHyphen/>
      </w:r>
      <w:r w:rsidRPr="00B71C19">
        <w:rPr>
          <w:rFonts w:cs="Times New Roman"/>
          <w:sz w:val="24"/>
          <w:szCs w:val="24"/>
        </w:rPr>
        <w:t>tain extent by the fact that children choose to eat food, that is, they do not eat until the end. Children often eat the first meal well because it has a relatively low density and a wide range on offer (bone, borsch, vegetable, mushroom, fish, dairy, chicken, pea, bean and minced soups), children have poorly consumed por</w:t>
      </w:r>
      <w:r>
        <w:rPr>
          <w:rFonts w:cs="Times New Roman"/>
          <w:sz w:val="24"/>
          <w:szCs w:val="24"/>
        </w:rPr>
        <w:softHyphen/>
      </w:r>
      <w:r w:rsidRPr="00B71C19">
        <w:rPr>
          <w:rFonts w:cs="Times New Roman"/>
          <w:sz w:val="24"/>
          <w:szCs w:val="24"/>
        </w:rPr>
        <w:t>ridge. The children loved and ate rice, oatmeal and millet porridge. Vegetable dishes include pasta, oatmeal, and products that are less con</w:t>
      </w:r>
      <w:r>
        <w:rPr>
          <w:rFonts w:cs="Times New Roman"/>
          <w:sz w:val="24"/>
          <w:szCs w:val="24"/>
        </w:rPr>
        <w:softHyphen/>
      </w:r>
      <w:r w:rsidRPr="00B71C19">
        <w:rPr>
          <w:rFonts w:cs="Times New Roman"/>
          <w:sz w:val="24"/>
          <w:szCs w:val="24"/>
        </w:rPr>
        <w:t>sumed than pancakes. The use of these rations has led to an imbalance in nutrient and energy intake. Deficiency of iodine, calcium and iron in the diet plays a leading role. Recommended consumption norms vary up to ⅓, with the deepest level and the most deficient cases [3,35,36,40.41,42].</w:t>
      </w:r>
    </w:p>
    <w:p w14:paraId="28D122BA" w14:textId="7DB3952D"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Children living in Irkutsk, Russia, were divided into four groups according to the level of pollution in the city, and a significant varia</w:t>
      </w:r>
      <w:r>
        <w:rPr>
          <w:rFonts w:cs="Times New Roman"/>
          <w:sz w:val="24"/>
          <w:szCs w:val="24"/>
        </w:rPr>
        <w:softHyphen/>
      </w:r>
      <w:r w:rsidRPr="00B71C19">
        <w:rPr>
          <w:rFonts w:cs="Times New Roman"/>
          <w:sz w:val="24"/>
          <w:szCs w:val="24"/>
        </w:rPr>
        <w:t>bility in the amount of zinc in their hair fibers was confirmed. The minimum zinc content in children of the southern production center of the region was 65.6 mg / kg, in 53% of samples the content of zinc was below the absolute norm, in 25% the indicators were below the bi</w:t>
      </w:r>
      <w:r>
        <w:rPr>
          <w:rFonts w:cs="Times New Roman"/>
          <w:sz w:val="24"/>
          <w:szCs w:val="24"/>
        </w:rPr>
        <w:softHyphen/>
      </w:r>
      <w:r w:rsidRPr="00B71C19">
        <w:rPr>
          <w:rFonts w:cs="Times New Roman"/>
          <w:sz w:val="24"/>
          <w:szCs w:val="24"/>
        </w:rPr>
        <w:t>ologically acceptable limit, only in 8.5% of samples the zinc content was absolute. and ex</w:t>
      </w:r>
      <w:r>
        <w:rPr>
          <w:rFonts w:cs="Times New Roman"/>
          <w:sz w:val="24"/>
          <w:szCs w:val="24"/>
        </w:rPr>
        <w:softHyphen/>
      </w:r>
      <w:r w:rsidRPr="00B71C19">
        <w:rPr>
          <w:rFonts w:cs="Times New Roman"/>
          <w:sz w:val="24"/>
          <w:szCs w:val="24"/>
        </w:rPr>
        <w:t>ceeded the biologically permissible limit by 3%. In 36% of rural children, the amount of zinc in the hair fiber is within the absolute norm, in 93% of children within the biologi</w:t>
      </w:r>
      <w:r>
        <w:rPr>
          <w:rFonts w:cs="Times New Roman"/>
          <w:sz w:val="24"/>
          <w:szCs w:val="24"/>
        </w:rPr>
        <w:softHyphen/>
      </w:r>
      <w:r w:rsidRPr="00B71C19">
        <w:rPr>
          <w:rFonts w:cs="Times New Roman"/>
          <w:sz w:val="24"/>
          <w:szCs w:val="24"/>
        </w:rPr>
        <w:t xml:space="preserve">cally acceptable limit, and in 6% of children the zinc content in the hair fiber is within the absolute norm or biologically permissible </w:t>
      </w:r>
      <w:r w:rsidRPr="00B71C19">
        <w:rPr>
          <w:rFonts w:cs="Times New Roman"/>
          <w:sz w:val="24"/>
          <w:szCs w:val="24"/>
        </w:rPr>
        <w:t>limit. The highest concentrations of zinc in hair fiber were found in children living in the foot</w:t>
      </w:r>
      <w:r>
        <w:rPr>
          <w:rFonts w:cs="Times New Roman"/>
          <w:sz w:val="24"/>
          <w:szCs w:val="24"/>
        </w:rPr>
        <w:softHyphen/>
      </w:r>
      <w:r w:rsidRPr="00B71C19">
        <w:rPr>
          <w:rFonts w:cs="Times New Roman"/>
          <w:sz w:val="24"/>
          <w:szCs w:val="24"/>
        </w:rPr>
        <w:t>hills and northern regions of the Irkutsk region, because it was in the soil of this region that the concentration of zinc metal was high. In the diet of the residents of the area, local food made from animal products is consumed the most, and the element zinc enters the body of children through this food. In areas with inten</w:t>
      </w:r>
      <w:r>
        <w:rPr>
          <w:rFonts w:cs="Times New Roman"/>
          <w:sz w:val="24"/>
          <w:szCs w:val="24"/>
        </w:rPr>
        <w:softHyphen/>
      </w:r>
      <w:r w:rsidRPr="00B71C19">
        <w:rPr>
          <w:rFonts w:cs="Times New Roman"/>
          <w:sz w:val="24"/>
          <w:szCs w:val="24"/>
        </w:rPr>
        <w:t>sive production, despite the adequate amount of zinc in the environment, zinc deficiency is more common in the context of lifestyle and complex exposure to chemicals, not only due to the absorption of the trace element zinc, but also due to its absorption by children. depends on [60,61].</w:t>
      </w:r>
    </w:p>
    <w:p w14:paraId="7A2E028C" w14:textId="6F0963F6"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The WHO report on chronic kidney dis</w:t>
      </w:r>
      <w:r>
        <w:rPr>
          <w:rFonts w:cs="Times New Roman"/>
          <w:sz w:val="24"/>
          <w:szCs w:val="24"/>
        </w:rPr>
        <w:softHyphen/>
      </w:r>
      <w:r w:rsidRPr="00B71C19">
        <w:rPr>
          <w:rFonts w:cs="Times New Roman"/>
          <w:sz w:val="24"/>
          <w:szCs w:val="24"/>
        </w:rPr>
        <w:t>ease, CKD (Chronic Kidney Diseases), states that one of the first causes of SBK is the effects of cadmium [43, 75,76].</w:t>
      </w:r>
    </w:p>
    <w:p w14:paraId="5224B1EA" w14:textId="77777777"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Studies in humans and animals have shown that one of the reasons for the increase in blood glucose is an increase in the amount of cadmium in these environmental factors, leading to the development of some types of diabetes and chronic kidney disease [5,43].</w:t>
      </w:r>
    </w:p>
    <w:p w14:paraId="64CA3DFD" w14:textId="3635DEBC"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Some researchers have focused on diet and heavy metal salts in the population in areas affected by CKD. At the same time, special at</w:t>
      </w:r>
      <w:r>
        <w:rPr>
          <w:rFonts w:cs="Times New Roman"/>
          <w:sz w:val="24"/>
          <w:szCs w:val="24"/>
        </w:rPr>
        <w:softHyphen/>
      </w:r>
      <w:r w:rsidRPr="00B71C19">
        <w:rPr>
          <w:rFonts w:cs="Times New Roman"/>
          <w:sz w:val="24"/>
          <w:szCs w:val="24"/>
        </w:rPr>
        <w:t>tention should be paid to the amount of fluo</w:t>
      </w:r>
      <w:r>
        <w:rPr>
          <w:rFonts w:cs="Times New Roman"/>
          <w:sz w:val="24"/>
          <w:szCs w:val="24"/>
        </w:rPr>
        <w:softHyphen/>
      </w:r>
      <w:r w:rsidRPr="00B71C19">
        <w:rPr>
          <w:rFonts w:cs="Times New Roman"/>
          <w:sz w:val="24"/>
          <w:szCs w:val="24"/>
        </w:rPr>
        <w:t xml:space="preserve">ride in freshwater and products grown in the region. The main part of the diet of the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Pr>
          <w:rFonts w:cs="Times New Roman"/>
          <w:sz w:val="24"/>
          <w:szCs w:val="24"/>
        </w:rPr>
        <w:softHyphen/>
      </w:r>
      <w:r w:rsidRPr="00B71C19">
        <w:rPr>
          <w:rFonts w:cs="Times New Roman"/>
          <w:sz w:val="24"/>
          <w:szCs w:val="24"/>
        </w:rPr>
        <w:t>tion living in areas affected by CKD consists of green leafy and other types of greens, leg</w:t>
      </w:r>
      <w:r>
        <w:rPr>
          <w:rFonts w:cs="Times New Roman"/>
          <w:sz w:val="24"/>
          <w:szCs w:val="24"/>
        </w:rPr>
        <w:softHyphen/>
      </w:r>
      <w:r w:rsidRPr="00B71C19">
        <w:rPr>
          <w:rFonts w:cs="Times New Roman"/>
          <w:sz w:val="24"/>
          <w:szCs w:val="24"/>
        </w:rPr>
        <w:t>umes and fresh fruits [1, 3, 7,40,41].</w:t>
      </w:r>
    </w:p>
    <w:p w14:paraId="3DB906E6" w14:textId="3A4E160B"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Vegetables, legumes and other plants grown in this region retain high amounts of flu</w:t>
      </w:r>
      <w:r>
        <w:rPr>
          <w:rFonts w:cs="Times New Roman"/>
          <w:sz w:val="24"/>
          <w:szCs w:val="24"/>
        </w:rPr>
        <w:softHyphen/>
      </w:r>
      <w:r w:rsidRPr="00B71C19">
        <w:rPr>
          <w:rFonts w:cs="Times New Roman"/>
          <w:sz w:val="24"/>
          <w:szCs w:val="24"/>
        </w:rPr>
        <w:t>oride due to the high content of fluoride in the soil and groundwater. For example, the cheap</w:t>
      </w:r>
      <w:r>
        <w:rPr>
          <w:rFonts w:cs="Times New Roman"/>
          <w:sz w:val="24"/>
          <w:szCs w:val="24"/>
        </w:rPr>
        <w:softHyphen/>
      </w:r>
      <w:r w:rsidRPr="00B71C19">
        <w:rPr>
          <w:rFonts w:cs="Times New Roman"/>
          <w:sz w:val="24"/>
          <w:szCs w:val="24"/>
        </w:rPr>
        <w:t>est and most common amaranth vegetable in the region absorbs excessive amounts of fluo</w:t>
      </w:r>
      <w:r>
        <w:rPr>
          <w:rFonts w:cs="Times New Roman"/>
          <w:sz w:val="24"/>
          <w:szCs w:val="24"/>
        </w:rPr>
        <w:softHyphen/>
      </w:r>
      <w:r w:rsidRPr="00B71C19">
        <w:rPr>
          <w:rFonts w:cs="Times New Roman"/>
          <w:sz w:val="24"/>
          <w:szCs w:val="24"/>
        </w:rPr>
        <w:t>ride from the soil [11,16].</w:t>
      </w:r>
    </w:p>
    <w:p w14:paraId="7E4A8649" w14:textId="066AF87E"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xml:space="preserve">It is clear that in these districts, which are rich in fluorides, the amount of excess fluoride enters the human body with a ration organized </w:t>
      </w:r>
      <w:r w:rsidRPr="00B71C19">
        <w:rPr>
          <w:rFonts w:cs="Times New Roman"/>
          <w:sz w:val="24"/>
          <w:szCs w:val="24"/>
        </w:rPr>
        <w:lastRenderedPageBreak/>
        <w:t>by plants grown in it. Researchers measured the translocation of fluorides from the soil to the body and fruit of plants and found that high concentrations of fluorides in the soil in this area led to high levels of fluorides in vegeta</w:t>
      </w:r>
      <w:r>
        <w:rPr>
          <w:rFonts w:cs="Times New Roman"/>
          <w:sz w:val="24"/>
          <w:szCs w:val="24"/>
        </w:rPr>
        <w:softHyphen/>
      </w:r>
      <w:r w:rsidRPr="00B71C19">
        <w:rPr>
          <w:rFonts w:cs="Times New Roman"/>
          <w:sz w:val="24"/>
          <w:szCs w:val="24"/>
        </w:rPr>
        <w:t>bles grown in that soil [11, 12,13].</w:t>
      </w:r>
    </w:p>
    <w:p w14:paraId="0C0E8B78" w14:textId="77777777"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Thus, the high concentration of fluoride in the soil is due to the high concentration of fluoride in the soil composition and in the body and fruit of the surrounding plants [14].</w:t>
      </w:r>
    </w:p>
    <w:p w14:paraId="25093244" w14:textId="19C50769"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A number of theories hypothesize that CKD is mainly caused by fluorides, cadmium, antimony, aluminum, mercury, uranium, vana</w:t>
      </w:r>
      <w:r>
        <w:rPr>
          <w:rFonts w:cs="Times New Roman"/>
          <w:sz w:val="24"/>
          <w:szCs w:val="24"/>
        </w:rPr>
        <w:softHyphen/>
      </w:r>
      <w:r w:rsidRPr="00B71C19">
        <w:rPr>
          <w:rFonts w:cs="Times New Roman"/>
          <w:sz w:val="24"/>
          <w:szCs w:val="24"/>
        </w:rPr>
        <w:t>dium, waterborne toxins, or phosphates [4,7, 14]. However, none of these theories has been confirmed due to the lack of a sufficient scien</w:t>
      </w:r>
      <w:r>
        <w:rPr>
          <w:rFonts w:cs="Times New Roman"/>
          <w:sz w:val="24"/>
          <w:szCs w:val="24"/>
        </w:rPr>
        <w:softHyphen/>
      </w:r>
      <w:r w:rsidRPr="00B71C19">
        <w:rPr>
          <w:rFonts w:cs="Times New Roman"/>
          <w:sz w:val="24"/>
          <w:szCs w:val="24"/>
        </w:rPr>
        <w:t>tific basis.</w:t>
      </w:r>
    </w:p>
    <w:p w14:paraId="6CDA32F7" w14:textId="06D7EED9"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Subsequent theories mainly focus on pesticides and their potential compounds such as cadmium, mercury, fertilizers, especially glyphosate [11] and its negative impact on the environment, while other theories are devoted to the increase of ions in drinking water, oxi</w:t>
      </w:r>
      <w:r>
        <w:rPr>
          <w:rFonts w:cs="Times New Roman"/>
          <w:sz w:val="24"/>
          <w:szCs w:val="24"/>
        </w:rPr>
        <w:softHyphen/>
      </w:r>
      <w:r w:rsidRPr="00B71C19">
        <w:rPr>
          <w:rFonts w:cs="Times New Roman"/>
          <w:sz w:val="24"/>
          <w:szCs w:val="24"/>
        </w:rPr>
        <w:t xml:space="preserve">dation-reduction processes in soil,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w:t>
      </w:r>
      <w:r>
        <w:rPr>
          <w:rFonts w:cs="Times New Roman"/>
          <w:sz w:val="24"/>
          <w:szCs w:val="24"/>
        </w:rPr>
        <w:softHyphen/>
      </w:r>
      <w:r w:rsidRPr="00B71C19">
        <w:rPr>
          <w:rFonts w:cs="Times New Roman"/>
          <w:sz w:val="24"/>
          <w:szCs w:val="24"/>
        </w:rPr>
        <w:t>ter aquifers as a result of the discharge of ma</w:t>
      </w:r>
      <w:r>
        <w:rPr>
          <w:rFonts w:cs="Times New Roman"/>
          <w:sz w:val="24"/>
          <w:szCs w:val="24"/>
        </w:rPr>
        <w:softHyphen/>
      </w:r>
      <w:r w:rsidRPr="00B71C19">
        <w:rPr>
          <w:rFonts w:cs="Times New Roman"/>
          <w:sz w:val="24"/>
          <w:szCs w:val="24"/>
        </w:rPr>
        <w:t>nure-contaminated wastewater into river sys</w:t>
      </w:r>
      <w:r>
        <w:rPr>
          <w:rFonts w:cs="Times New Roman"/>
          <w:sz w:val="24"/>
          <w:szCs w:val="24"/>
        </w:rPr>
        <w:softHyphen/>
      </w:r>
      <w:r w:rsidRPr="00B71C19">
        <w:rPr>
          <w:rFonts w:cs="Times New Roman"/>
          <w:sz w:val="24"/>
          <w:szCs w:val="24"/>
        </w:rPr>
        <w:t>tems.</w:t>
      </w:r>
    </w:p>
    <w:p w14:paraId="09E22CE3" w14:textId="139FBAF0"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Thus, it should be noted that the daily diet of preschool children is characterized by a lack of micronutrients from food and the pre</w:t>
      </w:r>
      <w:r>
        <w:rPr>
          <w:rFonts w:cs="Times New Roman"/>
          <w:sz w:val="24"/>
          <w:szCs w:val="24"/>
        </w:rPr>
        <w:softHyphen/>
      </w:r>
      <w:r w:rsidRPr="00B71C19">
        <w:rPr>
          <w:rFonts w:cs="Times New Roman"/>
          <w:sz w:val="24"/>
          <w:szCs w:val="24"/>
        </w:rPr>
        <w:t>vention of diseases that develop as a result, the formation of a daily diet enriched with macro, micronutrients among preschool children, healthy. nutrition, the development of measures to promote a healthy lifestyle is one of the problems that need to be addressed to</w:t>
      </w:r>
      <w:r>
        <w:rPr>
          <w:rFonts w:cs="Times New Roman"/>
          <w:sz w:val="24"/>
          <w:szCs w:val="24"/>
        </w:rPr>
        <w:softHyphen/>
      </w:r>
      <w:r w:rsidRPr="00B71C19">
        <w:rPr>
          <w:rFonts w:cs="Times New Roman"/>
          <w:sz w:val="24"/>
          <w:szCs w:val="24"/>
        </w:rPr>
        <w:t xml:space="preserve">day. </w:t>
      </w:r>
    </w:p>
    <w:p w14:paraId="44E0BD62" w14:textId="77777777" w:rsidR="00B71C19" w:rsidRPr="00B71C19" w:rsidRDefault="00B71C19" w:rsidP="00B71C19">
      <w:pPr>
        <w:spacing w:line="276" w:lineRule="auto"/>
        <w:ind w:firstLine="567"/>
        <w:jc w:val="both"/>
        <w:rPr>
          <w:rFonts w:cs="Times New Roman"/>
          <w:sz w:val="24"/>
          <w:szCs w:val="24"/>
        </w:rPr>
      </w:pPr>
      <w:r w:rsidRPr="00B71C19">
        <w:rPr>
          <w:rFonts w:cs="Times New Roman"/>
          <w:sz w:val="24"/>
          <w:szCs w:val="24"/>
        </w:rPr>
        <w:t> </w:t>
      </w:r>
    </w:p>
    <w:p w14:paraId="7CCE25ED" w14:textId="3D6577A3" w:rsidR="00B71C19" w:rsidRPr="00B71C19" w:rsidRDefault="00B71C19" w:rsidP="00B71C19">
      <w:pPr>
        <w:spacing w:line="276" w:lineRule="auto"/>
        <w:jc w:val="center"/>
        <w:rPr>
          <w:rFonts w:cs="Times New Roman"/>
          <w:b/>
          <w:bCs/>
          <w:sz w:val="24"/>
          <w:szCs w:val="24"/>
        </w:rPr>
      </w:pPr>
      <w:r w:rsidRPr="00B71C19">
        <w:rPr>
          <w:rFonts w:cs="Times New Roman"/>
          <w:b/>
          <w:bCs/>
          <w:sz w:val="24"/>
          <w:szCs w:val="24"/>
        </w:rPr>
        <w:t>REFERENCES</w:t>
      </w:r>
    </w:p>
    <w:p w14:paraId="78AB82E0" w14:textId="77777777" w:rsidR="00B71C19" w:rsidRPr="00B71C19" w:rsidRDefault="00B71C19" w:rsidP="00B71C19">
      <w:pPr>
        <w:spacing w:line="276" w:lineRule="auto"/>
        <w:jc w:val="center"/>
        <w:rPr>
          <w:rFonts w:cs="Times New Roman"/>
          <w:b/>
          <w:bCs/>
          <w:sz w:val="24"/>
          <w:szCs w:val="24"/>
        </w:rPr>
      </w:pPr>
    </w:p>
    <w:p w14:paraId="0B91E053"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w:t>
      </w:r>
      <w:r w:rsidRPr="00B71C19">
        <w:rPr>
          <w:rFonts w:cs="Times New Roman"/>
          <w:sz w:val="24"/>
          <w:szCs w:val="24"/>
        </w:rPr>
        <w:tab/>
        <w:t>Adilova Z.U., Azizova F.L. Factors influencing the health of children in preschool education //J .: New day in medicine.- №3, 2020. pp. 13-16.</w:t>
      </w:r>
    </w:p>
    <w:p w14:paraId="765780ED" w14:textId="0D40FC6F"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w:t>
      </w:r>
      <w:r w:rsidRPr="00B71C19">
        <w:rPr>
          <w:rFonts w:cs="Times New Roman"/>
          <w:sz w:val="24"/>
          <w:szCs w:val="24"/>
        </w:rPr>
        <w:tab/>
        <w:t>Ataniyazova R.A. The level of knowledge and compliance with hand hygiene in preschool children // Actual problems of hy</w:t>
      </w:r>
      <w:r>
        <w:rPr>
          <w:rFonts w:cs="Times New Roman"/>
          <w:sz w:val="24"/>
          <w:szCs w:val="24"/>
        </w:rPr>
        <w:softHyphen/>
      </w:r>
      <w:r w:rsidRPr="00B71C19">
        <w:rPr>
          <w:rFonts w:cs="Times New Roman"/>
          <w:sz w:val="24"/>
          <w:szCs w:val="24"/>
        </w:rPr>
        <w:t xml:space="preserve">giene and sanitation in Uzbekistan: Mater. rep. scientific-practical conf. </w:t>
      </w:r>
      <w:r w:rsidR="00F44A75">
        <w:rPr>
          <w:rFonts w:cs="Times New Roman"/>
          <w:sz w:val="24"/>
          <w:szCs w:val="24"/>
        </w:rPr>
        <w:t>–</w:t>
      </w:r>
      <w:r w:rsidRPr="00B71C19">
        <w:rPr>
          <w:rFonts w:cs="Times New Roman"/>
          <w:sz w:val="24"/>
          <w:szCs w:val="24"/>
        </w:rPr>
        <w:t xml:space="preserve"> Tashkent, 2012. pp. 76-79.</w:t>
      </w:r>
    </w:p>
    <w:p w14:paraId="15FA0DD2" w14:textId="7A0DFCBB"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w:t>
      </w:r>
      <w:r w:rsidRPr="00B71C19">
        <w:rPr>
          <w:rFonts w:cs="Times New Roman"/>
          <w:sz w:val="24"/>
          <w:szCs w:val="24"/>
        </w:rPr>
        <w:tab/>
        <w:t xml:space="preserve">Ahmadkhodjaeva M.M., Ermatov N.J., Kurbonova X.A. The role and importance of micronutrients in the daily diet of preschool children // Sovremennыe dostijeniya </w:t>
      </w:r>
      <w:r w:rsidR="00F44A75">
        <w:rPr>
          <w:rFonts w:cs="Times New Roman"/>
          <w:sz w:val="24"/>
          <w:szCs w:val="24"/>
        </w:rPr>
        <w:t>I</w:t>
      </w:r>
      <w:r w:rsidRPr="00B71C19">
        <w:rPr>
          <w:rFonts w:cs="Times New Roman"/>
          <w:sz w:val="24"/>
          <w:szCs w:val="24"/>
        </w:rPr>
        <w:t xml:space="preserve"> perspek</w:t>
      </w:r>
      <w:r>
        <w:rPr>
          <w:rFonts w:cs="Times New Roman"/>
          <w:sz w:val="24"/>
          <w:szCs w:val="24"/>
        </w:rPr>
        <w:softHyphen/>
      </w:r>
      <w:r w:rsidRPr="00B71C19">
        <w:rPr>
          <w:rFonts w:cs="Times New Roman"/>
          <w:sz w:val="24"/>
          <w:szCs w:val="24"/>
        </w:rPr>
        <w:t>tivy dalneyshego razvitiya profilaktiki mikro</w:t>
      </w:r>
      <w:r>
        <w:rPr>
          <w:rFonts w:cs="Times New Roman"/>
          <w:sz w:val="24"/>
          <w:szCs w:val="24"/>
        </w:rPr>
        <w:softHyphen/>
      </w:r>
      <w:r w:rsidRPr="00B71C19">
        <w:rPr>
          <w:rFonts w:cs="Times New Roman"/>
          <w:sz w:val="24"/>
          <w:szCs w:val="24"/>
        </w:rPr>
        <w:t xml:space="preserve">nutrientnoy nedostatochnosti materey </w:t>
      </w:r>
      <w:r w:rsidR="00F44A75">
        <w:rPr>
          <w:rFonts w:cs="Times New Roman"/>
          <w:sz w:val="24"/>
          <w:szCs w:val="24"/>
        </w:rPr>
        <w:t>I</w:t>
      </w:r>
      <w:r w:rsidRPr="00B71C19">
        <w:rPr>
          <w:rFonts w:cs="Times New Roman"/>
          <w:sz w:val="24"/>
          <w:szCs w:val="24"/>
        </w:rPr>
        <w:t xml:space="preserve"> detey, 23 August Tashkent, 2019. </w:t>
      </w:r>
      <w:r w:rsidR="00F44A75">
        <w:rPr>
          <w:rFonts w:cs="Times New Roman"/>
          <w:sz w:val="24"/>
          <w:szCs w:val="24"/>
        </w:rPr>
        <w:t>–</w:t>
      </w:r>
      <w:r w:rsidRPr="00B71C19">
        <w:rPr>
          <w:rFonts w:cs="Times New Roman"/>
          <w:sz w:val="24"/>
          <w:szCs w:val="24"/>
        </w:rPr>
        <w:t xml:space="preserve"> pp. 141–143</w:t>
      </w:r>
    </w:p>
    <w:p w14:paraId="34F0DF5F" w14:textId="290F4950"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w:t>
      </w:r>
      <w:r w:rsidRPr="00B71C19">
        <w:rPr>
          <w:rFonts w:cs="Times New Roman"/>
          <w:sz w:val="24"/>
          <w:szCs w:val="24"/>
        </w:rPr>
        <w:tab/>
        <w:t>Basharova L.M. Hygienic substanti</w:t>
      </w:r>
      <w:r>
        <w:rPr>
          <w:rFonts w:cs="Times New Roman"/>
          <w:sz w:val="24"/>
          <w:szCs w:val="24"/>
        </w:rPr>
        <w:softHyphen/>
      </w:r>
      <w:r w:rsidRPr="00B71C19">
        <w:rPr>
          <w:rFonts w:cs="Times New Roman"/>
          <w:sz w:val="24"/>
          <w:szCs w:val="24"/>
        </w:rPr>
        <w:t>ation of measures to optimize the conditions for raising children in preschool educational institutions: Author</w:t>
      </w:r>
      <w:r w:rsidR="00F44A75">
        <w:rPr>
          <w:rFonts w:cs="Times New Roman"/>
          <w:sz w:val="24"/>
          <w:szCs w:val="24"/>
        </w:rPr>
        <w:t>’</w:t>
      </w:r>
      <w:r w:rsidRPr="00B71C19">
        <w:rPr>
          <w:rFonts w:cs="Times New Roman"/>
          <w:sz w:val="24"/>
          <w:szCs w:val="24"/>
        </w:rPr>
        <w:t xml:space="preserve">s abstract. dis. ... cand. honey. Sciences: - T., 2018. </w:t>
      </w:r>
      <w:r w:rsidR="00F44A75">
        <w:rPr>
          <w:rFonts w:cs="Times New Roman"/>
          <w:sz w:val="24"/>
          <w:szCs w:val="24"/>
        </w:rPr>
        <w:t>–</w:t>
      </w:r>
      <w:r w:rsidRPr="00B71C19">
        <w:rPr>
          <w:rFonts w:cs="Times New Roman"/>
          <w:sz w:val="24"/>
          <w:szCs w:val="24"/>
        </w:rPr>
        <w:t xml:space="preserve"> 48 p.</w:t>
      </w:r>
    </w:p>
    <w:p w14:paraId="17B60E30" w14:textId="1BF8B20B"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w:t>
      </w:r>
      <w:r w:rsidRPr="00B71C19">
        <w:rPr>
          <w:rFonts w:cs="Times New Roman"/>
          <w:sz w:val="24"/>
          <w:szCs w:val="24"/>
        </w:rPr>
        <w:tab/>
        <w:t xml:space="preserve">Borisova T.S. Ways to correct the nutritional status of preschool children // BSMU: 90 years at the forefront of medical science and practice: Mater. rep. scientific-practical conf. </w:t>
      </w:r>
      <w:r w:rsidR="00F44A75">
        <w:rPr>
          <w:rFonts w:cs="Times New Roman"/>
          <w:sz w:val="24"/>
          <w:szCs w:val="24"/>
        </w:rPr>
        <w:t>–</w:t>
      </w:r>
      <w:r w:rsidRPr="00B71C19">
        <w:rPr>
          <w:rFonts w:cs="Times New Roman"/>
          <w:sz w:val="24"/>
          <w:szCs w:val="24"/>
        </w:rPr>
        <w:t xml:space="preserve"> Minsk, 2011. </w:t>
      </w:r>
      <w:r w:rsidR="00F44A75">
        <w:rPr>
          <w:rFonts w:cs="Times New Roman"/>
          <w:sz w:val="24"/>
          <w:szCs w:val="24"/>
        </w:rPr>
        <w:t>–</w:t>
      </w:r>
      <w:r w:rsidRPr="00B71C19">
        <w:rPr>
          <w:rFonts w:cs="Times New Roman"/>
          <w:sz w:val="24"/>
          <w:szCs w:val="24"/>
        </w:rPr>
        <w:t xml:space="preserve"> pp. 4–5.</w:t>
      </w:r>
    </w:p>
    <w:p w14:paraId="3E4B16A3" w14:textId="373144EE"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w:t>
      </w:r>
      <w:r w:rsidRPr="00B71C19">
        <w:rPr>
          <w:rFonts w:cs="Times New Roman"/>
          <w:sz w:val="24"/>
          <w:szCs w:val="24"/>
        </w:rPr>
        <w:tab/>
        <w:t>Valakhanovich T.N. Correction of insufficient nutritional status of preschool chil</w:t>
      </w:r>
      <w:r>
        <w:rPr>
          <w:rFonts w:cs="Times New Roman"/>
          <w:sz w:val="24"/>
          <w:szCs w:val="24"/>
        </w:rPr>
        <w:softHyphen/>
      </w:r>
      <w:r w:rsidRPr="00B71C19">
        <w:rPr>
          <w:rFonts w:cs="Times New Roman"/>
          <w:sz w:val="24"/>
          <w:szCs w:val="24"/>
        </w:rPr>
        <w:t>dren due to dysbiotic changes: Mater. rep. sci</w:t>
      </w:r>
      <w:r>
        <w:rPr>
          <w:rFonts w:cs="Times New Roman"/>
          <w:sz w:val="24"/>
          <w:szCs w:val="24"/>
        </w:rPr>
        <w:softHyphen/>
      </w:r>
      <w:r w:rsidRPr="00B71C19">
        <w:rPr>
          <w:rFonts w:cs="Times New Roman"/>
          <w:sz w:val="24"/>
          <w:szCs w:val="24"/>
        </w:rPr>
        <w:t xml:space="preserve">entific-practical conf. </w:t>
      </w:r>
      <w:r w:rsidR="00F44A75">
        <w:rPr>
          <w:rFonts w:cs="Times New Roman"/>
          <w:sz w:val="24"/>
          <w:szCs w:val="24"/>
        </w:rPr>
        <w:t>–</w:t>
      </w:r>
      <w:r w:rsidRPr="00B71C19">
        <w:rPr>
          <w:rFonts w:cs="Times New Roman"/>
          <w:sz w:val="24"/>
          <w:szCs w:val="24"/>
        </w:rPr>
        <w:t xml:space="preserve"> M, 2014. </w:t>
      </w:r>
      <w:r w:rsidR="00F44A75">
        <w:rPr>
          <w:rFonts w:cs="Times New Roman"/>
          <w:sz w:val="24"/>
          <w:szCs w:val="24"/>
        </w:rPr>
        <w:t>–</w:t>
      </w:r>
      <w:r w:rsidRPr="00B71C19">
        <w:rPr>
          <w:rFonts w:cs="Times New Roman"/>
          <w:sz w:val="24"/>
          <w:szCs w:val="24"/>
        </w:rPr>
        <w:t xml:space="preserve"> pp. 228-230.</w:t>
      </w:r>
    </w:p>
    <w:p w14:paraId="61B044D4" w14:textId="6F2693A2"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7.</w:t>
      </w:r>
      <w:r w:rsidRPr="00B71C19">
        <w:rPr>
          <w:rFonts w:cs="Times New Roman"/>
          <w:sz w:val="24"/>
          <w:szCs w:val="24"/>
        </w:rPr>
        <w:tab/>
        <w:t>Vrzhesinskaya O.A., Kodentsova V.M., Safronova A.I. Evaluation of the availa</w:t>
      </w:r>
      <w:r>
        <w:rPr>
          <w:rFonts w:cs="Times New Roman"/>
          <w:sz w:val="24"/>
          <w:szCs w:val="24"/>
        </w:rPr>
        <w:softHyphen/>
      </w:r>
      <w:r w:rsidRPr="00B71C19">
        <w:rPr>
          <w:rFonts w:cs="Times New Roman"/>
          <w:sz w:val="24"/>
          <w:szCs w:val="24"/>
        </w:rPr>
        <w:t>bility of vitamins for children of preschool age by non-invasive methods // Pediatrics. 2016. No. 3. pp. 119-124.</w:t>
      </w:r>
    </w:p>
    <w:p w14:paraId="424D5C25" w14:textId="7995A845"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8.</w:t>
      </w:r>
      <w:r w:rsidRPr="00B71C19">
        <w:rPr>
          <w:rFonts w:cs="Times New Roman"/>
          <w:sz w:val="24"/>
          <w:szCs w:val="24"/>
        </w:rPr>
        <w:tab/>
        <w:t>Gerasimov G.A. About WHO rec</w:t>
      </w:r>
      <w:r>
        <w:rPr>
          <w:rFonts w:cs="Times New Roman"/>
          <w:sz w:val="24"/>
          <w:szCs w:val="24"/>
        </w:rPr>
        <w:softHyphen/>
      </w:r>
      <w:r w:rsidRPr="00B71C19">
        <w:rPr>
          <w:rFonts w:cs="Times New Roman"/>
          <w:sz w:val="24"/>
          <w:szCs w:val="24"/>
        </w:rPr>
        <w:t xml:space="preserve">ommendations </w:t>
      </w:r>
      <w:r w:rsidR="00F44A75">
        <w:rPr>
          <w:rFonts w:cs="Times New Roman"/>
          <w:sz w:val="24"/>
          <w:szCs w:val="24"/>
        </w:rPr>
        <w:t>“</w:t>
      </w:r>
      <w:r w:rsidRPr="00B71C19">
        <w:rPr>
          <w:rFonts w:cs="Times New Roman"/>
          <w:sz w:val="24"/>
          <w:szCs w:val="24"/>
        </w:rPr>
        <w:t>Fortification of dietary salt with iodine for the prevention of diseases caused by iodine deficiency</w:t>
      </w:r>
      <w:r w:rsidR="00F44A75">
        <w:rPr>
          <w:rFonts w:cs="Times New Roman"/>
          <w:sz w:val="24"/>
          <w:szCs w:val="24"/>
        </w:rPr>
        <w:t>”</w:t>
      </w:r>
      <w:r w:rsidRPr="00B71C19">
        <w:rPr>
          <w:rFonts w:cs="Times New Roman"/>
          <w:sz w:val="24"/>
          <w:szCs w:val="24"/>
        </w:rPr>
        <w:t xml:space="preserve"> // Clinical and ex</w:t>
      </w:r>
      <w:r>
        <w:rPr>
          <w:rFonts w:cs="Times New Roman"/>
          <w:sz w:val="24"/>
          <w:szCs w:val="24"/>
        </w:rPr>
        <w:softHyphen/>
      </w:r>
      <w:r w:rsidRPr="00B71C19">
        <w:rPr>
          <w:rFonts w:cs="Times New Roman"/>
          <w:sz w:val="24"/>
          <w:szCs w:val="24"/>
        </w:rPr>
        <w:t>pert. thyroidology. 2014. V. 10. No. 4. pp. 5-8.</w:t>
      </w:r>
    </w:p>
    <w:p w14:paraId="2CD4DD32" w14:textId="60872F1E"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9.</w:t>
      </w:r>
      <w:r w:rsidRPr="00B71C19">
        <w:rPr>
          <w:rFonts w:cs="Times New Roman"/>
          <w:sz w:val="24"/>
          <w:szCs w:val="24"/>
        </w:rPr>
        <w:tab/>
        <w:t>Gerasimov G.A., Van der Haar F., Lazarus J.H. Review of possible strategies for the prevention of iodine deficiency in the coun</w:t>
      </w:r>
      <w:r>
        <w:rPr>
          <w:rFonts w:cs="Times New Roman"/>
          <w:sz w:val="24"/>
          <w:szCs w:val="24"/>
        </w:rPr>
        <w:softHyphen/>
      </w:r>
      <w:r w:rsidRPr="00B71C19">
        <w:rPr>
          <w:rFonts w:cs="Times New Roman"/>
          <w:sz w:val="24"/>
          <w:szCs w:val="24"/>
        </w:rPr>
        <w:t>tries of South-Eastern Europe and Central Asia: 2009-2016 // Clinical and expert. thy</w:t>
      </w:r>
      <w:r>
        <w:rPr>
          <w:rFonts w:cs="Times New Roman"/>
          <w:sz w:val="24"/>
          <w:szCs w:val="24"/>
        </w:rPr>
        <w:softHyphen/>
      </w:r>
      <w:r w:rsidRPr="00B71C19">
        <w:rPr>
          <w:rFonts w:cs="Times New Roman"/>
          <w:sz w:val="24"/>
          <w:szCs w:val="24"/>
        </w:rPr>
        <w:t>roidology. 2017. V. 13, No. 4. pp. 16-22.</w:t>
      </w:r>
    </w:p>
    <w:p w14:paraId="7D369443" w14:textId="35D3A281"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lastRenderedPageBreak/>
        <w:t>10.</w:t>
      </w:r>
      <w:r w:rsidRPr="00B71C19">
        <w:rPr>
          <w:rFonts w:cs="Times New Roman"/>
          <w:sz w:val="24"/>
          <w:szCs w:val="24"/>
        </w:rPr>
        <w:tab/>
        <w:t>Dauksh I.A., Murathodzhaeva A.V. et al. Development of iron deficiency in fre</w:t>
      </w:r>
      <w:r>
        <w:rPr>
          <w:rFonts w:cs="Times New Roman"/>
          <w:sz w:val="24"/>
          <w:szCs w:val="24"/>
        </w:rPr>
        <w:softHyphen/>
      </w:r>
      <w:r w:rsidRPr="00B71C19">
        <w:rPr>
          <w:rFonts w:cs="Times New Roman"/>
          <w:sz w:val="24"/>
          <w:szCs w:val="24"/>
        </w:rPr>
        <w:t xml:space="preserve">quently ill children // Pediatrics. </w:t>
      </w:r>
      <w:r w:rsidR="00F44A75">
        <w:rPr>
          <w:rFonts w:cs="Times New Roman"/>
          <w:sz w:val="24"/>
          <w:szCs w:val="24"/>
        </w:rPr>
        <w:t>–</w:t>
      </w:r>
      <w:r w:rsidRPr="00B71C19">
        <w:rPr>
          <w:rFonts w:cs="Times New Roman"/>
          <w:sz w:val="24"/>
          <w:szCs w:val="24"/>
        </w:rPr>
        <w:t xml:space="preserve"> Tashkent, 2014 No. 3. pp. 80–82.</w:t>
      </w:r>
    </w:p>
    <w:p w14:paraId="31E2CB06" w14:textId="12C1CCB9"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11.</w:t>
      </w:r>
      <w:r w:rsidRPr="00B71C19">
        <w:rPr>
          <w:rFonts w:cs="Times New Roman"/>
          <w:sz w:val="24"/>
          <w:szCs w:val="24"/>
        </w:rPr>
        <w:tab/>
        <w:t xml:space="preserve">Duchanov B.A. </w:t>
      </w:r>
      <w:r w:rsidR="00F44A75">
        <w:rPr>
          <w:rFonts w:cs="Times New Roman"/>
          <w:sz w:val="24"/>
          <w:szCs w:val="24"/>
        </w:rPr>
        <w:pgNum/>
      </w:r>
      <w:r w:rsidR="00F44A75">
        <w:rPr>
          <w:rFonts w:cs="Times New Roman"/>
          <w:sz w:val="24"/>
          <w:szCs w:val="24"/>
        </w:rPr>
        <w:t>utria</w:t>
      </w:r>
      <w:r w:rsidR="00F44A75">
        <w:rPr>
          <w:rFonts w:cs="Times New Roman"/>
          <w:sz w:val="24"/>
          <w:szCs w:val="24"/>
        </w:rPr>
        <w:pgNum/>
      </w:r>
      <w:r w:rsidR="00F44A75">
        <w:rPr>
          <w:rFonts w:cs="Times New Roman"/>
          <w:sz w:val="24"/>
          <w:szCs w:val="24"/>
        </w:rPr>
        <w:t>ninga mal</w:t>
      </w:r>
      <w:r>
        <w:rPr>
          <w:rFonts w:cs="Times New Roman"/>
          <w:sz w:val="24"/>
          <w:szCs w:val="24"/>
        </w:rPr>
        <w:softHyphen/>
      </w:r>
      <w:r w:rsidRPr="00B71C19">
        <w:rPr>
          <w:rFonts w:cs="Times New Roman"/>
          <w:sz w:val="24"/>
          <w:szCs w:val="24"/>
        </w:rPr>
        <w:t xml:space="preserve">dagi ovkatlanishining hygienist tahlili. // Soғlom va parghez ovkatlanishning dolzarb muammolari. </w:t>
      </w:r>
      <w:r w:rsidR="00F44A75">
        <w:rPr>
          <w:rFonts w:cs="Times New Roman"/>
          <w:sz w:val="24"/>
          <w:szCs w:val="24"/>
        </w:rPr>
        <w:t>–</w:t>
      </w:r>
      <w:r w:rsidRPr="00B71C19">
        <w:rPr>
          <w:rFonts w:cs="Times New Roman"/>
          <w:sz w:val="24"/>
          <w:szCs w:val="24"/>
        </w:rPr>
        <w:t xml:space="preserve"> Tashkent, 2017. pp.43-45.</w:t>
      </w:r>
    </w:p>
    <w:p w14:paraId="6493623F" w14:textId="5A1738B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12.</w:t>
      </w:r>
      <w:r w:rsidRPr="00B71C19">
        <w:rPr>
          <w:rFonts w:cs="Times New Roman"/>
          <w:sz w:val="24"/>
          <w:szCs w:val="24"/>
        </w:rPr>
        <w:tab/>
        <w:t>Evstratova V.S., Radzhabkadiev R.M., Khanferyan R.A. The structure of con</w:t>
      </w:r>
      <w:r>
        <w:rPr>
          <w:rFonts w:cs="Times New Roman"/>
          <w:sz w:val="24"/>
          <w:szCs w:val="24"/>
        </w:rPr>
        <w:softHyphen/>
      </w:r>
      <w:r w:rsidRPr="00B71C19">
        <w:rPr>
          <w:rFonts w:cs="Times New Roman"/>
          <w:sz w:val="24"/>
          <w:szCs w:val="24"/>
        </w:rPr>
        <w:t>sumption of macronutrients by the population of various regions of the Russian Federation // Vopr. nutrition. 2018. V. 87, No. 2. S. 34-38.</w:t>
      </w:r>
    </w:p>
    <w:p w14:paraId="052CE627"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13.</w:t>
      </w:r>
      <w:r w:rsidRPr="00B71C19">
        <w:rPr>
          <w:rFonts w:cs="Times New Roman"/>
          <w:sz w:val="24"/>
          <w:szCs w:val="24"/>
        </w:rPr>
        <w:tab/>
        <w:t>Zhinchenko V.M., Gapparov M.G. Modern trends in research in nutrition and food hygiene // Vopr. nutrition. 2015. No. 1. pp. 4-14.</w:t>
      </w:r>
    </w:p>
    <w:p w14:paraId="268622C9" w14:textId="6C79AB21"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14.</w:t>
      </w:r>
      <w:r w:rsidRPr="00B71C19">
        <w:rPr>
          <w:rFonts w:cs="Times New Roman"/>
          <w:sz w:val="24"/>
          <w:szCs w:val="24"/>
        </w:rPr>
        <w:tab/>
        <w:t>Zakharova I.N., Tvorogova T.M., Gromova O.A., Evseeva E.A. Vitamin D defi</w:t>
      </w:r>
      <w:r>
        <w:rPr>
          <w:rFonts w:cs="Times New Roman"/>
          <w:sz w:val="24"/>
          <w:szCs w:val="24"/>
        </w:rPr>
        <w:softHyphen/>
      </w:r>
      <w:r w:rsidRPr="00B71C19">
        <w:rPr>
          <w:rFonts w:cs="Times New Roman"/>
          <w:sz w:val="24"/>
          <w:szCs w:val="24"/>
        </w:rPr>
        <w:t>ciency in adolescents: results of year-round screening in Moscow // Pediatrician. pharma</w:t>
      </w:r>
      <w:r>
        <w:rPr>
          <w:rFonts w:cs="Times New Roman"/>
          <w:sz w:val="24"/>
          <w:szCs w:val="24"/>
        </w:rPr>
        <w:softHyphen/>
      </w:r>
      <w:r w:rsidRPr="00B71C19">
        <w:rPr>
          <w:rFonts w:cs="Times New Roman"/>
          <w:sz w:val="24"/>
          <w:szCs w:val="24"/>
        </w:rPr>
        <w:t>cology. 2015. V. 12, No. 5. S. 528-531.</w:t>
      </w:r>
    </w:p>
    <w:p w14:paraId="02F150D7" w14:textId="2F41EAB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15.</w:t>
      </w:r>
      <w:r w:rsidRPr="00B71C19">
        <w:rPr>
          <w:rFonts w:cs="Times New Roman"/>
          <w:sz w:val="24"/>
          <w:szCs w:val="24"/>
        </w:rPr>
        <w:tab/>
        <w:t>Kon I.Ya., Kopytko M.V., Aleshko-Ozhevsky Yu.P. The study of the provision of zinc, copper and selenium to Moscow pre</w:t>
      </w:r>
      <w:r>
        <w:rPr>
          <w:rFonts w:cs="Times New Roman"/>
          <w:sz w:val="24"/>
          <w:szCs w:val="24"/>
        </w:rPr>
        <w:softHyphen/>
      </w:r>
      <w:r w:rsidRPr="00B71C19">
        <w:rPr>
          <w:rFonts w:cs="Times New Roman"/>
          <w:sz w:val="24"/>
          <w:szCs w:val="24"/>
        </w:rPr>
        <w:t>school children // Hygiene and Sanitation. -2001. – No. 1. – pp. 51-54.</w:t>
      </w:r>
    </w:p>
    <w:p w14:paraId="7EB6F715" w14:textId="7B0AEE9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16.</w:t>
      </w:r>
      <w:r w:rsidRPr="00B71C19">
        <w:rPr>
          <w:rFonts w:cs="Times New Roman"/>
          <w:sz w:val="24"/>
          <w:szCs w:val="24"/>
        </w:rPr>
        <w:tab/>
        <w:t>Kulikova A.S., Titova I.M. Analysis of the food and energy value of the menu of some municipal preschool educational institu</w:t>
      </w:r>
      <w:r>
        <w:rPr>
          <w:rFonts w:cs="Times New Roman"/>
          <w:sz w:val="24"/>
          <w:szCs w:val="24"/>
        </w:rPr>
        <w:softHyphen/>
      </w:r>
      <w:r w:rsidRPr="00B71C19">
        <w:rPr>
          <w:rFonts w:cs="Times New Roman"/>
          <w:sz w:val="24"/>
          <w:szCs w:val="24"/>
        </w:rPr>
        <w:t xml:space="preserve">tions of the Kaliningrad region // Vopr. </w:t>
      </w:r>
      <w:r w:rsidR="00F44A75">
        <w:rPr>
          <w:rFonts w:cs="Times New Roman"/>
          <w:sz w:val="24"/>
          <w:szCs w:val="24"/>
        </w:rPr>
        <w:pgNum/>
      </w:r>
      <w:r w:rsidR="00F44A75">
        <w:rPr>
          <w:rFonts w:cs="Times New Roman"/>
          <w:sz w:val="24"/>
          <w:szCs w:val="24"/>
        </w:rPr>
        <w:t>utria</w:t>
      </w:r>
      <w:r>
        <w:rPr>
          <w:rFonts w:cs="Times New Roman"/>
          <w:sz w:val="24"/>
          <w:szCs w:val="24"/>
        </w:rPr>
        <w:softHyphen/>
      </w:r>
      <w:r w:rsidRPr="00B71C19">
        <w:rPr>
          <w:rFonts w:cs="Times New Roman"/>
          <w:sz w:val="24"/>
          <w:szCs w:val="24"/>
        </w:rPr>
        <w:t>tion. 2019. V. 88, No. 1. pp. 71-76.</w:t>
      </w:r>
    </w:p>
    <w:p w14:paraId="4C31DC90" w14:textId="62E2B57C"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17.</w:t>
      </w:r>
      <w:r w:rsidRPr="00B71C19">
        <w:rPr>
          <w:rFonts w:cs="Times New Roman"/>
          <w:sz w:val="24"/>
          <w:szCs w:val="24"/>
        </w:rPr>
        <w:tab/>
        <w:t xml:space="preserve">Lear D.N. The state of actual </w:t>
      </w:r>
      <w:r w:rsidR="00F44A75">
        <w:rPr>
          <w:rFonts w:cs="Times New Roman"/>
          <w:sz w:val="24"/>
          <w:szCs w:val="24"/>
        </w:rPr>
        <w:pgNum/>
      </w:r>
      <w:r w:rsidR="00F44A75">
        <w:rPr>
          <w:rFonts w:cs="Times New Roman"/>
          <w:sz w:val="24"/>
          <w:szCs w:val="24"/>
        </w:rPr>
        <w:t>utria</w:t>
      </w:r>
      <w:r>
        <w:rPr>
          <w:rFonts w:cs="Times New Roman"/>
          <w:sz w:val="24"/>
          <w:szCs w:val="24"/>
        </w:rPr>
        <w:softHyphen/>
      </w:r>
      <w:r w:rsidRPr="00B71C19">
        <w:rPr>
          <w:rFonts w:cs="Times New Roman"/>
          <w:sz w:val="24"/>
          <w:szCs w:val="24"/>
        </w:rPr>
        <w:t xml:space="preserve">tion of children of preschool age in Perm // Health of the family </w:t>
      </w:r>
      <w:r w:rsidR="00F44A75">
        <w:rPr>
          <w:rFonts w:cs="Times New Roman"/>
          <w:sz w:val="24"/>
          <w:szCs w:val="24"/>
        </w:rPr>
        <w:t>–</w:t>
      </w:r>
      <w:r w:rsidRPr="00B71C19">
        <w:rPr>
          <w:rFonts w:cs="Times New Roman"/>
          <w:sz w:val="24"/>
          <w:szCs w:val="24"/>
        </w:rPr>
        <w:t xml:space="preserve"> 21</w:t>
      </w:r>
      <w:r w:rsidRPr="00F44A75">
        <w:rPr>
          <w:rFonts w:cs="Times New Roman"/>
          <w:sz w:val="24"/>
          <w:szCs w:val="24"/>
          <w:vertAlign w:val="superscript"/>
        </w:rPr>
        <w:t>st</w:t>
      </w:r>
      <w:r w:rsidRPr="00B71C19">
        <w:rPr>
          <w:rFonts w:cs="Times New Roman"/>
          <w:sz w:val="24"/>
          <w:szCs w:val="24"/>
        </w:rPr>
        <w:t xml:space="preserve"> century. 2014. No. 4. pp. 105-118.</w:t>
      </w:r>
    </w:p>
    <w:p w14:paraId="2FE75B80" w14:textId="6391F718"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18.</w:t>
      </w:r>
      <w:r w:rsidRPr="00B71C19">
        <w:rPr>
          <w:rFonts w:cs="Times New Roman"/>
          <w:sz w:val="24"/>
          <w:szCs w:val="24"/>
        </w:rPr>
        <w:tab/>
        <w:t>Martinchik A.N., Keshabyants E.E., Kambarov A.O., Peskova E.V. Bryantseva S.A., Bazarova L.B. Calcium in the diet of children of preschool and school age: main food sources and factors influencing consump</w:t>
      </w:r>
      <w:r>
        <w:rPr>
          <w:rFonts w:cs="Times New Roman"/>
          <w:sz w:val="24"/>
          <w:szCs w:val="24"/>
        </w:rPr>
        <w:softHyphen/>
      </w:r>
      <w:r w:rsidRPr="00B71C19">
        <w:rPr>
          <w:rFonts w:cs="Times New Roman"/>
          <w:sz w:val="24"/>
          <w:szCs w:val="24"/>
        </w:rPr>
        <w:t>tion // Vopr. nutrition. 2018. V. 87, No. 2. pp. 24-33.</w:t>
      </w:r>
    </w:p>
    <w:p w14:paraId="59AE1983" w14:textId="324D95AC"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19.</w:t>
      </w:r>
      <w:r w:rsidRPr="00B71C19">
        <w:rPr>
          <w:rFonts w:cs="Times New Roman"/>
          <w:sz w:val="24"/>
          <w:szCs w:val="24"/>
        </w:rPr>
        <w:tab/>
        <w:t xml:space="preserve">Niyazova M.T., Dzhalilov A.A. The impact of iron deficiency anemia on the body </w:t>
      </w:r>
      <w:r w:rsidRPr="00B71C19">
        <w:rPr>
          <w:rFonts w:cs="Times New Roman"/>
          <w:sz w:val="24"/>
          <w:szCs w:val="24"/>
        </w:rPr>
        <w:t xml:space="preserve">of preschool children and its treatment based on the principles of evidence-based medicine. Pediatrics. </w:t>
      </w:r>
      <w:r w:rsidR="00F44A75">
        <w:rPr>
          <w:rFonts w:cs="Times New Roman"/>
          <w:sz w:val="24"/>
          <w:szCs w:val="24"/>
        </w:rPr>
        <w:t>–</w:t>
      </w:r>
      <w:r w:rsidRPr="00B71C19">
        <w:rPr>
          <w:rFonts w:cs="Times New Roman"/>
          <w:sz w:val="24"/>
          <w:szCs w:val="24"/>
        </w:rPr>
        <w:t xml:space="preserve"> Tashkent, 2015. </w:t>
      </w:r>
      <w:r w:rsidR="00F44A75">
        <w:rPr>
          <w:rFonts w:cs="Times New Roman"/>
          <w:sz w:val="24"/>
          <w:szCs w:val="24"/>
        </w:rPr>
        <w:t>–</w:t>
      </w:r>
      <w:r w:rsidRPr="00B71C19">
        <w:rPr>
          <w:rFonts w:cs="Times New Roman"/>
          <w:sz w:val="24"/>
          <w:szCs w:val="24"/>
        </w:rPr>
        <w:t xml:space="preserve"> No. 1–2. – pp. 24-25.</w:t>
      </w:r>
    </w:p>
    <w:p w14:paraId="07159288" w14:textId="219363F1"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20.</w:t>
      </w:r>
      <w:r w:rsidRPr="00B71C19">
        <w:rPr>
          <w:rFonts w:cs="Times New Roman"/>
          <w:sz w:val="24"/>
          <w:szCs w:val="24"/>
        </w:rPr>
        <w:tab/>
        <w:t xml:space="preserve">Perevalov A.Ya., Lir D.N. Influence of nutrition on the component composition of the body of children of preschool age in the city of Perm // Health of the family </w:t>
      </w:r>
      <w:r w:rsidR="00F44A75">
        <w:rPr>
          <w:rFonts w:cs="Times New Roman"/>
          <w:sz w:val="24"/>
          <w:szCs w:val="24"/>
        </w:rPr>
        <w:t>–</w:t>
      </w:r>
      <w:r w:rsidRPr="00B71C19">
        <w:rPr>
          <w:rFonts w:cs="Times New Roman"/>
          <w:sz w:val="24"/>
          <w:szCs w:val="24"/>
        </w:rPr>
        <w:t xml:space="preserve"> 21</w:t>
      </w:r>
      <w:r w:rsidRPr="00F44A75">
        <w:rPr>
          <w:rFonts w:cs="Times New Roman"/>
          <w:sz w:val="24"/>
          <w:szCs w:val="24"/>
          <w:vertAlign w:val="superscript"/>
        </w:rPr>
        <w:t>st</w:t>
      </w:r>
      <w:r w:rsidRPr="00B71C19">
        <w:rPr>
          <w:rFonts w:cs="Times New Roman"/>
          <w:sz w:val="24"/>
          <w:szCs w:val="24"/>
        </w:rPr>
        <w:t xml:space="preserve"> cen</w:t>
      </w:r>
      <w:r>
        <w:rPr>
          <w:rFonts w:cs="Times New Roman"/>
          <w:sz w:val="24"/>
          <w:szCs w:val="24"/>
        </w:rPr>
        <w:softHyphen/>
      </w:r>
      <w:r w:rsidRPr="00B71C19">
        <w:rPr>
          <w:rFonts w:cs="Times New Roman"/>
          <w:sz w:val="24"/>
          <w:szCs w:val="24"/>
        </w:rPr>
        <w:t>tury (electronic periodical). 2015. No. 1. pp. 116-125.</w:t>
      </w:r>
    </w:p>
    <w:p w14:paraId="61A31A03" w14:textId="3304C949"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21.</w:t>
      </w:r>
      <w:r w:rsidRPr="00B71C19">
        <w:rPr>
          <w:rFonts w:cs="Times New Roman"/>
          <w:sz w:val="24"/>
          <w:szCs w:val="24"/>
        </w:rPr>
        <w:tab/>
        <w:t>Plaksina N.I., Sorokina A.A. Pre</w:t>
      </w:r>
      <w:r>
        <w:rPr>
          <w:rFonts w:cs="Times New Roman"/>
          <w:sz w:val="24"/>
          <w:szCs w:val="24"/>
        </w:rPr>
        <w:softHyphen/>
      </w:r>
      <w:r w:rsidRPr="00B71C19">
        <w:rPr>
          <w:rFonts w:cs="Times New Roman"/>
          <w:sz w:val="24"/>
          <w:szCs w:val="24"/>
        </w:rPr>
        <w:t xml:space="preserve">conditions for the Formation of Aggressive Behavior in Preschool Children // Territory of Science. 2014. </w:t>
      </w:r>
      <w:r w:rsidR="00F44A75">
        <w:rPr>
          <w:rFonts w:cs="Times New Roman"/>
          <w:sz w:val="24"/>
          <w:szCs w:val="24"/>
        </w:rPr>
        <w:t>–</w:t>
      </w:r>
      <w:r w:rsidRPr="00B71C19">
        <w:rPr>
          <w:rFonts w:cs="Times New Roman"/>
          <w:sz w:val="24"/>
          <w:szCs w:val="24"/>
        </w:rPr>
        <w:t xml:space="preserve"> T 1. </w:t>
      </w:r>
      <w:r w:rsidR="00F44A75">
        <w:rPr>
          <w:rFonts w:cs="Times New Roman"/>
          <w:sz w:val="24"/>
          <w:szCs w:val="24"/>
        </w:rPr>
        <w:t>–</w:t>
      </w:r>
      <w:r w:rsidRPr="00B71C19">
        <w:rPr>
          <w:rFonts w:cs="Times New Roman"/>
          <w:sz w:val="24"/>
          <w:szCs w:val="24"/>
        </w:rPr>
        <w:t xml:space="preserve"> No. 1. </w:t>
      </w:r>
      <w:r w:rsidR="00F44A75">
        <w:rPr>
          <w:rFonts w:cs="Times New Roman"/>
          <w:sz w:val="24"/>
          <w:szCs w:val="24"/>
        </w:rPr>
        <w:t>–</w:t>
      </w:r>
      <w:r w:rsidRPr="00B71C19">
        <w:rPr>
          <w:rFonts w:cs="Times New Roman"/>
          <w:sz w:val="24"/>
          <w:szCs w:val="24"/>
        </w:rPr>
        <w:t xml:space="preserve"> S. 54–58.</w:t>
      </w:r>
    </w:p>
    <w:p w14:paraId="4929BE2E"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22.</w:t>
      </w:r>
      <w:r w:rsidRPr="00B71C19">
        <w:rPr>
          <w:rFonts w:cs="Times New Roman"/>
          <w:sz w:val="24"/>
          <w:szCs w:val="24"/>
        </w:rPr>
        <w:tab/>
        <w:t>Platonova N.M. Iodine deficiency: current state of the problem // Klin. and expert. thyroidology. 2015. V. 11, No. 1. pp. 12-21.</w:t>
      </w:r>
    </w:p>
    <w:p w14:paraId="6171C36D" w14:textId="2545AE02"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23.</w:t>
      </w:r>
      <w:r w:rsidRPr="00B71C19">
        <w:rPr>
          <w:rFonts w:cs="Times New Roman"/>
          <w:sz w:val="24"/>
          <w:szCs w:val="24"/>
        </w:rPr>
        <w:tab/>
        <w:t>Revyakina V.A., Korotkova T.N., Kuvshinova E.D., Larkova I.A., Aleksandrova N.M. Security with magnesium and vitamin B2 in children with bronchial asthma and obe</w:t>
      </w:r>
      <w:r>
        <w:rPr>
          <w:rFonts w:cs="Times New Roman"/>
          <w:sz w:val="24"/>
          <w:szCs w:val="24"/>
        </w:rPr>
        <w:softHyphen/>
      </w:r>
      <w:r w:rsidRPr="00B71C19">
        <w:rPr>
          <w:rFonts w:cs="Times New Roman"/>
          <w:sz w:val="24"/>
          <w:szCs w:val="24"/>
        </w:rPr>
        <w:t>sity. Vopr. nutrition. 2019. V. 88, No. 3. pp. 78-83.</w:t>
      </w:r>
    </w:p>
    <w:p w14:paraId="646308D5"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24.</w:t>
      </w:r>
      <w:r w:rsidRPr="00B71C19">
        <w:rPr>
          <w:rFonts w:cs="Times New Roman"/>
          <w:sz w:val="24"/>
          <w:szCs w:val="24"/>
        </w:rPr>
        <w:tab/>
        <w:t>Leadership. Sodium intake for adults and children. Resume. WHO, 2013. pp.7.</w:t>
      </w:r>
    </w:p>
    <w:p w14:paraId="4656C439" w14:textId="65C9D34A"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25.</w:t>
      </w:r>
      <w:r w:rsidRPr="00B71C19">
        <w:rPr>
          <w:rFonts w:cs="Times New Roman"/>
          <w:sz w:val="24"/>
          <w:szCs w:val="24"/>
        </w:rPr>
        <w:tab/>
        <w:t>Soltan M.M. Methodical approaches to the development and introduction of func</w:t>
      </w:r>
      <w:r>
        <w:rPr>
          <w:rFonts w:cs="Times New Roman"/>
          <w:sz w:val="24"/>
          <w:szCs w:val="24"/>
        </w:rPr>
        <w:softHyphen/>
      </w:r>
      <w:r w:rsidRPr="00B71C19">
        <w:rPr>
          <w:rFonts w:cs="Times New Roman"/>
          <w:sz w:val="24"/>
          <w:szCs w:val="24"/>
        </w:rPr>
        <w:t>tional products in the diet of children of an or</w:t>
      </w:r>
      <w:r>
        <w:rPr>
          <w:rFonts w:cs="Times New Roman"/>
          <w:sz w:val="24"/>
          <w:szCs w:val="24"/>
        </w:rPr>
        <w:softHyphen/>
      </w:r>
      <w:r w:rsidRPr="00B71C19">
        <w:rPr>
          <w:rFonts w:cs="Times New Roman"/>
          <w:sz w:val="24"/>
          <w:szCs w:val="24"/>
        </w:rPr>
        <w:t xml:space="preserve">ganized team // Actual problems of prevention in medicine: Mater. rep. scientific-practical conf. </w:t>
      </w:r>
      <w:r w:rsidR="00F44A75">
        <w:rPr>
          <w:rFonts w:cs="Times New Roman"/>
          <w:sz w:val="24"/>
          <w:szCs w:val="24"/>
        </w:rPr>
        <w:t>–</w:t>
      </w:r>
      <w:r w:rsidRPr="00B71C19">
        <w:rPr>
          <w:rFonts w:cs="Times New Roman"/>
          <w:sz w:val="24"/>
          <w:szCs w:val="24"/>
        </w:rPr>
        <w:t xml:space="preserve"> Minsk, 2014. </w:t>
      </w:r>
      <w:r w:rsidR="00F44A75">
        <w:rPr>
          <w:rFonts w:cs="Times New Roman"/>
          <w:sz w:val="24"/>
          <w:szCs w:val="24"/>
        </w:rPr>
        <w:t>–</w:t>
      </w:r>
      <w:r w:rsidRPr="00B71C19">
        <w:rPr>
          <w:rFonts w:cs="Times New Roman"/>
          <w:sz w:val="24"/>
          <w:szCs w:val="24"/>
        </w:rPr>
        <w:t xml:space="preserve"> pp. 82-88.</w:t>
      </w:r>
    </w:p>
    <w:p w14:paraId="09B28751" w14:textId="2CBBF70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26.</w:t>
      </w:r>
      <w:r w:rsidRPr="00B71C19">
        <w:rPr>
          <w:rFonts w:cs="Times New Roman"/>
          <w:sz w:val="24"/>
          <w:szCs w:val="24"/>
        </w:rPr>
        <w:tab/>
        <w:t>Sysoeva E.I., Kadukova R.R. Anal</w:t>
      </w:r>
      <w:r>
        <w:rPr>
          <w:rFonts w:cs="Times New Roman"/>
          <w:sz w:val="24"/>
          <w:szCs w:val="24"/>
        </w:rPr>
        <w:softHyphen/>
      </w:r>
      <w:r w:rsidRPr="00B71C19">
        <w:rPr>
          <w:rFonts w:cs="Times New Roman"/>
          <w:sz w:val="24"/>
          <w:szCs w:val="24"/>
        </w:rPr>
        <w:t>ysis of the consumption of bread and bakery products // Scientific and methodological elec</w:t>
      </w:r>
      <w:r>
        <w:rPr>
          <w:rFonts w:cs="Times New Roman"/>
          <w:sz w:val="24"/>
          <w:szCs w:val="24"/>
        </w:rPr>
        <w:softHyphen/>
      </w:r>
      <w:r w:rsidRPr="00B71C19">
        <w:rPr>
          <w:rFonts w:cs="Times New Roman"/>
          <w:sz w:val="24"/>
          <w:szCs w:val="24"/>
        </w:rPr>
        <w:t>tronic journal-</w:t>
      </w:r>
      <w:r w:rsidR="00F44A75">
        <w:rPr>
          <w:rFonts w:cs="Times New Roman"/>
          <w:sz w:val="24"/>
          <w:szCs w:val="24"/>
        </w:rPr>
        <w:t>“</w:t>
      </w:r>
      <w:r w:rsidRPr="00B71C19">
        <w:rPr>
          <w:rFonts w:cs="Times New Roman"/>
          <w:sz w:val="24"/>
          <w:szCs w:val="24"/>
        </w:rPr>
        <w:t>Concept</w:t>
      </w:r>
      <w:r w:rsidR="00F44A75">
        <w:rPr>
          <w:rFonts w:cs="Times New Roman"/>
          <w:sz w:val="24"/>
          <w:szCs w:val="24"/>
        </w:rPr>
        <w:t>”</w:t>
      </w:r>
      <w:r w:rsidRPr="00B71C19">
        <w:rPr>
          <w:rFonts w:cs="Times New Roman"/>
          <w:sz w:val="24"/>
          <w:szCs w:val="24"/>
        </w:rPr>
        <w:t>. 2017. V. 24. pp. 122-125</w:t>
      </w:r>
    </w:p>
    <w:p w14:paraId="20FDE247" w14:textId="52593661"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27.</w:t>
      </w:r>
      <w:r w:rsidRPr="00B71C19">
        <w:rPr>
          <w:rFonts w:cs="Times New Roman"/>
          <w:sz w:val="24"/>
          <w:szCs w:val="24"/>
        </w:rPr>
        <w:tab/>
        <w:t>Tazhibaev Sh.S., Saimasaeva G.A., Apsemetova M.A., Kakimova G.S. Organiza</w:t>
      </w:r>
      <w:r>
        <w:rPr>
          <w:rFonts w:cs="Times New Roman"/>
          <w:sz w:val="24"/>
          <w:szCs w:val="24"/>
        </w:rPr>
        <w:softHyphen/>
      </w:r>
      <w:r w:rsidRPr="00B71C19">
        <w:rPr>
          <w:rFonts w:cs="Times New Roman"/>
          <w:sz w:val="24"/>
          <w:szCs w:val="24"/>
        </w:rPr>
        <w:t>tion of nutrition for children in educational in</w:t>
      </w:r>
      <w:r>
        <w:rPr>
          <w:rFonts w:cs="Times New Roman"/>
          <w:sz w:val="24"/>
          <w:szCs w:val="24"/>
        </w:rPr>
        <w:softHyphen/>
      </w:r>
      <w:r w:rsidRPr="00B71C19">
        <w:rPr>
          <w:rFonts w:cs="Times New Roman"/>
          <w:sz w:val="24"/>
          <w:szCs w:val="24"/>
        </w:rPr>
        <w:t>stitutions // Collection of normative and scien</w:t>
      </w:r>
      <w:r>
        <w:rPr>
          <w:rFonts w:cs="Times New Roman"/>
          <w:sz w:val="24"/>
          <w:szCs w:val="24"/>
        </w:rPr>
        <w:softHyphen/>
      </w:r>
      <w:r w:rsidRPr="00B71C19">
        <w:rPr>
          <w:rFonts w:cs="Times New Roman"/>
          <w:sz w:val="24"/>
          <w:szCs w:val="24"/>
        </w:rPr>
        <w:t>tific-methodical materials for organizers of school meals. Almaty: Asem-System, 2008. 119 p.</w:t>
      </w:r>
    </w:p>
    <w:p w14:paraId="46DE8BF1" w14:textId="27B423C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lastRenderedPageBreak/>
        <w:t>28.</w:t>
      </w:r>
      <w:r w:rsidRPr="00B71C19">
        <w:rPr>
          <w:rFonts w:cs="Times New Roman"/>
          <w:sz w:val="24"/>
          <w:szCs w:val="24"/>
        </w:rPr>
        <w:tab/>
        <w:t>Tapeshkina N.V. Features of the structure of nutrition of preschoolers on week</w:t>
      </w:r>
      <w:r>
        <w:rPr>
          <w:rFonts w:cs="Times New Roman"/>
          <w:sz w:val="24"/>
          <w:szCs w:val="24"/>
        </w:rPr>
        <w:softHyphen/>
      </w:r>
      <w:r w:rsidRPr="00B71C19">
        <w:rPr>
          <w:rFonts w:cs="Times New Roman"/>
          <w:sz w:val="24"/>
          <w:szCs w:val="24"/>
        </w:rPr>
        <w:t>ends (short message) // Vopr. nutrition. 2014. V. 83, No. 2. pp. 64-67.</w:t>
      </w:r>
    </w:p>
    <w:p w14:paraId="62AB87B2" w14:textId="29790999"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29.</w:t>
      </w:r>
      <w:r w:rsidRPr="00B71C19">
        <w:rPr>
          <w:rFonts w:cs="Times New Roman"/>
          <w:sz w:val="24"/>
          <w:szCs w:val="24"/>
        </w:rPr>
        <w:tab/>
        <w:t>Titov E.I., Tikhomirova N.A., Ionova I.I. Isolation and study of the iron-bind</w:t>
      </w:r>
      <w:r>
        <w:rPr>
          <w:rFonts w:cs="Times New Roman"/>
          <w:sz w:val="24"/>
          <w:szCs w:val="24"/>
        </w:rPr>
        <w:softHyphen/>
      </w:r>
      <w:r w:rsidRPr="00B71C19">
        <w:rPr>
          <w:rFonts w:cs="Times New Roman"/>
          <w:sz w:val="24"/>
          <w:szCs w:val="24"/>
        </w:rPr>
        <w:t>ing ability of cow</w:t>
      </w:r>
      <w:r w:rsidR="00F44A75">
        <w:rPr>
          <w:rFonts w:cs="Times New Roman"/>
          <w:sz w:val="24"/>
          <w:szCs w:val="24"/>
        </w:rPr>
        <w:t>’</w:t>
      </w:r>
      <w:r w:rsidRPr="00B71C19">
        <w:rPr>
          <w:rFonts w:cs="Times New Roman"/>
          <w:sz w:val="24"/>
          <w:szCs w:val="24"/>
        </w:rPr>
        <w:t>s milk lactoferrin // Vopr. nu</w:t>
      </w:r>
      <w:r>
        <w:rPr>
          <w:rFonts w:cs="Times New Roman"/>
          <w:sz w:val="24"/>
          <w:szCs w:val="24"/>
        </w:rPr>
        <w:softHyphen/>
      </w:r>
      <w:r w:rsidRPr="00B71C19">
        <w:rPr>
          <w:rFonts w:cs="Times New Roman"/>
          <w:sz w:val="24"/>
          <w:szCs w:val="24"/>
        </w:rPr>
        <w:t>trition. 2019. V. 88, No. 1. pp. 91-96.</w:t>
      </w:r>
    </w:p>
    <w:p w14:paraId="6981AE20" w14:textId="5D24A472"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30.</w:t>
      </w:r>
      <w:r w:rsidRPr="00B71C19">
        <w:rPr>
          <w:rFonts w:cs="Times New Roman"/>
          <w:sz w:val="24"/>
          <w:szCs w:val="24"/>
        </w:rPr>
        <w:tab/>
        <w:t>Tutelyan V.A. On the norms of physiological needs for energy and food sub</w:t>
      </w:r>
      <w:r>
        <w:rPr>
          <w:rFonts w:cs="Times New Roman"/>
          <w:sz w:val="24"/>
          <w:szCs w:val="24"/>
        </w:rPr>
        <w:softHyphen/>
      </w:r>
      <w:r w:rsidRPr="00B71C19">
        <w:rPr>
          <w:rFonts w:cs="Times New Roman"/>
          <w:sz w:val="24"/>
          <w:szCs w:val="24"/>
        </w:rPr>
        <w:t>stances for various groups of the population of the Russian Federation // Vopr. nutrition. 2009. V. 78, No. 1. pp. 4-15.</w:t>
      </w:r>
    </w:p>
    <w:p w14:paraId="2F01E222" w14:textId="1F475F35"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31.</w:t>
      </w:r>
      <w:r w:rsidRPr="00B71C19">
        <w:rPr>
          <w:rFonts w:cs="Times New Roman"/>
          <w:sz w:val="24"/>
          <w:szCs w:val="24"/>
        </w:rPr>
        <w:tab/>
        <w:t>Tutel</w:t>
      </w:r>
      <w:r w:rsidR="00F44A75">
        <w:rPr>
          <w:rFonts w:cs="Times New Roman"/>
          <w:sz w:val="24"/>
          <w:szCs w:val="24"/>
        </w:rPr>
        <w:t>’</w:t>
      </w:r>
      <w:r w:rsidRPr="00B71C19">
        <w:rPr>
          <w:rFonts w:cs="Times New Roman"/>
          <w:sz w:val="24"/>
          <w:szCs w:val="24"/>
        </w:rPr>
        <w:t>yan V.A., Baturin A.K., Kon</w:t>
      </w:r>
      <w:r w:rsidR="00F44A75">
        <w:rPr>
          <w:rFonts w:cs="Times New Roman"/>
          <w:sz w:val="24"/>
          <w:szCs w:val="24"/>
        </w:rPr>
        <w:t>’</w:t>
      </w:r>
      <w:r w:rsidRPr="00B71C19">
        <w:rPr>
          <w:rFonts w:cs="Times New Roman"/>
          <w:sz w:val="24"/>
          <w:szCs w:val="24"/>
        </w:rPr>
        <w:t xml:space="preserve"> I.Ya. The prevalence of obesity and over</w:t>
      </w:r>
      <w:r>
        <w:rPr>
          <w:rFonts w:cs="Times New Roman"/>
          <w:sz w:val="24"/>
          <w:szCs w:val="24"/>
        </w:rPr>
        <w:softHyphen/>
      </w:r>
      <w:r w:rsidRPr="00B71C19">
        <w:rPr>
          <w:rFonts w:cs="Times New Roman"/>
          <w:sz w:val="24"/>
          <w:szCs w:val="24"/>
        </w:rPr>
        <w:t>weight among the children</w:t>
      </w:r>
      <w:r w:rsidR="00F44A75">
        <w:rPr>
          <w:rFonts w:cs="Times New Roman"/>
          <w:sz w:val="24"/>
          <w:szCs w:val="24"/>
        </w:rPr>
        <w:t>’</w:t>
      </w:r>
      <w:r w:rsidRPr="00B71C19">
        <w:rPr>
          <w:rFonts w:cs="Times New Roman"/>
          <w:sz w:val="24"/>
          <w:szCs w:val="24"/>
        </w:rPr>
        <w:t>s population of the Russian Federation: a multicenter study // Pe</w:t>
      </w:r>
      <w:r>
        <w:rPr>
          <w:rFonts w:cs="Times New Roman"/>
          <w:sz w:val="24"/>
          <w:szCs w:val="24"/>
        </w:rPr>
        <w:softHyphen/>
      </w:r>
      <w:r w:rsidRPr="00B71C19">
        <w:rPr>
          <w:rFonts w:cs="Times New Roman"/>
          <w:sz w:val="24"/>
          <w:szCs w:val="24"/>
        </w:rPr>
        <w:t>diatrics. 2014. V. 93, No. 5. pp. 28-31.</w:t>
      </w:r>
    </w:p>
    <w:p w14:paraId="764D0A64" w14:textId="66E1A172"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32.</w:t>
      </w:r>
      <w:r w:rsidRPr="00B71C19">
        <w:rPr>
          <w:rFonts w:cs="Times New Roman"/>
          <w:sz w:val="24"/>
          <w:szCs w:val="24"/>
        </w:rPr>
        <w:tab/>
        <w:t xml:space="preserve">Tutelyan V.A., Vyalkov A.I., Razumov A.N., Mikhailov V.I., Moskalenko K.A., Odinets V.G. and other Scientific bases of healthy nutrition. M.: Publishing house </w:t>
      </w:r>
      <w:r w:rsidR="00F44A75">
        <w:rPr>
          <w:rFonts w:cs="Times New Roman"/>
          <w:sz w:val="24"/>
          <w:szCs w:val="24"/>
        </w:rPr>
        <w:t>“</w:t>
      </w:r>
      <w:r w:rsidRPr="00B71C19">
        <w:rPr>
          <w:rFonts w:cs="Times New Roman"/>
          <w:sz w:val="24"/>
          <w:szCs w:val="24"/>
        </w:rPr>
        <w:t>Panorama</w:t>
      </w:r>
      <w:r w:rsidR="00F44A75">
        <w:rPr>
          <w:rFonts w:cs="Times New Roman"/>
          <w:sz w:val="24"/>
          <w:szCs w:val="24"/>
        </w:rPr>
        <w:t>”</w:t>
      </w:r>
      <w:r w:rsidRPr="00B71C19">
        <w:rPr>
          <w:rFonts w:cs="Times New Roman"/>
          <w:sz w:val="24"/>
          <w:szCs w:val="24"/>
        </w:rPr>
        <w:t>, 2010. pp.816.</w:t>
      </w:r>
    </w:p>
    <w:p w14:paraId="04948895" w14:textId="52B16708"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33.</w:t>
      </w:r>
      <w:r w:rsidRPr="00B71C19">
        <w:rPr>
          <w:rFonts w:cs="Times New Roman"/>
          <w:sz w:val="24"/>
          <w:szCs w:val="24"/>
        </w:rPr>
        <w:tab/>
        <w:t>Uzakbaev K.A. Health protection of children and adolescents: Problems and pro</w:t>
      </w:r>
      <w:r>
        <w:rPr>
          <w:rFonts w:cs="Times New Roman"/>
          <w:sz w:val="24"/>
          <w:szCs w:val="24"/>
        </w:rPr>
        <w:softHyphen/>
      </w:r>
      <w:r w:rsidRPr="00B71C19">
        <w:rPr>
          <w:rFonts w:cs="Times New Roman"/>
          <w:sz w:val="24"/>
          <w:szCs w:val="24"/>
        </w:rPr>
        <w:t>spects of development.// Health and the child.– 2013.-No. 5 (I).pp.3-9.</w:t>
      </w:r>
    </w:p>
    <w:p w14:paraId="51485F1F"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34.</w:t>
      </w:r>
      <w:r w:rsidRPr="00B71C19">
        <w:rPr>
          <w:rFonts w:cs="Times New Roman"/>
          <w:sz w:val="24"/>
          <w:szCs w:val="24"/>
        </w:rPr>
        <w:tab/>
        <w:t>Khanferyan R.A., Radzhabkadiev R.M., Evstratova V.S., Galstyan A.G., Khurshudyan S.A., Semin V.B. Consumption of carbohydrate-containing drinks and their contribution to the total calorie content of the diet // Vopr. nutrition. 2018. V. 87, No. 2. pp. 39-43.</w:t>
      </w:r>
    </w:p>
    <w:p w14:paraId="6075FB6E" w14:textId="2704F6E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35.</w:t>
      </w:r>
      <w:r w:rsidRPr="00B71C19">
        <w:rPr>
          <w:rFonts w:cs="Times New Roman"/>
          <w:sz w:val="24"/>
          <w:szCs w:val="24"/>
        </w:rPr>
        <w:tab/>
        <w:t>Shaykhova G.I., Saidaliev S.S., Khusanova N.F. The state of health of children of preparatory groups of children</w:t>
      </w:r>
      <w:r w:rsidR="00F44A75">
        <w:rPr>
          <w:rFonts w:cs="Times New Roman"/>
          <w:sz w:val="24"/>
          <w:szCs w:val="24"/>
        </w:rPr>
        <w:t>’</w:t>
      </w:r>
      <w:r w:rsidRPr="00B71C19">
        <w:rPr>
          <w:rFonts w:cs="Times New Roman"/>
          <w:sz w:val="24"/>
          <w:szCs w:val="24"/>
        </w:rPr>
        <w:t>s preschool institutions in Tashkent // Ecology and devel</w:t>
      </w:r>
      <w:r>
        <w:rPr>
          <w:rFonts w:cs="Times New Roman"/>
          <w:sz w:val="24"/>
          <w:szCs w:val="24"/>
        </w:rPr>
        <w:softHyphen/>
      </w:r>
      <w:r w:rsidRPr="00B71C19">
        <w:rPr>
          <w:rFonts w:cs="Times New Roman"/>
          <w:sz w:val="24"/>
          <w:szCs w:val="24"/>
        </w:rPr>
        <w:t>opment of society. Materials of the XIV inter</w:t>
      </w:r>
      <w:r>
        <w:rPr>
          <w:rFonts w:cs="Times New Roman"/>
          <w:sz w:val="24"/>
          <w:szCs w:val="24"/>
        </w:rPr>
        <w:softHyphen/>
      </w:r>
      <w:r w:rsidRPr="00B71C19">
        <w:rPr>
          <w:rFonts w:cs="Times New Roman"/>
          <w:sz w:val="24"/>
          <w:szCs w:val="24"/>
        </w:rPr>
        <w:t xml:space="preserve">national conference. </w:t>
      </w:r>
      <w:r w:rsidR="00F44A75">
        <w:rPr>
          <w:rFonts w:cs="Times New Roman"/>
          <w:sz w:val="24"/>
          <w:szCs w:val="24"/>
        </w:rPr>
        <w:t>–</w:t>
      </w:r>
      <w:r w:rsidRPr="00B71C19">
        <w:rPr>
          <w:rFonts w:cs="Times New Roman"/>
          <w:sz w:val="24"/>
          <w:szCs w:val="24"/>
        </w:rPr>
        <w:t xml:space="preserve"> St. Petersburg, 2012. pp. 97-101.</w:t>
      </w:r>
    </w:p>
    <w:p w14:paraId="293B9CA1" w14:textId="37209D99"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36.</w:t>
      </w:r>
      <w:r w:rsidRPr="00B71C19">
        <w:rPr>
          <w:rFonts w:cs="Times New Roman"/>
          <w:sz w:val="24"/>
          <w:szCs w:val="24"/>
        </w:rPr>
        <w:tab/>
        <w:t>Shaykhova G.I., Khusanova N.F. Hygienic assessment of the functional readi</w:t>
      </w:r>
      <w:r>
        <w:rPr>
          <w:rFonts w:cs="Times New Roman"/>
          <w:sz w:val="24"/>
          <w:szCs w:val="24"/>
        </w:rPr>
        <w:softHyphen/>
      </w:r>
      <w:r w:rsidRPr="00B71C19">
        <w:rPr>
          <w:rFonts w:cs="Times New Roman"/>
          <w:sz w:val="24"/>
          <w:szCs w:val="24"/>
        </w:rPr>
        <w:t>ness of preschool children for systematic edu</w:t>
      </w:r>
      <w:r>
        <w:rPr>
          <w:rFonts w:cs="Times New Roman"/>
          <w:sz w:val="24"/>
          <w:szCs w:val="24"/>
        </w:rPr>
        <w:softHyphen/>
      </w:r>
      <w:r w:rsidRPr="00B71C19">
        <w:rPr>
          <w:rFonts w:cs="Times New Roman"/>
          <w:sz w:val="24"/>
          <w:szCs w:val="24"/>
        </w:rPr>
        <w:t xml:space="preserve">cation // Medical News. </w:t>
      </w:r>
      <w:r w:rsidR="00F44A75">
        <w:rPr>
          <w:rFonts w:cs="Times New Roman"/>
          <w:sz w:val="24"/>
          <w:szCs w:val="24"/>
        </w:rPr>
        <w:t>–</w:t>
      </w:r>
      <w:r w:rsidRPr="00B71C19">
        <w:rPr>
          <w:rFonts w:cs="Times New Roman"/>
          <w:sz w:val="24"/>
          <w:szCs w:val="24"/>
        </w:rPr>
        <w:t xml:space="preserve"> Belarus, 2019. </w:t>
      </w:r>
      <w:r w:rsidR="00F44A75">
        <w:rPr>
          <w:rFonts w:cs="Times New Roman"/>
          <w:sz w:val="24"/>
          <w:szCs w:val="24"/>
        </w:rPr>
        <w:t>–</w:t>
      </w:r>
      <w:r w:rsidRPr="00B71C19">
        <w:rPr>
          <w:rFonts w:cs="Times New Roman"/>
          <w:sz w:val="24"/>
          <w:szCs w:val="24"/>
        </w:rPr>
        <w:t xml:space="preserve"> No. 6. </w:t>
      </w:r>
      <w:r w:rsidR="00F44A75">
        <w:rPr>
          <w:rFonts w:cs="Times New Roman"/>
          <w:sz w:val="24"/>
          <w:szCs w:val="24"/>
        </w:rPr>
        <w:t>–</w:t>
      </w:r>
      <w:r w:rsidRPr="00B71C19">
        <w:rPr>
          <w:rFonts w:cs="Times New Roman"/>
          <w:sz w:val="24"/>
          <w:szCs w:val="24"/>
        </w:rPr>
        <w:t xml:space="preserve"> pp. 71-74.</w:t>
      </w:r>
    </w:p>
    <w:p w14:paraId="6EF49504" w14:textId="4741645D"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37.</w:t>
      </w:r>
      <w:r w:rsidRPr="00B71C19">
        <w:rPr>
          <w:rFonts w:cs="Times New Roman"/>
          <w:sz w:val="24"/>
          <w:szCs w:val="24"/>
        </w:rPr>
        <w:tab/>
        <w:t>Shaykhova G.I., Ermatov N.Zh. Im</w:t>
      </w:r>
      <w:r>
        <w:rPr>
          <w:rFonts w:cs="Times New Roman"/>
          <w:sz w:val="24"/>
          <w:szCs w:val="24"/>
        </w:rPr>
        <w:softHyphen/>
      </w:r>
      <w:r w:rsidRPr="00B71C19">
        <w:rPr>
          <w:rFonts w:cs="Times New Roman"/>
          <w:sz w:val="24"/>
          <w:szCs w:val="24"/>
        </w:rPr>
        <w:t xml:space="preserve">portance of essential trace elements in </w:t>
      </w:r>
      <w:r w:rsidR="00F44A75">
        <w:rPr>
          <w:rFonts w:cs="Times New Roman"/>
          <w:sz w:val="24"/>
          <w:szCs w:val="24"/>
        </w:rPr>
        <w:pgNum/>
      </w:r>
      <w:r w:rsidR="00F44A75">
        <w:rPr>
          <w:rFonts w:cs="Times New Roman"/>
          <w:sz w:val="24"/>
          <w:szCs w:val="24"/>
        </w:rPr>
        <w:t>utria</w:t>
      </w:r>
      <w:r>
        <w:rPr>
          <w:rFonts w:cs="Times New Roman"/>
          <w:sz w:val="24"/>
          <w:szCs w:val="24"/>
        </w:rPr>
        <w:softHyphen/>
      </w:r>
      <w:r w:rsidRPr="00B71C19">
        <w:rPr>
          <w:rFonts w:cs="Times New Roman"/>
          <w:sz w:val="24"/>
          <w:szCs w:val="24"/>
        </w:rPr>
        <w:t>tion. // Bulletin of the Tashkent Medical Acad</w:t>
      </w:r>
      <w:r>
        <w:rPr>
          <w:rFonts w:cs="Times New Roman"/>
          <w:sz w:val="24"/>
          <w:szCs w:val="24"/>
        </w:rPr>
        <w:softHyphen/>
      </w:r>
      <w:r w:rsidRPr="00B71C19">
        <w:rPr>
          <w:rFonts w:cs="Times New Roman"/>
          <w:sz w:val="24"/>
          <w:szCs w:val="24"/>
        </w:rPr>
        <w:t>emy. – 2014.-№2. –pp.21-25.</w:t>
      </w:r>
    </w:p>
    <w:p w14:paraId="3805B410"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38.</w:t>
      </w:r>
      <w:r w:rsidRPr="00B71C19">
        <w:rPr>
          <w:rFonts w:cs="Times New Roman"/>
          <w:sz w:val="24"/>
          <w:szCs w:val="24"/>
        </w:rPr>
        <w:tab/>
        <w:t>Shishimorov I.N., Magnitskaya O.V., Perminov A.A., Nefedov I.V. Prevalence and influence of magnesium deficiency on the course of bronchial asthma in children. Vestn. Volgograd state. honey. university 2015. No. 2 (50). pp. 124-128.</w:t>
      </w:r>
    </w:p>
    <w:p w14:paraId="4DD99C28" w14:textId="7DC29DEA"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39.</w:t>
      </w:r>
      <w:r w:rsidRPr="00B71C19">
        <w:rPr>
          <w:rFonts w:cs="Times New Roman"/>
          <w:sz w:val="24"/>
          <w:szCs w:val="24"/>
        </w:rPr>
        <w:tab/>
        <w:t>Ermatov N.Zh., Akhmadkho</w:t>
      </w:r>
      <w:r>
        <w:rPr>
          <w:rFonts w:cs="Times New Roman"/>
          <w:sz w:val="24"/>
          <w:szCs w:val="24"/>
        </w:rPr>
        <w:softHyphen/>
      </w:r>
      <w:r w:rsidRPr="00B71C19">
        <w:rPr>
          <w:rFonts w:cs="Times New Roman"/>
          <w:sz w:val="24"/>
          <w:szCs w:val="24"/>
        </w:rPr>
        <w:t>dzhaeva M.M. Analysis and assessment of the quality of nutrition of children in preschool ed</w:t>
      </w:r>
      <w:r>
        <w:rPr>
          <w:rFonts w:cs="Times New Roman"/>
          <w:sz w:val="24"/>
          <w:szCs w:val="24"/>
        </w:rPr>
        <w:softHyphen/>
      </w:r>
      <w:r w:rsidRPr="00B71C19">
        <w:rPr>
          <w:rFonts w:cs="Times New Roman"/>
          <w:sz w:val="24"/>
          <w:szCs w:val="24"/>
        </w:rPr>
        <w:t>ucational institutions // Journal: Medical News. Belarus, Minsk. 2019, No. 12.pp. 76–78.</w:t>
      </w:r>
    </w:p>
    <w:p w14:paraId="30489C46" w14:textId="5FF7F429"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40.</w:t>
      </w:r>
      <w:r w:rsidRPr="00B71C19">
        <w:rPr>
          <w:rFonts w:cs="Times New Roman"/>
          <w:sz w:val="24"/>
          <w:szCs w:val="24"/>
        </w:rPr>
        <w:tab/>
        <w:t>Ermatov N.J., Ahmadkhodjaeva M.M. Hygienic analysis of micronutrients in the daily diet of children // Journal of Biomed</w:t>
      </w:r>
      <w:r>
        <w:rPr>
          <w:rFonts w:cs="Times New Roman"/>
          <w:sz w:val="24"/>
          <w:szCs w:val="24"/>
        </w:rPr>
        <w:softHyphen/>
      </w:r>
      <w:r w:rsidRPr="00B71C19">
        <w:rPr>
          <w:rFonts w:cs="Times New Roman"/>
          <w:sz w:val="24"/>
          <w:szCs w:val="24"/>
        </w:rPr>
        <w:t>icine and Practice. Tashkent, 2020, № SI-2. pp. 351–361.</w:t>
      </w:r>
    </w:p>
    <w:p w14:paraId="6C9FF8ED" w14:textId="4068F140"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41.</w:t>
      </w:r>
      <w:r w:rsidRPr="00B71C19">
        <w:rPr>
          <w:rFonts w:cs="Times New Roman"/>
          <w:sz w:val="24"/>
          <w:szCs w:val="24"/>
        </w:rPr>
        <w:tab/>
        <w:t xml:space="preserve">Ermatov N.J., Ahmadkhodjaeva M.M. The state of basic nutritional provision of preschool children in the current period of development // Journal of Sports Medicine. </w:t>
      </w:r>
      <w:r w:rsidR="00F44A75">
        <w:rPr>
          <w:rFonts w:cs="Times New Roman"/>
          <w:sz w:val="24"/>
          <w:szCs w:val="24"/>
        </w:rPr>
        <w:t>–</w:t>
      </w:r>
      <w:r w:rsidRPr="00B71C19">
        <w:rPr>
          <w:rFonts w:cs="Times New Roman"/>
          <w:sz w:val="24"/>
          <w:szCs w:val="24"/>
        </w:rPr>
        <w:t xml:space="preserve"> Tashkent, 2019, № 2. pp.56-62.</w:t>
      </w:r>
    </w:p>
    <w:p w14:paraId="501D9196"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42.</w:t>
      </w:r>
      <w:r w:rsidRPr="00B71C19">
        <w:rPr>
          <w:rFonts w:cs="Times New Roman"/>
          <w:sz w:val="24"/>
          <w:szCs w:val="24"/>
        </w:rPr>
        <w:tab/>
        <w:t>Ermatov N.J., Ahmadkhodjaeva M.M., Buribaev E.M., Danaev B.F. Hygienic analysis of the level of basic food security of children in preschool institutions // Journal of Biomedicine and Practice. Tashkent, 2020, № SI-5. pp. 244–251.</w:t>
      </w:r>
    </w:p>
    <w:p w14:paraId="1966FA24" w14:textId="73CCFE4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43.</w:t>
      </w:r>
      <w:r w:rsidRPr="00B71C19">
        <w:rPr>
          <w:rFonts w:cs="Times New Roman"/>
          <w:sz w:val="24"/>
          <w:szCs w:val="24"/>
        </w:rPr>
        <w:tab/>
        <w:t>UNICEF: Global Iodine Network. Recommendations for monitoring salt iodiza</w:t>
      </w:r>
      <w:r>
        <w:rPr>
          <w:rFonts w:cs="Times New Roman"/>
          <w:sz w:val="24"/>
          <w:szCs w:val="24"/>
        </w:rPr>
        <w:softHyphen/>
      </w:r>
      <w:r w:rsidRPr="00B71C19">
        <w:rPr>
          <w:rFonts w:cs="Times New Roman"/>
          <w:sz w:val="24"/>
          <w:szCs w:val="24"/>
        </w:rPr>
        <w:t>tion programs and assessing the status of io</w:t>
      </w:r>
      <w:r>
        <w:rPr>
          <w:rFonts w:cs="Times New Roman"/>
          <w:sz w:val="24"/>
          <w:szCs w:val="24"/>
        </w:rPr>
        <w:softHyphen/>
      </w:r>
      <w:r w:rsidRPr="00B71C19">
        <w:rPr>
          <w:rFonts w:cs="Times New Roman"/>
          <w:sz w:val="24"/>
          <w:szCs w:val="24"/>
        </w:rPr>
        <w:t>dine provision of the population (Russian ver</w:t>
      </w:r>
      <w:r>
        <w:rPr>
          <w:rFonts w:cs="Times New Roman"/>
          <w:sz w:val="24"/>
          <w:szCs w:val="24"/>
        </w:rPr>
        <w:softHyphen/>
      </w:r>
      <w:r w:rsidRPr="00B71C19">
        <w:rPr>
          <w:rFonts w:cs="Times New Roman"/>
          <w:sz w:val="24"/>
          <w:szCs w:val="24"/>
        </w:rPr>
        <w:t>sion) // Clinical and expert. thyroidology. 2018. Vol. 14, No. 2. pp. 100-112.</w:t>
      </w:r>
    </w:p>
    <w:p w14:paraId="1E96F7F8" w14:textId="1EBB62B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44.</w:t>
      </w:r>
      <w:r w:rsidRPr="00B71C19">
        <w:rPr>
          <w:rFonts w:cs="Times New Roman"/>
          <w:sz w:val="24"/>
          <w:szCs w:val="24"/>
        </w:rPr>
        <w:tab/>
        <w:t>Yusupova O.B., Doschanov B.A., Jumaniyozov Q.Y., Sobirova S.J. Current nu</w:t>
      </w:r>
      <w:r>
        <w:rPr>
          <w:rFonts w:cs="Times New Roman"/>
          <w:sz w:val="24"/>
          <w:szCs w:val="24"/>
        </w:rPr>
        <w:softHyphen/>
      </w:r>
      <w:r w:rsidRPr="00B71C19">
        <w:rPr>
          <w:rFonts w:cs="Times New Roman"/>
          <w:sz w:val="24"/>
          <w:szCs w:val="24"/>
        </w:rPr>
        <w:t>tritional status of children of preschool age // Hygienic aspects of protection of the environ</w:t>
      </w:r>
      <w:r>
        <w:rPr>
          <w:rFonts w:cs="Times New Roman"/>
          <w:sz w:val="24"/>
          <w:szCs w:val="24"/>
        </w:rPr>
        <w:softHyphen/>
      </w:r>
      <w:r w:rsidRPr="00B71C19">
        <w:rPr>
          <w:rFonts w:cs="Times New Roman"/>
          <w:sz w:val="24"/>
          <w:szCs w:val="24"/>
        </w:rPr>
        <w:t xml:space="preserve">ment, strengthening the health and welfare of </w:t>
      </w:r>
      <w:r w:rsidRPr="00B71C19">
        <w:rPr>
          <w:rFonts w:cs="Times New Roman"/>
          <w:sz w:val="24"/>
          <w:szCs w:val="24"/>
        </w:rPr>
        <w:lastRenderedPageBreak/>
        <w:t xml:space="preserve">the population of the priority areas of health care in Uzbekistan. Sb.nauch. trudov. </w:t>
      </w:r>
      <w:r w:rsidR="00F44A75">
        <w:rPr>
          <w:rFonts w:cs="Times New Roman"/>
          <w:sz w:val="24"/>
          <w:szCs w:val="24"/>
        </w:rPr>
        <w:t>–</w:t>
      </w:r>
      <w:r w:rsidRPr="00B71C19">
        <w:rPr>
          <w:rFonts w:cs="Times New Roman"/>
          <w:sz w:val="24"/>
          <w:szCs w:val="24"/>
        </w:rPr>
        <w:t xml:space="preserve"> Tash</w:t>
      </w:r>
      <w:r>
        <w:rPr>
          <w:rFonts w:cs="Times New Roman"/>
          <w:sz w:val="24"/>
          <w:szCs w:val="24"/>
        </w:rPr>
        <w:softHyphen/>
      </w:r>
      <w:r w:rsidRPr="00B71C19">
        <w:rPr>
          <w:rFonts w:cs="Times New Roman"/>
          <w:sz w:val="24"/>
          <w:szCs w:val="24"/>
        </w:rPr>
        <w:t xml:space="preserve">kent. </w:t>
      </w:r>
      <w:r w:rsidR="00F44A75">
        <w:rPr>
          <w:rFonts w:cs="Times New Roman"/>
          <w:sz w:val="24"/>
          <w:szCs w:val="24"/>
        </w:rPr>
        <w:t>–</w:t>
      </w:r>
      <w:r w:rsidRPr="00B71C19">
        <w:rPr>
          <w:rFonts w:cs="Times New Roman"/>
          <w:sz w:val="24"/>
          <w:szCs w:val="24"/>
        </w:rPr>
        <w:t xml:space="preserve"> 2014. –pp.155-157.</w:t>
      </w:r>
    </w:p>
    <w:p w14:paraId="20B3A41C"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45.</w:t>
      </w:r>
      <w:r w:rsidRPr="00B71C19">
        <w:rPr>
          <w:rFonts w:cs="Times New Roman"/>
          <w:sz w:val="24"/>
          <w:szCs w:val="24"/>
        </w:rPr>
        <w:tab/>
        <w:t xml:space="preserve">Abuabat F., Al Alwan A., Masuadi E., Murad M.H., Jahdali H.A., Ferwana M.S. The role of oral magnesium supplements for the management of stable bronchial asthma: a systematic review and meta-analysis // NPJ Prim. Care Respir. Med. 2019. Vol. 29, N 1. pp. 4. </w:t>
      </w:r>
    </w:p>
    <w:p w14:paraId="26AB96CC"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46.</w:t>
      </w:r>
      <w:r w:rsidRPr="00B71C19">
        <w:rPr>
          <w:rFonts w:cs="Times New Roman"/>
          <w:sz w:val="24"/>
          <w:szCs w:val="24"/>
        </w:rPr>
        <w:tab/>
        <w:t xml:space="preserve">Al Alawi A.M., Majoni S.W., Falhammar H. Magnesium and human health: perspectives and research directions //Int. J. Endocrinol. 2018. Vol. 2018. </w:t>
      </w:r>
    </w:p>
    <w:p w14:paraId="1FC4D4AC" w14:textId="53070D7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47.</w:t>
      </w:r>
      <w:r w:rsidRPr="00B71C19">
        <w:rPr>
          <w:rFonts w:cs="Times New Roman"/>
          <w:sz w:val="24"/>
          <w:szCs w:val="24"/>
        </w:rPr>
        <w:tab/>
        <w:t>Areco V., Rivoira M.A., Rodriguez V., Marchionatti A.M., Carpentieri A., Tolosa de Talamoni N. Dietary and pharmacological compounds altering intestinal calcium absorp</w:t>
      </w:r>
      <w:r>
        <w:rPr>
          <w:rFonts w:cs="Times New Roman"/>
          <w:sz w:val="24"/>
          <w:szCs w:val="24"/>
        </w:rPr>
        <w:softHyphen/>
      </w:r>
      <w:r w:rsidRPr="00B71C19">
        <w:rPr>
          <w:rFonts w:cs="Times New Roman"/>
          <w:sz w:val="24"/>
          <w:szCs w:val="24"/>
        </w:rPr>
        <w:t>tion in humans and animals //Nutr. Res. Rev. 2015. Vol. 28, N 2. pp. 83-99.</w:t>
      </w:r>
    </w:p>
    <w:p w14:paraId="5D1F85AD" w14:textId="628C9541"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48.</w:t>
      </w:r>
      <w:r w:rsidRPr="00B71C19">
        <w:rPr>
          <w:rFonts w:cs="Times New Roman"/>
          <w:sz w:val="24"/>
          <w:szCs w:val="24"/>
        </w:rPr>
        <w:tab/>
        <w:t>Beto J.A. The Role of calcium in hu</w:t>
      </w:r>
      <w:r>
        <w:rPr>
          <w:rFonts w:cs="Times New Roman"/>
          <w:sz w:val="24"/>
          <w:szCs w:val="24"/>
        </w:rPr>
        <w:softHyphen/>
      </w:r>
      <w:r w:rsidRPr="00B71C19">
        <w:rPr>
          <w:rFonts w:cs="Times New Roman"/>
          <w:sz w:val="24"/>
          <w:szCs w:val="24"/>
        </w:rPr>
        <w:t>man aging // Clin. Nutr. Res. 2015. Vol. 4, N1. pp.1-8.</w:t>
      </w:r>
    </w:p>
    <w:p w14:paraId="1D582AB9" w14:textId="07D8F83F"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49.</w:t>
      </w:r>
      <w:r w:rsidRPr="00B71C19">
        <w:rPr>
          <w:rFonts w:cs="Times New Roman"/>
          <w:sz w:val="24"/>
          <w:szCs w:val="24"/>
        </w:rPr>
        <w:tab/>
        <w:t>Bibiloni M.M., Tur J.A., Morandi A. Protein intake as a risk factor of over</w:t>
      </w:r>
      <w:r>
        <w:rPr>
          <w:rFonts w:cs="Times New Roman"/>
          <w:sz w:val="24"/>
          <w:szCs w:val="24"/>
        </w:rPr>
        <w:softHyphen/>
      </w:r>
      <w:r w:rsidRPr="00B71C19">
        <w:rPr>
          <w:rFonts w:cs="Times New Roman"/>
          <w:sz w:val="24"/>
          <w:szCs w:val="24"/>
        </w:rPr>
        <w:t xml:space="preserve">weight/obesity in 8- to 12-year-old children //Medicine (Baltimore). 2015. Vol. 94, N 52. </w:t>
      </w:r>
    </w:p>
    <w:p w14:paraId="5A6BABC2" w14:textId="11B6F6C0"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50.</w:t>
      </w:r>
      <w:r w:rsidRPr="00B71C19">
        <w:rPr>
          <w:rFonts w:cs="Times New Roman"/>
          <w:sz w:val="24"/>
          <w:szCs w:val="24"/>
        </w:rPr>
        <w:tab/>
        <w:t>Bing Fang, Ming Zhang, Mai Tiana, Lu Jiang, Hui Yuan Guo, Fa Zheng Ren Bo</w:t>
      </w:r>
      <w:r>
        <w:rPr>
          <w:rFonts w:cs="Times New Roman"/>
          <w:sz w:val="24"/>
          <w:szCs w:val="24"/>
        </w:rPr>
        <w:softHyphen/>
      </w:r>
      <w:r w:rsidRPr="00B71C19">
        <w:rPr>
          <w:rFonts w:cs="Times New Roman"/>
          <w:sz w:val="24"/>
          <w:szCs w:val="24"/>
        </w:rPr>
        <w:t>vine lactoferrin binds oleic acid to form an anti-tumor complex similar to HAMLET //Bi</w:t>
      </w:r>
      <w:r>
        <w:rPr>
          <w:rFonts w:cs="Times New Roman"/>
          <w:sz w:val="24"/>
          <w:szCs w:val="24"/>
        </w:rPr>
        <w:softHyphen/>
      </w:r>
      <w:r w:rsidRPr="00B71C19">
        <w:rPr>
          <w:rFonts w:cs="Times New Roman"/>
          <w:sz w:val="24"/>
          <w:szCs w:val="24"/>
        </w:rPr>
        <w:t>ochim. Biophys. Acta. 2014. Vol. 1841. pp. 535-543.</w:t>
      </w:r>
    </w:p>
    <w:p w14:paraId="6FA9264A"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51.</w:t>
      </w:r>
      <w:r w:rsidRPr="00B71C19">
        <w:rPr>
          <w:rFonts w:cs="Times New Roman"/>
          <w:sz w:val="24"/>
          <w:szCs w:val="24"/>
        </w:rPr>
        <w:tab/>
        <w:t>Chen V., Malik V.S., Hu F. Effects of dairy intake on body weight and fat: a meta-analysis of randomized controlled trials. Am J Clin Nutr. 2012; 96: 735-47.</w:t>
      </w:r>
    </w:p>
    <w:p w14:paraId="472EC58A" w14:textId="050778C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52.</w:t>
      </w:r>
      <w:r w:rsidRPr="00B71C19">
        <w:rPr>
          <w:rFonts w:cs="Times New Roman"/>
          <w:sz w:val="24"/>
          <w:szCs w:val="24"/>
        </w:rPr>
        <w:tab/>
        <w:t>Dawson-Hughes В., Mithal A., Bonjour J.P. et al. IOF position state-ment: vit</w:t>
      </w:r>
      <w:r>
        <w:rPr>
          <w:rFonts w:cs="Times New Roman"/>
          <w:sz w:val="24"/>
          <w:szCs w:val="24"/>
        </w:rPr>
        <w:softHyphen/>
      </w:r>
      <w:r w:rsidRPr="00B71C19">
        <w:rPr>
          <w:rFonts w:cs="Times New Roman"/>
          <w:sz w:val="24"/>
          <w:szCs w:val="24"/>
        </w:rPr>
        <w:t>amin D recommendations for older adults //Os</w:t>
      </w:r>
      <w:r>
        <w:rPr>
          <w:rFonts w:cs="Times New Roman"/>
          <w:sz w:val="24"/>
          <w:szCs w:val="24"/>
        </w:rPr>
        <w:softHyphen/>
      </w:r>
      <w:r w:rsidRPr="00B71C19">
        <w:rPr>
          <w:rFonts w:cs="Times New Roman"/>
          <w:sz w:val="24"/>
          <w:szCs w:val="24"/>
        </w:rPr>
        <w:t>teoporos. Int. 2010. Vol. 21, N 7. pp. 1151-1154.</w:t>
      </w:r>
    </w:p>
    <w:p w14:paraId="685D2542" w14:textId="4C4442D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53.</w:t>
      </w:r>
      <w:r w:rsidRPr="00B71C19">
        <w:rPr>
          <w:rFonts w:cs="Times New Roman"/>
          <w:sz w:val="24"/>
          <w:szCs w:val="24"/>
        </w:rPr>
        <w:tab/>
        <w:t>Desbrow B., Jansen S., Barrett A., Leveritt M.D., Irwin C. Comparing the rehy</w:t>
      </w:r>
      <w:r>
        <w:rPr>
          <w:rFonts w:cs="Times New Roman"/>
          <w:sz w:val="24"/>
          <w:szCs w:val="24"/>
        </w:rPr>
        <w:softHyphen/>
      </w:r>
      <w:r w:rsidRPr="00B71C19">
        <w:rPr>
          <w:rFonts w:cs="Times New Roman"/>
          <w:sz w:val="24"/>
          <w:szCs w:val="24"/>
        </w:rPr>
        <w:t xml:space="preserve">dration potential of different milk-based drinks </w:t>
      </w:r>
      <w:r w:rsidRPr="00B71C19">
        <w:rPr>
          <w:rFonts w:cs="Times New Roman"/>
          <w:sz w:val="24"/>
          <w:szCs w:val="24"/>
        </w:rPr>
        <w:t xml:space="preserve">to a car¬bohydrate-electrolyte beverage //Appl. Physiol. Nutr. Metab. 2014. Vol. 39, N 12. pp. 1366-1372. </w:t>
      </w:r>
    </w:p>
    <w:p w14:paraId="586B44EB" w14:textId="5901857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54.</w:t>
      </w:r>
      <w:r w:rsidRPr="00B71C19">
        <w:rPr>
          <w:rFonts w:cs="Times New Roman"/>
          <w:sz w:val="24"/>
          <w:szCs w:val="24"/>
        </w:rPr>
        <w:tab/>
        <w:t>EFSA Panel on Dietetic Products NaAN. Scientific opinion on the tolerable up</w:t>
      </w:r>
      <w:r>
        <w:rPr>
          <w:rFonts w:cs="Times New Roman"/>
          <w:sz w:val="24"/>
          <w:szCs w:val="24"/>
        </w:rPr>
        <w:softHyphen/>
      </w:r>
      <w:r w:rsidRPr="00B71C19">
        <w:rPr>
          <w:rFonts w:cs="Times New Roman"/>
          <w:sz w:val="24"/>
          <w:szCs w:val="24"/>
        </w:rPr>
        <w:t>per intake level of vitamin D //EFSA J. 2012. Vol. 10, N 7.</w:t>
      </w:r>
    </w:p>
    <w:p w14:paraId="263FD373"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55.</w:t>
      </w:r>
      <w:r w:rsidRPr="00B71C19">
        <w:rPr>
          <w:rFonts w:cs="Times New Roman"/>
          <w:sz w:val="24"/>
          <w:szCs w:val="24"/>
        </w:rPr>
        <w:tab/>
        <w:t xml:space="preserve">EFSA Panel on Dietetic Products, Nutrition and Allergies (NDA). Scientific Opinion on the substantiation of health claims related to calcium and maintenance of normal bone and teeth (ID 2731, 3155, 4311, 4312, 4703). </w:t>
      </w:r>
    </w:p>
    <w:p w14:paraId="799FA1B7" w14:textId="0E5722CA"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56.</w:t>
      </w:r>
      <w:r w:rsidRPr="00B71C19">
        <w:rPr>
          <w:rFonts w:cs="Times New Roman"/>
          <w:sz w:val="24"/>
          <w:szCs w:val="24"/>
        </w:rPr>
        <w:tab/>
        <w:t>Ermatov N.J., Akhmadkhojayeva M.M. Hygienic requirements for establishing healthy nutrition of children in pre-school ed</w:t>
      </w:r>
      <w:r>
        <w:rPr>
          <w:rFonts w:cs="Times New Roman"/>
          <w:sz w:val="24"/>
          <w:szCs w:val="24"/>
        </w:rPr>
        <w:softHyphen/>
      </w:r>
      <w:r w:rsidRPr="00B71C19">
        <w:rPr>
          <w:rFonts w:cs="Times New Roman"/>
          <w:sz w:val="24"/>
          <w:szCs w:val="24"/>
        </w:rPr>
        <w:t>ucation // Modern scientific potential-2020, United Kingdom, 2020, pp.83-84.</w:t>
      </w:r>
    </w:p>
    <w:p w14:paraId="7C0BD97F"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57.</w:t>
      </w:r>
      <w:r w:rsidRPr="00B71C19">
        <w:rPr>
          <w:rFonts w:cs="Times New Roman"/>
          <w:sz w:val="24"/>
          <w:szCs w:val="24"/>
        </w:rPr>
        <w:tab/>
        <w:t>Ermatov N.J., Akhmadkhojayeva M.M., Abdulkhakov I.U., Khaqberdiyev X.X. The role of healthy lifestyle among pre-school children // Modern scientific potential-2020, United Kingdom, 2020, pp.76-77</w:t>
      </w:r>
    </w:p>
    <w:p w14:paraId="6DA3CC41" w14:textId="0137078F"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58.</w:t>
      </w:r>
      <w:r w:rsidRPr="00B71C19">
        <w:rPr>
          <w:rFonts w:cs="Times New Roman"/>
          <w:sz w:val="24"/>
          <w:szCs w:val="24"/>
        </w:rPr>
        <w:tab/>
        <w:t>Farre Rovira R. Milk and milk prod</w:t>
      </w:r>
      <w:r>
        <w:rPr>
          <w:rFonts w:cs="Times New Roman"/>
          <w:sz w:val="24"/>
          <w:szCs w:val="24"/>
        </w:rPr>
        <w:softHyphen/>
      </w:r>
      <w:r w:rsidRPr="00B71C19">
        <w:rPr>
          <w:rFonts w:cs="Times New Roman"/>
          <w:sz w:val="24"/>
          <w:szCs w:val="24"/>
        </w:rPr>
        <w:t>ucts: food sources of calcium //Nutr. Hosp. 2015. Vol. 7, suppl. 2. pp. 1-9.</w:t>
      </w:r>
    </w:p>
    <w:p w14:paraId="3FDFC1D7" w14:textId="2871C58F"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59.</w:t>
      </w:r>
      <w:r w:rsidRPr="00B71C19">
        <w:rPr>
          <w:rFonts w:cs="Times New Roman"/>
          <w:sz w:val="24"/>
          <w:szCs w:val="24"/>
        </w:rPr>
        <w:tab/>
        <w:t>Food and Drug Administration, HHS et al. Food Labeling: Revision of the Nu</w:t>
      </w:r>
      <w:r>
        <w:rPr>
          <w:rFonts w:cs="Times New Roman"/>
          <w:sz w:val="24"/>
          <w:szCs w:val="24"/>
        </w:rPr>
        <w:softHyphen/>
      </w:r>
      <w:r w:rsidRPr="00B71C19">
        <w:rPr>
          <w:rFonts w:cs="Times New Roman"/>
          <w:sz w:val="24"/>
          <w:szCs w:val="24"/>
        </w:rPr>
        <w:t xml:space="preserve">trition and Supplement Facts Labels. Final rule //Federal Register. 2016. Vol. 81, N 103. pp. 33-41. </w:t>
      </w:r>
    </w:p>
    <w:p w14:paraId="061C2210" w14:textId="09B3EB55"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60.</w:t>
      </w:r>
      <w:r w:rsidRPr="00B71C19">
        <w:rPr>
          <w:rFonts w:cs="Times New Roman"/>
          <w:sz w:val="24"/>
          <w:szCs w:val="24"/>
        </w:rPr>
        <w:tab/>
        <w:t>Global action plan for the preven</w:t>
      </w:r>
      <w:r>
        <w:rPr>
          <w:rFonts w:cs="Times New Roman"/>
          <w:sz w:val="24"/>
          <w:szCs w:val="24"/>
        </w:rPr>
        <w:softHyphen/>
      </w:r>
      <w:r w:rsidRPr="00B71C19">
        <w:rPr>
          <w:rFonts w:cs="Times New Roman"/>
          <w:sz w:val="24"/>
          <w:szCs w:val="24"/>
        </w:rPr>
        <w:t xml:space="preserve">tion and control of NCDs 2013-2020. WHO, 2013. </w:t>
      </w:r>
    </w:p>
    <w:p w14:paraId="005361D6"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61.</w:t>
      </w:r>
      <w:r w:rsidRPr="00B71C19">
        <w:rPr>
          <w:rFonts w:cs="Times New Roman"/>
          <w:sz w:val="24"/>
          <w:szCs w:val="24"/>
        </w:rPr>
        <w:tab/>
        <w:t>Goldbohm R.A., Chorus A.M., Galindo Garre F., Schouten L.J., van den Brandt P.A. Dairy consumption and 10-y total and cardiovascu¬lar mortality: a prospective cohort study in the Netherlands // Am. J. Clin. Nutr. 2011. Vol. 93. pp. 615-627.</w:t>
      </w:r>
    </w:p>
    <w:p w14:paraId="19DCEDB1"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62.</w:t>
      </w:r>
      <w:r w:rsidRPr="00B71C19">
        <w:rPr>
          <w:rFonts w:cs="Times New Roman"/>
          <w:sz w:val="24"/>
          <w:szCs w:val="24"/>
        </w:rPr>
        <w:tab/>
        <w:t>Guenther P.M., Casavale K.O., Reedy J., et al. Update of the Healthy Eating Index: HEI-2010. J Acad Nutr Diet. 2016; 116 (1): 170.</w:t>
      </w:r>
    </w:p>
    <w:p w14:paraId="4B975374"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lastRenderedPageBreak/>
        <w:t>63.</w:t>
      </w:r>
      <w:r w:rsidRPr="00B71C19">
        <w:rPr>
          <w:rFonts w:cs="Times New Roman"/>
          <w:sz w:val="24"/>
          <w:szCs w:val="24"/>
        </w:rPr>
        <w:tab/>
        <w:t>Guenther P.M., Kirkpatrick S.I., Reedy J., et al. The Healthy Eating Index-2010 is a valid and reliable measure of diet quality according to the 2010 Dietary Guidelines for Americans. J Nutr. 2014; 144 (3): 399-407.</w:t>
      </w:r>
    </w:p>
    <w:p w14:paraId="07695B2C"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64.</w:t>
      </w:r>
      <w:r w:rsidRPr="00B71C19">
        <w:rPr>
          <w:rFonts w:cs="Times New Roman"/>
          <w:sz w:val="24"/>
          <w:szCs w:val="24"/>
        </w:rPr>
        <w:tab/>
        <w:t>Guenther P.M., Kirkpatrick S.I., Reedy J., et al. The Healthy Eating Index-2010 is a valid and reliable measure of diet quality according to the 2010 Dietary Guidelines for Americans. J Nutr. 2014; 144 (3): 399-407.</w:t>
      </w:r>
    </w:p>
    <w:p w14:paraId="6FDB5E5B"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65.</w:t>
      </w:r>
      <w:r w:rsidRPr="00B71C19">
        <w:rPr>
          <w:rFonts w:cs="Times New Roman"/>
          <w:sz w:val="24"/>
          <w:szCs w:val="24"/>
        </w:rPr>
        <w:tab/>
        <w:t>Holick M.F. Vitamin D is not as toxic as was once thought: a histori¬cal and an up to-date perspective //Mayo Clin. Proc. 2015. Vol. 90. pp. 561-564.</w:t>
      </w:r>
    </w:p>
    <w:p w14:paraId="4DBFABD0"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66.</w:t>
      </w:r>
      <w:r w:rsidRPr="00B71C19">
        <w:rPr>
          <w:rFonts w:cs="Times New Roman"/>
          <w:sz w:val="24"/>
          <w:szCs w:val="24"/>
        </w:rPr>
        <w:tab/>
        <w:t>Hossein-Nezhad A., Holick M.F. Vitamin D for health: a global per-spective //Mayo Clin. Proc. 2013. Vol. 88, N 7. pp. 720-755.</w:t>
      </w:r>
    </w:p>
    <w:p w14:paraId="4D2F33FC" w14:textId="06626074"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67.</w:t>
      </w:r>
      <w:r w:rsidRPr="00B71C19">
        <w:rPr>
          <w:rFonts w:cs="Times New Roman"/>
          <w:sz w:val="24"/>
          <w:szCs w:val="24"/>
        </w:rPr>
        <w:tab/>
        <w:t>Hossein-Nezhad A., Spira A., Holick M.F. Influence of vitamin D status and vitamin D3 supplementation on genome wide expression of white blood cells: a randomized double-blind clinical trial //P</w:t>
      </w:r>
      <w:r w:rsidR="00F44A75" w:rsidRPr="00B71C19">
        <w:rPr>
          <w:rFonts w:cs="Times New Roman"/>
          <w:sz w:val="24"/>
          <w:szCs w:val="24"/>
        </w:rPr>
        <w:t>l</w:t>
      </w:r>
      <w:r w:rsidRPr="00B71C19">
        <w:rPr>
          <w:rFonts w:cs="Times New Roman"/>
          <w:sz w:val="24"/>
          <w:szCs w:val="24"/>
        </w:rPr>
        <w:t>oS One. 2013. Vol. 8, N 3.</w:t>
      </w:r>
    </w:p>
    <w:p w14:paraId="26EA3A31" w14:textId="2EA4133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68.</w:t>
      </w:r>
      <w:r w:rsidRPr="00B71C19">
        <w:rPr>
          <w:rFonts w:cs="Times New Roman"/>
          <w:sz w:val="24"/>
          <w:szCs w:val="24"/>
        </w:rPr>
        <w:tab/>
        <w:t xml:space="preserve">Jiang X, Yang X, Zhang Y, Wang B, Sun L, Shang L. Development and Preliminary Vali-dation of Chinese Preschoolers Eating Behavior Questionnaire// Plos one.- 2014.- Vol.9. </w:t>
      </w:r>
      <w:r w:rsidR="00F44A75">
        <w:rPr>
          <w:rFonts w:cs="Times New Roman"/>
          <w:sz w:val="24"/>
          <w:szCs w:val="24"/>
        </w:rPr>
        <w:t>–</w:t>
      </w:r>
      <w:r w:rsidRPr="00B71C19">
        <w:rPr>
          <w:rFonts w:cs="Times New Roman"/>
          <w:sz w:val="24"/>
          <w:szCs w:val="24"/>
        </w:rPr>
        <w:t xml:space="preserve"> Issue 2. pp. 1-11.</w:t>
      </w:r>
    </w:p>
    <w:p w14:paraId="02C73602" w14:textId="77777777" w:rsidR="00B71C19" w:rsidRPr="00B71C19" w:rsidRDefault="00B71C19" w:rsidP="00B71C19">
      <w:pPr>
        <w:tabs>
          <w:tab w:val="left" w:pos="993"/>
        </w:tabs>
        <w:spacing w:line="276" w:lineRule="auto"/>
        <w:ind w:firstLine="567"/>
        <w:jc w:val="both"/>
        <w:rPr>
          <w:rFonts w:cs="Times New Roman"/>
          <w:sz w:val="24"/>
          <w:szCs w:val="24"/>
          <w:lang w:val="de-DE"/>
        </w:rPr>
      </w:pPr>
      <w:r w:rsidRPr="00B71C19">
        <w:rPr>
          <w:rFonts w:cs="Times New Roman"/>
          <w:sz w:val="24"/>
          <w:szCs w:val="24"/>
        </w:rPr>
        <w:t>69.</w:t>
      </w:r>
      <w:r w:rsidRPr="00B71C19">
        <w:rPr>
          <w:rFonts w:cs="Times New Roman"/>
          <w:sz w:val="24"/>
          <w:szCs w:val="24"/>
        </w:rPr>
        <w:tab/>
        <w:t xml:space="preserve">Lim H.S., Park Y.H., Lee H.H., Kim T.H., Kim S.K. Comparison of calcium intake status by region and socioeconomic status in </w:t>
      </w:r>
      <w:r w:rsidRPr="00B71C19">
        <w:rPr>
          <w:rFonts w:cs="Times New Roman"/>
          <w:sz w:val="24"/>
          <w:szCs w:val="24"/>
        </w:rPr>
        <w:t xml:space="preserve">Korea: The 2011-2013 Korea National Health and Nutrition Examination Survey // J. Bone Metab. </w:t>
      </w:r>
      <w:r w:rsidRPr="00B71C19">
        <w:rPr>
          <w:rFonts w:cs="Times New Roman"/>
          <w:sz w:val="24"/>
          <w:szCs w:val="24"/>
          <w:lang w:val="de-DE"/>
        </w:rPr>
        <w:t>2015. Vol. 22, N 3. pp. 119-122.</w:t>
      </w:r>
    </w:p>
    <w:p w14:paraId="2F6F93CA" w14:textId="7AB319AC" w:rsidR="00B71C19" w:rsidRPr="00B71C19" w:rsidRDefault="00B71C19" w:rsidP="00B71C19">
      <w:pPr>
        <w:tabs>
          <w:tab w:val="left" w:pos="993"/>
        </w:tabs>
        <w:spacing w:line="276" w:lineRule="auto"/>
        <w:ind w:firstLine="567"/>
        <w:jc w:val="both"/>
        <w:rPr>
          <w:rFonts w:cs="Times New Roman"/>
          <w:sz w:val="24"/>
          <w:szCs w:val="24"/>
          <w:lang w:val="it-IT"/>
        </w:rPr>
      </w:pPr>
      <w:r w:rsidRPr="00B71C19">
        <w:rPr>
          <w:rFonts w:cs="Times New Roman"/>
          <w:sz w:val="24"/>
          <w:szCs w:val="24"/>
          <w:lang w:val="de-DE"/>
        </w:rPr>
        <w:t>70.</w:t>
      </w:r>
      <w:r w:rsidRPr="00B71C19">
        <w:rPr>
          <w:rFonts w:cs="Times New Roman"/>
          <w:sz w:val="24"/>
          <w:szCs w:val="24"/>
          <w:lang w:val="de-DE"/>
        </w:rPr>
        <w:tab/>
        <w:t xml:space="preserve">Schwingshack L., Hoffmann G., Schwedhelm C., Kalle-Uhlmann T., Missbach B., Knuppel S. et al. </w:t>
      </w:r>
      <w:r w:rsidRPr="00B71C19">
        <w:rPr>
          <w:rFonts w:cs="Times New Roman"/>
          <w:sz w:val="24"/>
          <w:szCs w:val="24"/>
        </w:rPr>
        <w:t>Consumption of dairy products in relation to changes in anthropomet</w:t>
      </w:r>
      <w:r>
        <w:rPr>
          <w:rFonts w:cs="Times New Roman"/>
          <w:sz w:val="24"/>
          <w:szCs w:val="24"/>
        </w:rPr>
        <w:softHyphen/>
      </w:r>
      <w:r w:rsidRPr="00B71C19">
        <w:rPr>
          <w:rFonts w:cs="Times New Roman"/>
          <w:sz w:val="24"/>
          <w:szCs w:val="24"/>
        </w:rPr>
        <w:t>ric variables in adult popula¬tions: a system</w:t>
      </w:r>
      <w:r>
        <w:rPr>
          <w:rFonts w:cs="Times New Roman"/>
          <w:sz w:val="24"/>
          <w:szCs w:val="24"/>
        </w:rPr>
        <w:softHyphen/>
      </w:r>
      <w:r w:rsidRPr="00B71C19">
        <w:rPr>
          <w:rFonts w:cs="Times New Roman"/>
          <w:sz w:val="24"/>
          <w:szCs w:val="24"/>
        </w:rPr>
        <w:t>atic review and meta-analysis of cohort studies // P</w:t>
      </w:r>
      <w:r w:rsidR="00F44A75" w:rsidRPr="00B71C19">
        <w:rPr>
          <w:rFonts w:cs="Times New Roman"/>
          <w:sz w:val="24"/>
          <w:szCs w:val="24"/>
        </w:rPr>
        <w:t>l</w:t>
      </w:r>
      <w:r w:rsidRPr="00B71C19">
        <w:rPr>
          <w:rFonts w:cs="Times New Roman"/>
          <w:sz w:val="24"/>
          <w:szCs w:val="24"/>
        </w:rPr>
        <w:t xml:space="preserve">oS One. 2016. </w:t>
      </w:r>
      <w:r w:rsidRPr="00B71C19">
        <w:rPr>
          <w:rFonts w:cs="Times New Roman"/>
          <w:sz w:val="24"/>
          <w:szCs w:val="24"/>
          <w:lang w:val="it-IT"/>
        </w:rPr>
        <w:t>Vol. 11, N 6.</w:t>
      </w:r>
    </w:p>
    <w:p w14:paraId="6685748A" w14:textId="54EA98F6"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lang w:val="it-IT"/>
        </w:rPr>
        <w:t>71.</w:t>
      </w:r>
      <w:r w:rsidRPr="00B71C19">
        <w:rPr>
          <w:rFonts w:cs="Times New Roman"/>
          <w:sz w:val="24"/>
          <w:szCs w:val="24"/>
          <w:lang w:val="it-IT"/>
        </w:rPr>
        <w:tab/>
        <w:t>Sharmanov T., Tazhibayev Sh., Al</w:t>
      </w:r>
      <w:r w:rsidRPr="00B71C19">
        <w:rPr>
          <w:rFonts w:cs="Times New Roman"/>
          <w:sz w:val="24"/>
          <w:szCs w:val="24"/>
          <w:lang w:val="it-IT"/>
        </w:rPr>
        <w:softHyphen/>
        <w:t xml:space="preserve">liyarova S. et al. </w:t>
      </w:r>
      <w:r w:rsidRPr="00B71C19">
        <w:rPr>
          <w:rFonts w:cs="Times New Roman"/>
          <w:sz w:val="24"/>
          <w:szCs w:val="24"/>
        </w:rPr>
        <w:t>Analysis of obesity preva</w:t>
      </w:r>
      <w:r>
        <w:rPr>
          <w:rFonts w:cs="Times New Roman"/>
          <w:sz w:val="24"/>
          <w:szCs w:val="24"/>
        </w:rPr>
        <w:softHyphen/>
      </w:r>
      <w:r w:rsidRPr="00B71C19">
        <w:rPr>
          <w:rFonts w:cs="Times New Roman"/>
          <w:sz w:val="24"/>
          <w:szCs w:val="24"/>
        </w:rPr>
        <w:t>lence among adults in the southern regions of Kazakhstan by body measurements // RJPBCS (Research Journal of Pharmaceutical, Biologi</w:t>
      </w:r>
      <w:r>
        <w:rPr>
          <w:rFonts w:cs="Times New Roman"/>
          <w:sz w:val="24"/>
          <w:szCs w:val="24"/>
        </w:rPr>
        <w:softHyphen/>
      </w:r>
      <w:r w:rsidRPr="00B71C19">
        <w:rPr>
          <w:rFonts w:cs="Times New Roman"/>
          <w:sz w:val="24"/>
          <w:szCs w:val="24"/>
        </w:rPr>
        <w:t>cal and Chemical Sciences). 2016. Vol. 7. pp. 2287-2297.</w:t>
      </w:r>
    </w:p>
    <w:p w14:paraId="28D4BFE8" w14:textId="77777777"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72.</w:t>
      </w:r>
      <w:r w:rsidRPr="00B71C19">
        <w:rPr>
          <w:rFonts w:cs="Times New Roman"/>
          <w:sz w:val="24"/>
          <w:szCs w:val="24"/>
        </w:rPr>
        <w:tab/>
        <w:t>Stookey J.D., Wang Y., Ge K., et al. Measuring diet quality in China: The INFH-UNC-CH Diet Quality Index. Eur J Clin Nutr. 2000; 54: 811-821.</w:t>
      </w:r>
    </w:p>
    <w:p w14:paraId="04D2DEBB" w14:textId="315BEE73" w:rsidR="00B71C19"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73.</w:t>
      </w:r>
      <w:r w:rsidRPr="00B71C19">
        <w:rPr>
          <w:rFonts w:cs="Times New Roman"/>
          <w:sz w:val="24"/>
          <w:szCs w:val="24"/>
        </w:rPr>
        <w:tab/>
        <w:t>Toffano R.B.D., Hillesheim E., Ma</w:t>
      </w:r>
      <w:r>
        <w:rPr>
          <w:rFonts w:cs="Times New Roman"/>
          <w:sz w:val="24"/>
          <w:szCs w:val="24"/>
        </w:rPr>
        <w:softHyphen/>
      </w:r>
      <w:r w:rsidRPr="00B71C19">
        <w:rPr>
          <w:rFonts w:cs="Times New Roman"/>
          <w:sz w:val="24"/>
          <w:szCs w:val="24"/>
        </w:rPr>
        <w:t>thias M.G., et al. Validation of the Brazilian Healthy Eating Index-revised using bi</w:t>
      </w:r>
      <w:r>
        <w:rPr>
          <w:rFonts w:cs="Times New Roman"/>
          <w:sz w:val="24"/>
          <w:szCs w:val="24"/>
        </w:rPr>
        <w:softHyphen/>
      </w:r>
      <w:r w:rsidRPr="00B71C19">
        <w:rPr>
          <w:rFonts w:cs="Times New Roman"/>
          <w:sz w:val="24"/>
          <w:szCs w:val="24"/>
        </w:rPr>
        <w:t>omarkers in children and adolescents. Nutri</w:t>
      </w:r>
      <w:r>
        <w:rPr>
          <w:rFonts w:cs="Times New Roman"/>
          <w:sz w:val="24"/>
          <w:szCs w:val="24"/>
        </w:rPr>
        <w:softHyphen/>
      </w:r>
      <w:r w:rsidRPr="00B71C19">
        <w:rPr>
          <w:rFonts w:cs="Times New Roman"/>
          <w:sz w:val="24"/>
          <w:szCs w:val="24"/>
        </w:rPr>
        <w:t xml:space="preserve">ents. 2018; 10 (2): 154. </w:t>
      </w:r>
    </w:p>
    <w:p w14:paraId="525D16E3" w14:textId="28B76F4C" w:rsidR="005C5D6C" w:rsidRPr="00B71C19" w:rsidRDefault="00B71C19" w:rsidP="00B71C19">
      <w:pPr>
        <w:tabs>
          <w:tab w:val="left" w:pos="993"/>
        </w:tabs>
        <w:spacing w:line="276" w:lineRule="auto"/>
        <w:ind w:firstLine="567"/>
        <w:jc w:val="both"/>
        <w:rPr>
          <w:rFonts w:cs="Times New Roman"/>
          <w:sz w:val="24"/>
          <w:szCs w:val="24"/>
        </w:rPr>
      </w:pPr>
      <w:r w:rsidRPr="00B71C19">
        <w:rPr>
          <w:rFonts w:cs="Times New Roman"/>
          <w:sz w:val="24"/>
          <w:szCs w:val="24"/>
        </w:rPr>
        <w:t>74.</w:t>
      </w:r>
      <w:r w:rsidRPr="00B71C19">
        <w:rPr>
          <w:rFonts w:cs="Times New Roman"/>
          <w:sz w:val="24"/>
          <w:szCs w:val="24"/>
        </w:rPr>
        <w:tab/>
        <w:t>Wlodarek D., Glabska D., Lange E. The effect of dairy products choice on calcium dietary intake in female university students of nutritional faculty // Rocz. Panstw. Zakl. Hig. 2014. Vol. 65, N 1. pp. 35-39.</w:t>
      </w:r>
    </w:p>
    <w:p w14:paraId="733FB45B" w14:textId="77777777" w:rsidR="00B71C19" w:rsidRDefault="00B71C19" w:rsidP="00995DC2">
      <w:pPr>
        <w:spacing w:line="276" w:lineRule="auto"/>
        <w:ind w:firstLine="567"/>
        <w:jc w:val="both"/>
        <w:rPr>
          <w:rFonts w:cs="Times New Roman"/>
          <w:sz w:val="24"/>
          <w:szCs w:val="24"/>
          <w:lang w:val="uz-Latn-UZ"/>
        </w:rPr>
        <w:sectPr w:rsidR="00B71C19" w:rsidSect="00B71C19">
          <w:type w:val="continuous"/>
          <w:pgSz w:w="11907" w:h="16840" w:code="9"/>
          <w:pgMar w:top="1418" w:right="1134" w:bottom="1134" w:left="1134" w:header="907" w:footer="794" w:gutter="0"/>
          <w:cols w:num="2" w:space="708"/>
          <w:docGrid w:linePitch="381"/>
        </w:sectPr>
      </w:pPr>
    </w:p>
    <w:p w14:paraId="40307972" w14:textId="1EAFE0BC" w:rsidR="005C5D6C" w:rsidRDefault="005C5D6C" w:rsidP="00995DC2">
      <w:pPr>
        <w:spacing w:line="276" w:lineRule="auto"/>
        <w:ind w:firstLine="567"/>
        <w:jc w:val="both"/>
        <w:rPr>
          <w:rFonts w:cs="Times New Roman"/>
          <w:sz w:val="24"/>
          <w:szCs w:val="24"/>
          <w:lang w:val="uz-Latn-UZ"/>
        </w:rPr>
      </w:pPr>
    </w:p>
    <w:p w14:paraId="5C4D495D" w14:textId="1C04500D" w:rsidR="005C5D6C" w:rsidRDefault="005C5D6C" w:rsidP="00995DC2">
      <w:pPr>
        <w:spacing w:line="276" w:lineRule="auto"/>
        <w:ind w:firstLine="567"/>
        <w:jc w:val="both"/>
        <w:rPr>
          <w:rFonts w:cs="Times New Roman"/>
          <w:sz w:val="24"/>
          <w:szCs w:val="24"/>
          <w:lang w:val="uz-Latn-UZ"/>
        </w:rPr>
      </w:pPr>
    </w:p>
    <w:p w14:paraId="6C7FBF56" w14:textId="7BDC446B" w:rsidR="005C5D6C" w:rsidRDefault="005C5D6C" w:rsidP="00995DC2">
      <w:pPr>
        <w:spacing w:line="276" w:lineRule="auto"/>
        <w:ind w:firstLine="567"/>
        <w:jc w:val="both"/>
        <w:rPr>
          <w:rFonts w:cs="Times New Roman"/>
          <w:sz w:val="24"/>
          <w:szCs w:val="24"/>
          <w:lang w:val="uz-Latn-UZ"/>
        </w:rPr>
      </w:pPr>
    </w:p>
    <w:p w14:paraId="4C39B894" w14:textId="5D6ADB68" w:rsidR="005C5D6C" w:rsidRDefault="005C5D6C" w:rsidP="00995DC2">
      <w:pPr>
        <w:spacing w:line="276" w:lineRule="auto"/>
        <w:ind w:firstLine="567"/>
        <w:jc w:val="both"/>
        <w:rPr>
          <w:rFonts w:cs="Times New Roman"/>
          <w:sz w:val="24"/>
          <w:szCs w:val="24"/>
          <w:lang w:val="uz-Latn-UZ"/>
        </w:rPr>
      </w:pPr>
    </w:p>
    <w:p w14:paraId="67701638" w14:textId="521162B2" w:rsidR="005C5D6C" w:rsidRDefault="005C5D6C" w:rsidP="00995DC2">
      <w:pPr>
        <w:spacing w:line="276" w:lineRule="auto"/>
        <w:ind w:firstLine="567"/>
        <w:jc w:val="both"/>
        <w:rPr>
          <w:rFonts w:cs="Times New Roman"/>
          <w:sz w:val="24"/>
          <w:szCs w:val="24"/>
          <w:lang w:val="uz-Latn-UZ"/>
        </w:rPr>
      </w:pPr>
    </w:p>
    <w:p w14:paraId="00042647" w14:textId="3A3D1C94" w:rsidR="005C5D6C" w:rsidRDefault="005C5D6C" w:rsidP="00B53C0B">
      <w:pPr>
        <w:spacing w:line="276" w:lineRule="auto"/>
        <w:ind w:firstLine="284"/>
        <w:jc w:val="both"/>
        <w:rPr>
          <w:rFonts w:cs="Times New Roman"/>
          <w:sz w:val="24"/>
          <w:szCs w:val="24"/>
          <w:lang w:val="uz-Latn-UZ"/>
        </w:rPr>
      </w:pPr>
    </w:p>
    <w:p w14:paraId="557E28BE" w14:textId="63EDD398" w:rsidR="005C5D6C" w:rsidRDefault="005C5D6C" w:rsidP="00B53C0B">
      <w:pPr>
        <w:spacing w:line="276" w:lineRule="auto"/>
        <w:ind w:firstLine="284"/>
        <w:jc w:val="both"/>
        <w:rPr>
          <w:rFonts w:cs="Times New Roman"/>
          <w:sz w:val="24"/>
          <w:szCs w:val="24"/>
          <w:lang w:val="uz-Latn-UZ"/>
        </w:rPr>
      </w:pPr>
    </w:p>
    <w:p w14:paraId="35DB4E81" w14:textId="395F6E00" w:rsidR="005C5D6C" w:rsidRDefault="005C5D6C" w:rsidP="00B53C0B">
      <w:pPr>
        <w:spacing w:line="276" w:lineRule="auto"/>
        <w:ind w:firstLine="284"/>
        <w:jc w:val="both"/>
        <w:rPr>
          <w:rFonts w:cs="Times New Roman"/>
          <w:sz w:val="24"/>
          <w:szCs w:val="24"/>
          <w:lang w:val="uz-Latn-UZ"/>
        </w:rPr>
      </w:pPr>
    </w:p>
    <w:p w14:paraId="1D0BC640" w14:textId="67C14D54" w:rsidR="005C5D6C" w:rsidRDefault="005C5D6C" w:rsidP="00B53C0B">
      <w:pPr>
        <w:spacing w:line="276" w:lineRule="auto"/>
        <w:ind w:firstLine="284"/>
        <w:jc w:val="both"/>
        <w:rPr>
          <w:rFonts w:cs="Times New Roman"/>
          <w:sz w:val="24"/>
          <w:szCs w:val="24"/>
          <w:lang w:val="uz-Latn-UZ"/>
        </w:rPr>
      </w:pPr>
    </w:p>
    <w:p w14:paraId="7DC085AD" w14:textId="5DD528D8" w:rsidR="005C5D6C" w:rsidRDefault="005C5D6C" w:rsidP="00B53C0B">
      <w:pPr>
        <w:spacing w:line="276" w:lineRule="auto"/>
        <w:ind w:firstLine="284"/>
        <w:jc w:val="both"/>
        <w:rPr>
          <w:rFonts w:cs="Times New Roman"/>
          <w:sz w:val="24"/>
          <w:szCs w:val="24"/>
          <w:lang w:val="uz-Latn-UZ"/>
        </w:rPr>
      </w:pPr>
    </w:p>
    <w:p w14:paraId="558CCEFE" w14:textId="15EDCF07" w:rsidR="005C5D6C" w:rsidRDefault="005C5D6C" w:rsidP="00B53C0B">
      <w:pPr>
        <w:spacing w:line="276" w:lineRule="auto"/>
        <w:ind w:firstLine="284"/>
        <w:jc w:val="both"/>
        <w:rPr>
          <w:rFonts w:cs="Times New Roman"/>
          <w:sz w:val="24"/>
          <w:szCs w:val="24"/>
          <w:lang w:val="uz-Latn-UZ"/>
        </w:rPr>
      </w:pPr>
    </w:p>
    <w:p w14:paraId="5F2BF078" w14:textId="33B51CE3" w:rsidR="005C5D6C" w:rsidRDefault="005C5D6C" w:rsidP="00B53C0B">
      <w:pPr>
        <w:spacing w:line="276" w:lineRule="auto"/>
        <w:ind w:firstLine="284"/>
        <w:jc w:val="both"/>
        <w:rPr>
          <w:rFonts w:cs="Times New Roman"/>
          <w:sz w:val="24"/>
          <w:szCs w:val="24"/>
          <w:lang w:val="uz-Latn-UZ"/>
        </w:rPr>
      </w:pPr>
    </w:p>
    <w:p w14:paraId="4621FC84" w14:textId="20E13BCE" w:rsidR="005C5D6C" w:rsidRDefault="005C5D6C" w:rsidP="00B53C0B">
      <w:pPr>
        <w:spacing w:line="276" w:lineRule="auto"/>
        <w:ind w:firstLine="284"/>
        <w:jc w:val="both"/>
        <w:rPr>
          <w:rFonts w:cs="Times New Roman"/>
          <w:sz w:val="24"/>
          <w:szCs w:val="24"/>
          <w:lang w:val="uz-Latn-UZ"/>
        </w:rPr>
      </w:pPr>
    </w:p>
    <w:p w14:paraId="4A805061" w14:textId="17678A12" w:rsidR="00A75A45" w:rsidRDefault="00752EAA" w:rsidP="00A75A45">
      <w:pPr>
        <w:spacing w:line="276" w:lineRule="auto"/>
        <w:jc w:val="both"/>
        <w:rPr>
          <w:rFonts w:eastAsia="SimSun" w:cs="Times New Roman"/>
          <w:bCs/>
          <w:iCs/>
          <w:sz w:val="24"/>
          <w:szCs w:val="24"/>
          <w:lang w:val="uz-Cyrl-UZ" w:eastAsia="zh-CN"/>
        </w:rPr>
      </w:pPr>
      <w:r>
        <w:rPr>
          <w:rFonts w:eastAsia="SimSun" w:cs="Times New Roman"/>
          <w:bCs/>
          <w:iCs/>
          <w:sz w:val="24"/>
          <w:szCs w:val="24"/>
          <w:lang w:eastAsia="zh-CN"/>
        </w:rPr>
        <w:lastRenderedPageBreak/>
        <w:t>UDC</w:t>
      </w:r>
      <w:r w:rsidR="00A75A45" w:rsidRPr="00A75A45">
        <w:rPr>
          <w:rFonts w:eastAsia="SimSun" w:cs="Times New Roman"/>
          <w:bCs/>
          <w:iCs/>
          <w:sz w:val="24"/>
          <w:szCs w:val="24"/>
          <w:lang w:val="uz-Cyrl-UZ" w:eastAsia="zh-CN"/>
        </w:rPr>
        <w:t>:</w:t>
      </w:r>
      <w:r>
        <w:rPr>
          <w:rFonts w:eastAsia="SimSun" w:cs="Times New Roman"/>
          <w:bCs/>
          <w:iCs/>
          <w:sz w:val="24"/>
          <w:szCs w:val="24"/>
          <w:lang w:eastAsia="zh-CN"/>
        </w:rPr>
        <w:t xml:space="preserve"> </w:t>
      </w:r>
      <w:r w:rsidR="00A75A45" w:rsidRPr="00A75A45">
        <w:rPr>
          <w:rFonts w:eastAsia="SimSun" w:cs="Times New Roman"/>
          <w:bCs/>
          <w:iCs/>
          <w:sz w:val="24"/>
          <w:szCs w:val="24"/>
          <w:lang w:val="uz-Cyrl-UZ" w:eastAsia="zh-CN"/>
        </w:rPr>
        <w:t>614.777: 628.1/.3</w:t>
      </w:r>
    </w:p>
    <w:p w14:paraId="7A2882C4" w14:textId="77777777" w:rsidR="00B26380" w:rsidRPr="00A75A45" w:rsidRDefault="00B26380" w:rsidP="00A75A45">
      <w:pPr>
        <w:spacing w:line="276" w:lineRule="auto"/>
        <w:jc w:val="both"/>
        <w:rPr>
          <w:rFonts w:eastAsia="SimSun" w:cs="Times New Roman"/>
          <w:bCs/>
          <w:iCs/>
          <w:sz w:val="24"/>
          <w:szCs w:val="24"/>
          <w:lang w:val="uz-Cyrl-UZ" w:eastAsia="zh-CN"/>
        </w:rPr>
      </w:pPr>
    </w:p>
    <w:p w14:paraId="6E2D5BD1" w14:textId="5097CFAB" w:rsidR="00A75A45" w:rsidRPr="00A75A45" w:rsidRDefault="00A75A45" w:rsidP="00752EAA">
      <w:pPr>
        <w:pStyle w:val="1"/>
        <w:rPr>
          <w:rFonts w:eastAsia="SimSun"/>
        </w:rPr>
      </w:pPr>
      <w:bookmarkStart w:id="25" w:name="_Toc104745744"/>
      <w:r w:rsidRPr="00A75A45">
        <w:rPr>
          <w:rFonts w:eastAsia="SimSun"/>
        </w:rPr>
        <w:t xml:space="preserve">HYGIENIC CHARACTERISTICS OF DRINKING WATER SUPPLY OF THE </w:t>
      </w:r>
      <w:r w:rsidR="00325B0D" w:rsidRPr="00A75A45">
        <w:rPr>
          <w:rFonts w:eastAsia="SimSun"/>
        </w:rPr>
        <w:t>URBAN</w:t>
      </w:r>
      <w:r w:rsidR="00325B0D" w:rsidRPr="00A75A45">
        <w:rPr>
          <w:rFonts w:eastAsia="SimSun"/>
          <w:lang w:val="uz-Cyrl-UZ"/>
        </w:rPr>
        <w:t xml:space="preserve"> </w:t>
      </w:r>
      <w:r w:rsidR="00325B0D" w:rsidRPr="00A75A45">
        <w:rPr>
          <w:rFonts w:eastAsia="SimSun"/>
        </w:rPr>
        <w:t>POPULATION</w:t>
      </w:r>
      <w:bookmarkEnd w:id="25"/>
    </w:p>
    <w:p w14:paraId="308CDD5D" w14:textId="77777777" w:rsidR="00A75A45" w:rsidRPr="007303E8" w:rsidRDefault="00A75A45" w:rsidP="00A75A45">
      <w:pPr>
        <w:spacing w:line="276" w:lineRule="auto"/>
        <w:ind w:firstLine="567"/>
        <w:jc w:val="both"/>
        <w:rPr>
          <w:rFonts w:eastAsia="SimSun" w:cs="Times New Roman"/>
          <w:b/>
          <w:bCs/>
          <w:iCs/>
          <w:sz w:val="24"/>
          <w:szCs w:val="24"/>
          <w:lang w:eastAsia="zh-CN"/>
        </w:rPr>
      </w:pPr>
    </w:p>
    <w:p w14:paraId="60041DA4" w14:textId="77777777" w:rsidR="00CD19FC" w:rsidRDefault="00325B0D" w:rsidP="00325B0D">
      <w:pPr>
        <w:spacing w:line="276" w:lineRule="auto"/>
        <w:jc w:val="center"/>
        <w:rPr>
          <w:rFonts w:eastAsia="SimSun" w:cs="Times New Roman"/>
          <w:b/>
          <w:bCs/>
          <w:iCs/>
          <w:sz w:val="24"/>
          <w:szCs w:val="24"/>
          <w:lang w:eastAsia="zh-CN"/>
        </w:rPr>
      </w:pPr>
      <w:r w:rsidRPr="00A75A45">
        <w:rPr>
          <w:rFonts w:eastAsia="SimSun" w:cs="Times New Roman"/>
          <w:b/>
          <w:bCs/>
          <w:iCs/>
          <w:sz w:val="24"/>
          <w:szCs w:val="24"/>
          <w:lang w:eastAsia="zh-CN"/>
        </w:rPr>
        <w:t>Shabonova D.B.</w:t>
      </w:r>
      <w:r>
        <w:rPr>
          <w:rFonts w:eastAsia="SimSun" w:cs="Times New Roman"/>
          <w:b/>
          <w:bCs/>
          <w:iCs/>
          <w:sz w:val="24"/>
          <w:szCs w:val="24"/>
          <w:lang w:eastAsia="zh-CN"/>
        </w:rPr>
        <w:t>,</w:t>
      </w:r>
      <w:r w:rsidRPr="00A75A45">
        <w:rPr>
          <w:rFonts w:eastAsia="SimSun" w:cs="Times New Roman"/>
          <w:b/>
          <w:bCs/>
          <w:iCs/>
          <w:sz w:val="24"/>
          <w:szCs w:val="24"/>
          <w:lang w:eastAsia="zh-CN"/>
        </w:rPr>
        <w:t xml:space="preserve"> student </w:t>
      </w:r>
    </w:p>
    <w:p w14:paraId="6A08E8E1" w14:textId="1886B604" w:rsidR="00A75A45" w:rsidRPr="00F44A75" w:rsidRDefault="00CD19FC" w:rsidP="00325B0D">
      <w:pPr>
        <w:spacing w:line="276" w:lineRule="auto"/>
        <w:jc w:val="center"/>
        <w:rPr>
          <w:rFonts w:eastAsia="SimSun" w:cs="Times New Roman"/>
          <w:iCs/>
          <w:sz w:val="24"/>
          <w:szCs w:val="24"/>
          <w:lang w:eastAsia="zh-CN"/>
        </w:rPr>
      </w:pPr>
      <w:r w:rsidRPr="00F44A75">
        <w:rPr>
          <w:rFonts w:eastAsia="SimSun" w:cs="Times New Roman"/>
          <w:iCs/>
          <w:sz w:val="24"/>
          <w:szCs w:val="24"/>
          <w:lang w:eastAsia="zh-CN"/>
        </w:rPr>
        <w:t>Medical prevention and public health</w:t>
      </w:r>
    </w:p>
    <w:p w14:paraId="11B48864" w14:textId="77777777" w:rsidR="00F44A75" w:rsidRDefault="00F44A75" w:rsidP="00325B0D">
      <w:pPr>
        <w:spacing w:line="276" w:lineRule="auto"/>
        <w:jc w:val="center"/>
        <w:rPr>
          <w:rFonts w:eastAsia="SimSun" w:cs="Times New Roman"/>
          <w:b/>
          <w:bCs/>
          <w:iCs/>
          <w:sz w:val="24"/>
          <w:szCs w:val="24"/>
          <w:lang w:eastAsia="zh-CN"/>
        </w:rPr>
      </w:pPr>
    </w:p>
    <w:p w14:paraId="6A3349D4" w14:textId="3D1D2D51" w:rsidR="00CD19FC" w:rsidRDefault="00325B0D" w:rsidP="00325B0D">
      <w:pPr>
        <w:spacing w:line="276" w:lineRule="auto"/>
        <w:jc w:val="center"/>
        <w:rPr>
          <w:rFonts w:eastAsia="SimSun" w:cs="Times New Roman"/>
          <w:b/>
          <w:bCs/>
          <w:iCs/>
          <w:sz w:val="24"/>
          <w:szCs w:val="24"/>
          <w:lang w:eastAsia="zh-CN"/>
        </w:rPr>
      </w:pPr>
      <w:r w:rsidRPr="00A75A45">
        <w:rPr>
          <w:rFonts w:eastAsia="SimSun" w:cs="Times New Roman"/>
          <w:b/>
          <w:bCs/>
          <w:iCs/>
          <w:sz w:val="24"/>
          <w:szCs w:val="24"/>
          <w:lang w:eastAsia="zh-CN"/>
        </w:rPr>
        <w:t>Iskandarova G.T.</w:t>
      </w:r>
      <w:r>
        <w:rPr>
          <w:rFonts w:eastAsia="SimSun" w:cs="Times New Roman"/>
          <w:b/>
          <w:bCs/>
          <w:iCs/>
          <w:sz w:val="24"/>
          <w:szCs w:val="24"/>
          <w:lang w:eastAsia="zh-CN"/>
        </w:rPr>
        <w:t>,</w:t>
      </w:r>
      <w:r w:rsidRPr="00A75A45">
        <w:rPr>
          <w:rFonts w:eastAsia="SimSun" w:cs="Times New Roman"/>
          <w:b/>
          <w:bCs/>
          <w:iCs/>
          <w:sz w:val="24"/>
          <w:szCs w:val="24"/>
          <w:lang w:eastAsia="zh-CN"/>
        </w:rPr>
        <w:t xml:space="preserve"> </w:t>
      </w:r>
      <w:r w:rsidR="00D27CEF" w:rsidRPr="00A75A45">
        <w:rPr>
          <w:rFonts w:eastAsia="SimSun" w:cs="Times New Roman"/>
          <w:b/>
          <w:bCs/>
          <w:iCs/>
          <w:sz w:val="24"/>
          <w:szCs w:val="24"/>
          <w:lang w:eastAsia="zh-CN"/>
        </w:rPr>
        <w:t xml:space="preserve">doctor of medical sciences, professor </w:t>
      </w:r>
    </w:p>
    <w:p w14:paraId="5343D8A2" w14:textId="030176B2" w:rsidR="00A75A45" w:rsidRPr="00D27CEF" w:rsidRDefault="00325B0D" w:rsidP="00325B0D">
      <w:pPr>
        <w:spacing w:line="276" w:lineRule="auto"/>
        <w:jc w:val="center"/>
        <w:rPr>
          <w:rFonts w:eastAsia="SimSun" w:cs="Times New Roman"/>
          <w:iCs/>
          <w:sz w:val="24"/>
          <w:szCs w:val="24"/>
          <w:lang w:eastAsia="zh-CN"/>
        </w:rPr>
      </w:pPr>
      <w:r w:rsidRPr="00D27CEF">
        <w:rPr>
          <w:rFonts w:eastAsia="SimSun" w:cs="Times New Roman"/>
          <w:iCs/>
          <w:sz w:val="24"/>
          <w:szCs w:val="24"/>
          <w:lang w:eastAsia="zh-CN"/>
        </w:rPr>
        <w:t xml:space="preserve">Head of the Department of Communal Hygiene and </w:t>
      </w:r>
      <w:r w:rsidRPr="00D27CEF">
        <w:rPr>
          <w:rFonts w:eastAsia="SimSun" w:cs="Times New Roman"/>
          <w:sz w:val="24"/>
          <w:szCs w:val="24"/>
          <w:lang w:eastAsia="zh-CN"/>
        </w:rPr>
        <w:t>Occupational</w:t>
      </w:r>
      <w:r w:rsidRPr="00D27CEF">
        <w:rPr>
          <w:rFonts w:eastAsia="SimSun" w:cs="Times New Roman"/>
          <w:iCs/>
          <w:sz w:val="24"/>
          <w:szCs w:val="24"/>
          <w:lang w:eastAsia="zh-CN"/>
        </w:rPr>
        <w:t xml:space="preserve"> Hygiene </w:t>
      </w:r>
    </w:p>
    <w:p w14:paraId="5C5B5768" w14:textId="4DB8CE6F" w:rsidR="00325B0D" w:rsidRPr="00A75A45" w:rsidRDefault="00325B0D" w:rsidP="00325B0D">
      <w:pPr>
        <w:spacing w:line="276" w:lineRule="auto"/>
        <w:jc w:val="center"/>
        <w:rPr>
          <w:rFonts w:eastAsia="SimSun" w:cs="Times New Roman"/>
          <w:sz w:val="24"/>
          <w:szCs w:val="24"/>
          <w:lang w:eastAsia="zh-CN"/>
        </w:rPr>
      </w:pPr>
      <w:r w:rsidRPr="00A75A45">
        <w:rPr>
          <w:rFonts w:eastAsia="SimSun" w:cs="Times New Roman"/>
          <w:iCs/>
          <w:sz w:val="24"/>
          <w:szCs w:val="24"/>
          <w:lang w:eastAsia="zh-CN"/>
        </w:rPr>
        <w:t xml:space="preserve">Tashkent </w:t>
      </w:r>
      <w:r w:rsidRPr="00325B0D">
        <w:rPr>
          <w:rFonts w:eastAsia="SimSun" w:cs="Times New Roman"/>
          <w:iCs/>
          <w:sz w:val="24"/>
          <w:szCs w:val="24"/>
          <w:lang w:eastAsia="zh-CN"/>
        </w:rPr>
        <w:t>medical academy, Tashkent, Uzbekistan</w:t>
      </w:r>
    </w:p>
    <w:p w14:paraId="188556F5" w14:textId="77777777" w:rsidR="00A75A45" w:rsidRPr="00325B0D" w:rsidRDefault="00A75A45" w:rsidP="00A75A45">
      <w:pPr>
        <w:spacing w:line="276" w:lineRule="auto"/>
        <w:ind w:firstLine="567"/>
        <w:jc w:val="both"/>
        <w:rPr>
          <w:rFonts w:eastAsia="SimSun" w:cs="Times New Roman"/>
          <w:b/>
          <w:bCs/>
          <w:iCs/>
          <w:sz w:val="24"/>
          <w:szCs w:val="24"/>
          <w:lang w:eastAsia="zh-CN"/>
        </w:rPr>
      </w:pPr>
    </w:p>
    <w:p w14:paraId="67C4CDDF" w14:textId="22A5AD79" w:rsidR="00325B0D" w:rsidRPr="00A75A45" w:rsidRDefault="00325B0D" w:rsidP="00325B0D">
      <w:pPr>
        <w:spacing w:line="276" w:lineRule="auto"/>
        <w:ind w:firstLine="567"/>
        <w:jc w:val="both"/>
        <w:rPr>
          <w:rFonts w:eastAsia="SimSun" w:cs="Times New Roman"/>
          <w:bCs/>
          <w:i/>
          <w:sz w:val="24"/>
          <w:szCs w:val="24"/>
          <w:lang w:val="ru-RU" w:eastAsia="zh-CN"/>
        </w:rPr>
      </w:pPr>
      <w:r w:rsidRPr="00A75A45">
        <w:rPr>
          <w:rFonts w:eastAsia="SimSun" w:cs="Times New Roman"/>
          <w:b/>
          <w:bCs/>
          <w:i/>
          <w:sz w:val="24"/>
          <w:szCs w:val="24"/>
          <w:lang w:val="ru-RU" w:eastAsia="zh-CN"/>
        </w:rPr>
        <w:t>АННОТАЦИЯ</w:t>
      </w:r>
      <w:r w:rsidRPr="00D40313">
        <w:rPr>
          <w:rFonts w:eastAsia="SimSun" w:cs="Times New Roman"/>
          <w:b/>
          <w:bCs/>
          <w:i/>
          <w:sz w:val="24"/>
          <w:szCs w:val="24"/>
          <w:lang w:eastAsia="zh-CN"/>
        </w:rPr>
        <w:t xml:space="preserve">. </w:t>
      </w:r>
      <w:r w:rsidRPr="00A75A45">
        <w:rPr>
          <w:rFonts w:eastAsia="SimSun" w:cs="Times New Roman"/>
          <w:bCs/>
          <w:i/>
          <w:sz w:val="24"/>
          <w:szCs w:val="24"/>
          <w:lang w:val="ru-RU" w:eastAsia="zh-CN"/>
        </w:rPr>
        <w:t>Представлены результаты анализа обеспеченности жителей города Ташкента доброкачественной питьевой водой. Из водозаборных сооружений вода подается в разводящую сеть после разных методах водоподготовки, и она соответствует требованиям ГОСТ «Вода питьевая» 950-2011 [1]. Предложен вариант ретехнологизации системы водоснабжения за счет повышения качества воды с помощью рассмотренных технологий водоподготовки. Выполнена оценка качества воды источника водоснабжения поверхностных (р. Бозсу) вод, а также предложены варианты технологий подготовки воды из этого водоисточника. Для обработки воды р. Бозсу предложено три варианта реагентных технологических схем. Это основные методы очистки питьевой воды – осветление, обессвечивание и обеззараживание питьевой воды.</w:t>
      </w:r>
    </w:p>
    <w:p w14:paraId="041AD9A7" w14:textId="77777777" w:rsidR="00325B0D" w:rsidRPr="00A75A45" w:rsidRDefault="00325B0D" w:rsidP="00325B0D">
      <w:pPr>
        <w:spacing w:line="276" w:lineRule="auto"/>
        <w:ind w:firstLine="567"/>
        <w:jc w:val="both"/>
        <w:rPr>
          <w:rFonts w:eastAsia="SimSun" w:cs="Times New Roman"/>
          <w:bCs/>
          <w:i/>
          <w:sz w:val="24"/>
          <w:szCs w:val="24"/>
          <w:lang w:val="ru-RU" w:eastAsia="zh-CN"/>
        </w:rPr>
      </w:pPr>
      <w:r w:rsidRPr="00A75A45">
        <w:rPr>
          <w:rFonts w:eastAsia="SimSun" w:cs="Times New Roman"/>
          <w:b/>
          <w:bCs/>
          <w:i/>
          <w:sz w:val="24"/>
          <w:szCs w:val="24"/>
          <w:lang w:val="ru-RU" w:eastAsia="zh-CN"/>
        </w:rPr>
        <w:t>Ключевые слова:</w:t>
      </w:r>
      <w:r w:rsidRPr="00A75A45">
        <w:rPr>
          <w:rFonts w:eastAsia="SimSun" w:cs="Times New Roman"/>
          <w:bCs/>
          <w:i/>
          <w:sz w:val="24"/>
          <w:szCs w:val="24"/>
          <w:lang w:val="ru-RU" w:eastAsia="zh-CN"/>
        </w:rPr>
        <w:t xml:space="preserve"> водопровод, отстойники, фильтры, хлорирование, обеззараживание, сеть, водоисточник, кишечные инфекции, коагулянт, органолептика  </w:t>
      </w:r>
    </w:p>
    <w:p w14:paraId="3186941C" w14:textId="77777777" w:rsidR="00A75A45" w:rsidRPr="00325B0D" w:rsidRDefault="00A75A45" w:rsidP="00A75A45">
      <w:pPr>
        <w:spacing w:line="276" w:lineRule="auto"/>
        <w:ind w:firstLine="567"/>
        <w:jc w:val="both"/>
        <w:rPr>
          <w:rFonts w:eastAsia="SimSun" w:cs="Times New Roman"/>
          <w:b/>
          <w:bCs/>
          <w:iCs/>
          <w:sz w:val="24"/>
          <w:szCs w:val="24"/>
          <w:lang w:val="ru-RU" w:eastAsia="zh-CN"/>
        </w:rPr>
      </w:pPr>
    </w:p>
    <w:p w14:paraId="653250CC" w14:textId="77777777" w:rsidR="00A75A45" w:rsidRPr="00325B0D" w:rsidRDefault="00A75A45" w:rsidP="00A75A45">
      <w:pPr>
        <w:spacing w:line="276" w:lineRule="auto"/>
        <w:ind w:firstLine="567"/>
        <w:jc w:val="both"/>
        <w:rPr>
          <w:rFonts w:eastAsia="SimSun" w:cs="Times New Roman"/>
          <w:b/>
          <w:bCs/>
          <w:iCs/>
          <w:sz w:val="24"/>
          <w:szCs w:val="24"/>
          <w:lang w:val="ru-RU" w:eastAsia="zh-CN"/>
        </w:rPr>
      </w:pPr>
    </w:p>
    <w:p w14:paraId="5D2842DB" w14:textId="6C7F281A" w:rsidR="00A75A45" w:rsidRPr="00A75A45" w:rsidRDefault="00A75A45" w:rsidP="00325B0D">
      <w:pPr>
        <w:spacing w:line="276" w:lineRule="auto"/>
        <w:jc w:val="center"/>
        <w:rPr>
          <w:rFonts w:eastAsia="SimSun" w:cs="Times New Roman"/>
          <w:b/>
          <w:bCs/>
          <w:iCs/>
          <w:sz w:val="24"/>
          <w:szCs w:val="24"/>
          <w:lang w:val="ru-RU" w:eastAsia="zh-CN"/>
        </w:rPr>
      </w:pPr>
      <w:r w:rsidRPr="00A75A45">
        <w:rPr>
          <w:rFonts w:eastAsia="SimSun" w:cs="Times New Roman"/>
          <w:b/>
          <w:bCs/>
          <w:iCs/>
          <w:sz w:val="24"/>
          <w:szCs w:val="24"/>
          <w:lang w:val="ru-RU" w:eastAsia="zh-CN"/>
        </w:rPr>
        <w:t>ГИГИЕНИЧЕСКАЯ ХАРАКТЕРИСТИКА ПИТЬЕВОГО ВОДОСНАБЖЕНИЯ ГОРОДСКОГО НАСЕЛЕНИЯ</w:t>
      </w:r>
    </w:p>
    <w:p w14:paraId="72205468" w14:textId="7AE06847" w:rsidR="00325B0D" w:rsidRDefault="00325B0D" w:rsidP="00A75A45">
      <w:pPr>
        <w:spacing w:line="276" w:lineRule="auto"/>
        <w:ind w:firstLine="567"/>
        <w:jc w:val="both"/>
        <w:rPr>
          <w:rFonts w:eastAsia="SimSun" w:cs="Times New Roman"/>
          <w:b/>
          <w:bCs/>
          <w:iCs/>
          <w:sz w:val="24"/>
          <w:szCs w:val="24"/>
          <w:lang w:val="ru-RU" w:eastAsia="zh-CN"/>
        </w:rPr>
      </w:pPr>
    </w:p>
    <w:p w14:paraId="4E54D56E" w14:textId="507385CA" w:rsidR="00CD19FC" w:rsidRPr="00A75A45" w:rsidRDefault="00CD19FC" w:rsidP="00CD19FC">
      <w:pPr>
        <w:spacing w:line="276" w:lineRule="auto"/>
        <w:ind w:firstLine="567"/>
        <w:jc w:val="both"/>
        <w:rPr>
          <w:rFonts w:eastAsia="SimSun" w:cs="Times New Roman"/>
          <w:bCs/>
          <w:i/>
          <w:sz w:val="24"/>
          <w:szCs w:val="24"/>
          <w:lang w:val="ru-RU" w:eastAsia="zh-CN"/>
        </w:rPr>
      </w:pPr>
      <w:r w:rsidRPr="00A75A45">
        <w:rPr>
          <w:rFonts w:eastAsia="SimSun" w:cs="Times New Roman"/>
          <w:b/>
          <w:bCs/>
          <w:i/>
          <w:sz w:val="24"/>
          <w:szCs w:val="24"/>
          <w:lang w:val="ru-RU" w:eastAsia="zh-CN"/>
        </w:rPr>
        <w:t>АННОТАЦИЯ</w:t>
      </w:r>
      <w:r w:rsidRPr="00CD19FC">
        <w:rPr>
          <w:rFonts w:eastAsia="SimSun" w:cs="Times New Roman"/>
          <w:b/>
          <w:bCs/>
          <w:i/>
          <w:sz w:val="24"/>
          <w:szCs w:val="24"/>
          <w:lang w:val="ru-RU" w:eastAsia="zh-CN"/>
        </w:rPr>
        <w:t xml:space="preserve">. </w:t>
      </w:r>
      <w:r w:rsidRPr="00A75A45">
        <w:rPr>
          <w:rFonts w:eastAsia="SimSun" w:cs="Times New Roman"/>
          <w:bCs/>
          <w:i/>
          <w:sz w:val="24"/>
          <w:szCs w:val="24"/>
          <w:lang w:val="ru-RU" w:eastAsia="zh-CN"/>
        </w:rPr>
        <w:t xml:space="preserve">Тошкент шаҳри ахолисини сифатли ичимлик суви билан таъминлаш таҳлил натижалари тақдим этилган. Сув олиш қурилмаларидан олинган, турли усуллар ёрдамида тозаланган сув водопровод тармоғи орқали ахолига етказиб берилади ва у ДавСТ 950-2011 “Ичимлик сув” талабларига тўлиқ мос келади [1]. Сувни тозалаш технологиясини кўриб чиқиш ёрдамида сув сифатини ошириш ҳисобига сув таъмноти тизимларини ретехнолозация вариантлари таклиф этилган. Очиқ сув таъминоти манбалари сув (Бозсу дарёси) сифатини баҳолаш, шунингдек мазкур сув манбасидан олинган сув сифатини яхшилаш вариантлари таклиф этилди. Бозсу дарёсидан олинган сувни қайта ишлаш учун реагентли технологик схеманинг учта варианти таклиф этилди. Бу сувни тозалашнинг асосий усуллари, яъни тиндириш, рангсизлантириш ва зарарсизлантиришдир.     </w:t>
      </w:r>
    </w:p>
    <w:p w14:paraId="278CB0F5" w14:textId="77777777" w:rsidR="00CD19FC" w:rsidRPr="00A75A45" w:rsidRDefault="00CD19FC" w:rsidP="00CD19FC">
      <w:pPr>
        <w:spacing w:line="276" w:lineRule="auto"/>
        <w:ind w:firstLine="567"/>
        <w:jc w:val="both"/>
        <w:rPr>
          <w:rFonts w:eastAsia="SimSun" w:cs="Times New Roman"/>
          <w:bCs/>
          <w:i/>
          <w:sz w:val="24"/>
          <w:szCs w:val="24"/>
          <w:lang w:val="ru-RU" w:eastAsia="zh-CN"/>
        </w:rPr>
      </w:pPr>
      <w:r w:rsidRPr="00A75A45">
        <w:rPr>
          <w:rFonts w:eastAsia="SimSun" w:cs="Times New Roman"/>
          <w:b/>
          <w:bCs/>
          <w:i/>
          <w:sz w:val="24"/>
          <w:szCs w:val="24"/>
          <w:lang w:val="ru-RU" w:eastAsia="zh-CN"/>
        </w:rPr>
        <w:t>Калит сўзлар</w:t>
      </w:r>
      <w:r w:rsidRPr="00A75A45">
        <w:rPr>
          <w:rFonts w:eastAsia="SimSun" w:cs="Times New Roman"/>
          <w:bCs/>
          <w:i/>
          <w:sz w:val="24"/>
          <w:szCs w:val="24"/>
          <w:lang w:val="ru-RU" w:eastAsia="zh-CN"/>
        </w:rPr>
        <w:t>: водопровод, тиндиргичлар, фильтрлар, хлорлаш, зарарсизлантириш, тармоқ, ичак инфекциялари, коагулянт, органолептика</w:t>
      </w:r>
    </w:p>
    <w:p w14:paraId="53F9B9AE" w14:textId="77777777" w:rsidR="00325B0D" w:rsidRPr="00325B0D" w:rsidRDefault="00325B0D" w:rsidP="00A75A45">
      <w:pPr>
        <w:spacing w:line="276" w:lineRule="auto"/>
        <w:ind w:firstLine="567"/>
        <w:jc w:val="both"/>
        <w:rPr>
          <w:rFonts w:eastAsia="SimSun" w:cs="Times New Roman"/>
          <w:b/>
          <w:bCs/>
          <w:iCs/>
          <w:sz w:val="24"/>
          <w:szCs w:val="24"/>
          <w:lang w:val="ru-RU" w:eastAsia="zh-CN"/>
        </w:rPr>
      </w:pPr>
    </w:p>
    <w:p w14:paraId="7E87840E" w14:textId="77777777" w:rsidR="00752EAA" w:rsidRPr="00F20187" w:rsidRDefault="00752EAA" w:rsidP="007303E8">
      <w:pPr>
        <w:spacing w:line="276" w:lineRule="auto"/>
        <w:jc w:val="center"/>
        <w:rPr>
          <w:rFonts w:eastAsia="SimSun" w:cs="Times New Roman"/>
          <w:b/>
          <w:bCs/>
          <w:iCs/>
          <w:sz w:val="24"/>
          <w:szCs w:val="24"/>
          <w:lang w:val="ru-RU" w:eastAsia="zh-CN"/>
        </w:rPr>
      </w:pPr>
    </w:p>
    <w:p w14:paraId="0AF4465D" w14:textId="72BDDB54" w:rsidR="00752EAA" w:rsidRDefault="00752EAA" w:rsidP="007303E8">
      <w:pPr>
        <w:spacing w:line="276" w:lineRule="auto"/>
        <w:jc w:val="center"/>
        <w:rPr>
          <w:rFonts w:eastAsia="SimSun" w:cs="Times New Roman"/>
          <w:b/>
          <w:bCs/>
          <w:iCs/>
          <w:sz w:val="24"/>
          <w:szCs w:val="24"/>
          <w:lang w:val="ru-RU" w:eastAsia="zh-CN"/>
        </w:rPr>
      </w:pPr>
    </w:p>
    <w:p w14:paraId="789428B6" w14:textId="66EAD06A" w:rsidR="00B26380" w:rsidRDefault="00B26380" w:rsidP="007303E8">
      <w:pPr>
        <w:spacing w:line="276" w:lineRule="auto"/>
        <w:jc w:val="center"/>
        <w:rPr>
          <w:rFonts w:eastAsia="SimSun" w:cs="Times New Roman"/>
          <w:b/>
          <w:bCs/>
          <w:iCs/>
          <w:sz w:val="24"/>
          <w:szCs w:val="24"/>
          <w:lang w:val="ru-RU" w:eastAsia="zh-CN"/>
        </w:rPr>
      </w:pPr>
    </w:p>
    <w:p w14:paraId="6C99B4FB" w14:textId="2FE1F803" w:rsidR="00A75A45" w:rsidRPr="00F20187" w:rsidRDefault="00A75A45" w:rsidP="00752EAA">
      <w:pPr>
        <w:spacing w:line="269" w:lineRule="auto"/>
        <w:jc w:val="center"/>
        <w:rPr>
          <w:rFonts w:eastAsia="SimSun" w:cs="Times New Roman"/>
          <w:b/>
          <w:bCs/>
          <w:iCs/>
          <w:sz w:val="24"/>
          <w:szCs w:val="24"/>
          <w:lang w:val="ru-RU" w:eastAsia="zh-CN"/>
        </w:rPr>
      </w:pPr>
      <w:r w:rsidRPr="00A75A45">
        <w:rPr>
          <w:rFonts w:eastAsia="SimSun" w:cs="Times New Roman"/>
          <w:b/>
          <w:bCs/>
          <w:iCs/>
          <w:sz w:val="24"/>
          <w:szCs w:val="24"/>
          <w:lang w:eastAsia="zh-CN"/>
        </w:rPr>
        <w:lastRenderedPageBreak/>
        <w:t>SHAHAR</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AHOLISINI</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ICHIMLIK</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SUVI</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BILAN</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TA</w:t>
      </w:r>
      <w:r w:rsidRPr="00F20187">
        <w:rPr>
          <w:rFonts w:eastAsia="SimSun" w:cs="Times New Roman"/>
          <w:b/>
          <w:bCs/>
          <w:iCs/>
          <w:sz w:val="24"/>
          <w:szCs w:val="24"/>
          <w:lang w:val="ru-RU" w:eastAsia="zh-CN"/>
        </w:rPr>
        <w:t>’</w:t>
      </w:r>
      <w:r w:rsidRPr="00A75A45">
        <w:rPr>
          <w:rFonts w:eastAsia="SimSun" w:cs="Times New Roman"/>
          <w:b/>
          <w:bCs/>
          <w:iCs/>
          <w:sz w:val="24"/>
          <w:szCs w:val="24"/>
          <w:lang w:eastAsia="zh-CN"/>
        </w:rPr>
        <w:t>MINLASHNING</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GIGIYENIK</w:t>
      </w:r>
      <w:r w:rsidRPr="00F20187">
        <w:rPr>
          <w:rFonts w:eastAsia="SimSun" w:cs="Times New Roman"/>
          <w:b/>
          <w:bCs/>
          <w:iCs/>
          <w:sz w:val="24"/>
          <w:szCs w:val="24"/>
          <w:lang w:val="ru-RU" w:eastAsia="zh-CN"/>
        </w:rPr>
        <w:t xml:space="preserve"> </w:t>
      </w:r>
      <w:r w:rsidRPr="00A75A45">
        <w:rPr>
          <w:rFonts w:eastAsia="SimSun" w:cs="Times New Roman"/>
          <w:b/>
          <w:bCs/>
          <w:iCs/>
          <w:sz w:val="24"/>
          <w:szCs w:val="24"/>
          <w:lang w:eastAsia="zh-CN"/>
        </w:rPr>
        <w:t>XUSUSIYATLARI</w:t>
      </w:r>
    </w:p>
    <w:p w14:paraId="5FC0F0D3" w14:textId="77777777" w:rsidR="00A75A45" w:rsidRPr="00F20187" w:rsidRDefault="00A75A45" w:rsidP="00752EAA">
      <w:pPr>
        <w:spacing w:line="269" w:lineRule="auto"/>
        <w:ind w:firstLine="567"/>
        <w:jc w:val="both"/>
        <w:rPr>
          <w:rFonts w:eastAsia="SimSun" w:cs="Times New Roman"/>
          <w:b/>
          <w:bCs/>
          <w:iCs/>
          <w:sz w:val="24"/>
          <w:szCs w:val="24"/>
          <w:lang w:val="ru-RU" w:eastAsia="zh-CN"/>
        </w:rPr>
      </w:pPr>
      <w:r w:rsidRPr="00F20187">
        <w:rPr>
          <w:rFonts w:eastAsia="SimSun" w:cs="Times New Roman"/>
          <w:b/>
          <w:bCs/>
          <w:iCs/>
          <w:sz w:val="24"/>
          <w:szCs w:val="24"/>
          <w:lang w:val="ru-RU" w:eastAsia="zh-CN"/>
        </w:rPr>
        <w:t xml:space="preserve">                                 </w:t>
      </w:r>
    </w:p>
    <w:p w14:paraId="378FFF38" w14:textId="193044D7" w:rsidR="00A75A45" w:rsidRPr="00A75A45" w:rsidRDefault="00A75A45" w:rsidP="00752EAA">
      <w:pPr>
        <w:spacing w:line="269" w:lineRule="auto"/>
        <w:ind w:firstLine="567"/>
        <w:jc w:val="both"/>
        <w:rPr>
          <w:rFonts w:eastAsia="SimSun" w:cs="Times New Roman"/>
          <w:bCs/>
          <w:i/>
          <w:sz w:val="24"/>
          <w:szCs w:val="24"/>
          <w:lang w:eastAsia="zh-CN"/>
        </w:rPr>
      </w:pPr>
      <w:r w:rsidRPr="00A75A45">
        <w:rPr>
          <w:rFonts w:eastAsia="SimSun" w:cs="Times New Roman"/>
          <w:b/>
          <w:bCs/>
          <w:i/>
          <w:sz w:val="24"/>
          <w:szCs w:val="24"/>
          <w:lang w:eastAsia="zh-CN"/>
        </w:rPr>
        <w:t>ANNOTATION</w:t>
      </w:r>
      <w:r w:rsidR="007303E8" w:rsidRPr="007303E8">
        <w:rPr>
          <w:rFonts w:eastAsia="SimSun" w:cs="Times New Roman"/>
          <w:b/>
          <w:bCs/>
          <w:i/>
          <w:sz w:val="24"/>
          <w:szCs w:val="24"/>
          <w:lang w:eastAsia="zh-CN"/>
        </w:rPr>
        <w:t xml:space="preserve">. </w:t>
      </w:r>
      <w:r w:rsidRPr="00A75A45">
        <w:rPr>
          <w:rFonts w:eastAsia="SimSun" w:cs="Times New Roman"/>
          <w:bCs/>
          <w:i/>
          <w:sz w:val="24"/>
          <w:szCs w:val="24"/>
          <w:lang w:eastAsia="zh-CN"/>
        </w:rPr>
        <w:t xml:space="preserve"> The results of the analysis of the provision of residents of the city of Tashkent with good-quality drinking water are presented. From water intake facilities, water is supplied to the distribution network after various methods of water treatment, and it meets the requirements of "Drinking water" GOST 950-2011 [1]. A variant of retechnologization of the water supply system by improving water quality with the help of the considered water treatment technologies is proposed. The water quality of the surface water supply source (the Bozsu River) has been assessed, and options for water treatment technologies from this water source have been proposed. Three variants of reagent technological schemes have been proposed for the treatment of the Bozsu River water. These are the main methods of drinking water purification – clarification, bleaching and disinfection of drinking water.</w:t>
      </w:r>
    </w:p>
    <w:p w14:paraId="2A3ECB9B" w14:textId="77777777" w:rsidR="00A75A45" w:rsidRPr="00A75A45" w:rsidRDefault="00A75A45" w:rsidP="00752EAA">
      <w:pPr>
        <w:spacing w:line="269" w:lineRule="auto"/>
        <w:ind w:firstLine="567"/>
        <w:jc w:val="both"/>
        <w:rPr>
          <w:rFonts w:eastAsia="SimSun" w:cs="Times New Roman"/>
          <w:bCs/>
          <w:i/>
          <w:sz w:val="24"/>
          <w:szCs w:val="24"/>
          <w:lang w:eastAsia="zh-CN"/>
        </w:rPr>
      </w:pPr>
      <w:r w:rsidRPr="00A75A45">
        <w:rPr>
          <w:rFonts w:eastAsia="SimSun" w:cs="Times New Roman"/>
          <w:b/>
          <w:bCs/>
          <w:i/>
          <w:sz w:val="24"/>
          <w:szCs w:val="24"/>
          <w:lang w:eastAsia="zh-CN"/>
        </w:rPr>
        <w:t>Keywords</w:t>
      </w:r>
      <w:r w:rsidRPr="00A75A45">
        <w:rPr>
          <w:rFonts w:eastAsia="SimSun" w:cs="Times New Roman"/>
          <w:bCs/>
          <w:i/>
          <w:sz w:val="24"/>
          <w:szCs w:val="24"/>
          <w:lang w:eastAsia="zh-CN"/>
        </w:rPr>
        <w:t>: water supply, settling tanks, filters, chlorination, disinfection, network, water source, intestinal infections, coagulant, organoleptics</w:t>
      </w:r>
    </w:p>
    <w:p w14:paraId="4615BEFE" w14:textId="77777777" w:rsidR="00A75A45" w:rsidRPr="00A75A45" w:rsidRDefault="00A75A45" w:rsidP="00752EAA">
      <w:pPr>
        <w:spacing w:line="269" w:lineRule="auto"/>
        <w:ind w:firstLine="567"/>
        <w:jc w:val="both"/>
        <w:rPr>
          <w:rFonts w:eastAsia="SimSun" w:cs="Times New Roman"/>
          <w:b/>
          <w:bCs/>
          <w:i/>
          <w:iCs/>
          <w:sz w:val="24"/>
          <w:szCs w:val="24"/>
          <w:lang w:eastAsia="zh-CN"/>
        </w:rPr>
      </w:pPr>
    </w:p>
    <w:p w14:paraId="267D1876" w14:textId="77777777" w:rsidR="007303E8" w:rsidRDefault="007303E8" w:rsidP="00752EAA">
      <w:pPr>
        <w:spacing w:line="269" w:lineRule="auto"/>
        <w:ind w:firstLine="567"/>
        <w:jc w:val="both"/>
        <w:rPr>
          <w:rFonts w:eastAsia="SimSun" w:cs="Times New Roman"/>
          <w:b/>
          <w:bCs/>
          <w:i/>
          <w:iCs/>
          <w:sz w:val="24"/>
          <w:szCs w:val="24"/>
          <w:lang w:eastAsia="zh-CN"/>
        </w:rPr>
        <w:sectPr w:rsidR="007303E8" w:rsidSect="00995DC2">
          <w:type w:val="continuous"/>
          <w:pgSz w:w="11907" w:h="16840" w:code="9"/>
          <w:pgMar w:top="1418" w:right="1134" w:bottom="1134" w:left="1134" w:header="907" w:footer="794" w:gutter="0"/>
          <w:cols w:space="708"/>
          <w:docGrid w:linePitch="381"/>
        </w:sectPr>
      </w:pPr>
    </w:p>
    <w:p w14:paraId="4B4CED44" w14:textId="0DFDF0B6"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b/>
          <w:bCs/>
          <w:i/>
          <w:iCs/>
          <w:sz w:val="24"/>
          <w:szCs w:val="24"/>
          <w:lang w:eastAsia="zh-CN"/>
        </w:rPr>
        <w:t xml:space="preserve"> </w:t>
      </w:r>
      <w:r w:rsidRPr="00A75A45">
        <w:rPr>
          <w:rFonts w:eastAsia="SimSun" w:cs="Times New Roman"/>
          <w:b/>
          <w:bCs/>
          <w:iCs/>
          <w:sz w:val="24"/>
          <w:szCs w:val="24"/>
          <w:lang w:eastAsia="zh-CN"/>
        </w:rPr>
        <w:t>Relevance of the work</w:t>
      </w:r>
      <w:r w:rsidRPr="00A75A45">
        <w:rPr>
          <w:rFonts w:eastAsia="SimSun" w:cs="Times New Roman"/>
          <w:sz w:val="24"/>
          <w:szCs w:val="24"/>
          <w:lang w:eastAsia="zh-CN"/>
        </w:rPr>
        <w:t>: Water purifica</w:t>
      </w:r>
      <w:r w:rsidR="007303E8">
        <w:rPr>
          <w:rFonts w:eastAsia="SimSun" w:cs="Times New Roman"/>
          <w:sz w:val="24"/>
          <w:szCs w:val="24"/>
          <w:lang w:eastAsia="zh-CN"/>
        </w:rPr>
        <w:softHyphen/>
      </w:r>
      <w:r w:rsidRPr="00A75A45">
        <w:rPr>
          <w:rFonts w:eastAsia="SimSun" w:cs="Times New Roman"/>
          <w:sz w:val="24"/>
          <w:szCs w:val="24"/>
          <w:lang w:eastAsia="zh-CN"/>
        </w:rPr>
        <w:t>tion from man- made pollution is one of the most important and difficult tasks of our time. Drinking water – water of its quality in its nat</w:t>
      </w:r>
      <w:r w:rsidR="007303E8">
        <w:rPr>
          <w:rFonts w:eastAsia="SimSun" w:cs="Times New Roman"/>
          <w:sz w:val="24"/>
          <w:szCs w:val="24"/>
          <w:lang w:eastAsia="zh-CN"/>
        </w:rPr>
        <w:softHyphen/>
      </w:r>
      <w:r w:rsidRPr="00A75A45">
        <w:rPr>
          <w:rFonts w:eastAsia="SimSun" w:cs="Times New Roman"/>
          <w:sz w:val="24"/>
          <w:szCs w:val="24"/>
          <w:lang w:eastAsia="zh-CN"/>
        </w:rPr>
        <w:t>ural state or after processing, intended for hu</w:t>
      </w:r>
      <w:r w:rsidR="007303E8">
        <w:rPr>
          <w:rFonts w:eastAsia="SimSun" w:cs="Times New Roman"/>
          <w:sz w:val="24"/>
          <w:szCs w:val="24"/>
          <w:lang w:eastAsia="zh-CN"/>
        </w:rPr>
        <w:softHyphen/>
      </w:r>
      <w:r w:rsidRPr="00A75A45">
        <w:rPr>
          <w:rFonts w:eastAsia="SimSun" w:cs="Times New Roman"/>
          <w:sz w:val="24"/>
          <w:szCs w:val="24"/>
          <w:lang w:eastAsia="zh-CN"/>
        </w:rPr>
        <w:t>man drinking and household needs, or for the production of food products, must meet the re</w:t>
      </w:r>
      <w:r w:rsidR="007303E8">
        <w:rPr>
          <w:rFonts w:eastAsia="SimSun" w:cs="Times New Roman"/>
          <w:sz w:val="24"/>
          <w:szCs w:val="24"/>
          <w:lang w:eastAsia="zh-CN"/>
        </w:rPr>
        <w:softHyphen/>
      </w:r>
      <w:r w:rsidRPr="00A75A45">
        <w:rPr>
          <w:rFonts w:eastAsia="SimSun" w:cs="Times New Roman"/>
          <w:sz w:val="24"/>
          <w:szCs w:val="24"/>
          <w:lang w:eastAsia="zh-CN"/>
        </w:rPr>
        <w:t>quirements that are   established by regula</w:t>
      </w:r>
      <w:r w:rsidR="007303E8">
        <w:rPr>
          <w:rFonts w:eastAsia="SimSun" w:cs="Times New Roman"/>
          <w:sz w:val="24"/>
          <w:szCs w:val="24"/>
          <w:lang w:eastAsia="zh-CN"/>
        </w:rPr>
        <w:softHyphen/>
      </w:r>
      <w:r w:rsidRPr="00A75A45">
        <w:rPr>
          <w:rFonts w:eastAsia="SimSun" w:cs="Times New Roman"/>
          <w:sz w:val="24"/>
          <w:szCs w:val="24"/>
          <w:lang w:eastAsia="zh-CN"/>
        </w:rPr>
        <w:t>tions. Unfortunately, it is becoming increas</w:t>
      </w:r>
      <w:r w:rsidR="007303E8">
        <w:rPr>
          <w:rFonts w:eastAsia="SimSun" w:cs="Times New Roman"/>
          <w:sz w:val="24"/>
          <w:szCs w:val="24"/>
          <w:lang w:eastAsia="zh-CN"/>
        </w:rPr>
        <w:softHyphen/>
      </w:r>
      <w:r w:rsidRPr="00A75A45">
        <w:rPr>
          <w:rFonts w:eastAsia="SimSun" w:cs="Times New Roman"/>
          <w:sz w:val="24"/>
          <w:szCs w:val="24"/>
          <w:lang w:eastAsia="zh-CN"/>
        </w:rPr>
        <w:t xml:space="preserve">ingly difficult to find clean natural water that is suitable for drinking. Natural reservoirs on the territory of Uzbekistan, which </w:t>
      </w:r>
      <w:r w:rsidR="007303E8" w:rsidRPr="00A75A45">
        <w:rPr>
          <w:rFonts w:eastAsia="SimSun" w:cs="Times New Roman"/>
          <w:sz w:val="24"/>
          <w:szCs w:val="24"/>
          <w:lang w:eastAsia="zh-CN"/>
        </w:rPr>
        <w:t>are used</w:t>
      </w:r>
      <w:r w:rsidRPr="00A75A45">
        <w:rPr>
          <w:rFonts w:eastAsia="SimSun" w:cs="Times New Roman"/>
          <w:sz w:val="24"/>
          <w:szCs w:val="24"/>
          <w:lang w:eastAsia="zh-CN"/>
        </w:rPr>
        <w:t xml:space="preserve"> as a source of water supply, are characterized by high turbidity of waters, high color, as well as high average annual temperatures. There are two main problems in the supply of drinking water to the population – its quantity and qual</w:t>
      </w:r>
      <w:r w:rsidR="007303E8">
        <w:rPr>
          <w:rFonts w:eastAsia="SimSun" w:cs="Times New Roman"/>
          <w:sz w:val="24"/>
          <w:szCs w:val="24"/>
          <w:lang w:eastAsia="zh-CN"/>
        </w:rPr>
        <w:softHyphen/>
      </w:r>
      <w:r w:rsidRPr="00A75A45">
        <w:rPr>
          <w:rFonts w:eastAsia="SimSun" w:cs="Times New Roman"/>
          <w:sz w:val="24"/>
          <w:szCs w:val="24"/>
          <w:lang w:eastAsia="zh-CN"/>
        </w:rPr>
        <w:t>ity. Drinking water requires not only knowledge about chemicals and impurities necessary for life, but also radical ways to pu</w:t>
      </w:r>
      <w:r w:rsidR="007303E8">
        <w:rPr>
          <w:rFonts w:eastAsia="SimSun" w:cs="Times New Roman"/>
          <w:sz w:val="24"/>
          <w:szCs w:val="24"/>
          <w:lang w:eastAsia="zh-CN"/>
        </w:rPr>
        <w:softHyphen/>
      </w:r>
      <w:r w:rsidRPr="00A75A45">
        <w:rPr>
          <w:rFonts w:eastAsia="SimSun" w:cs="Times New Roman"/>
          <w:sz w:val="24"/>
          <w:szCs w:val="24"/>
          <w:lang w:eastAsia="zh-CN"/>
        </w:rPr>
        <w:t>rify water, especially from harmful substances. At water treatment plants, surface waters un</w:t>
      </w:r>
      <w:r w:rsidR="007303E8">
        <w:rPr>
          <w:rFonts w:eastAsia="SimSun" w:cs="Times New Roman"/>
          <w:sz w:val="24"/>
          <w:szCs w:val="24"/>
          <w:lang w:eastAsia="zh-CN"/>
        </w:rPr>
        <w:softHyphen/>
      </w:r>
      <w:r w:rsidRPr="00A75A45">
        <w:rPr>
          <w:rFonts w:eastAsia="SimSun" w:cs="Times New Roman"/>
          <w:sz w:val="24"/>
          <w:szCs w:val="24"/>
          <w:lang w:eastAsia="zh-CN"/>
        </w:rPr>
        <w:t>dergo traditional water purification technol</w:t>
      </w:r>
      <w:r w:rsidR="007303E8">
        <w:rPr>
          <w:rFonts w:eastAsia="SimSun" w:cs="Times New Roman"/>
          <w:sz w:val="24"/>
          <w:szCs w:val="24"/>
          <w:lang w:eastAsia="zh-CN"/>
        </w:rPr>
        <w:softHyphen/>
      </w:r>
      <w:r w:rsidRPr="00A75A45">
        <w:rPr>
          <w:rFonts w:eastAsia="SimSun" w:cs="Times New Roman"/>
          <w:sz w:val="24"/>
          <w:szCs w:val="24"/>
          <w:lang w:eastAsia="zh-CN"/>
        </w:rPr>
        <w:t>ogy. It includes reagent treatment, settling, clarification, filtration. Organic substances in the waters dramatically worsen the organolep</w:t>
      </w:r>
      <w:r w:rsidR="007303E8">
        <w:rPr>
          <w:rFonts w:eastAsia="SimSun" w:cs="Times New Roman"/>
          <w:sz w:val="24"/>
          <w:szCs w:val="24"/>
          <w:lang w:eastAsia="zh-CN"/>
        </w:rPr>
        <w:softHyphen/>
      </w:r>
      <w:r w:rsidRPr="00A75A45">
        <w:rPr>
          <w:rFonts w:eastAsia="SimSun" w:cs="Times New Roman"/>
          <w:sz w:val="24"/>
          <w:szCs w:val="24"/>
          <w:lang w:eastAsia="zh-CN"/>
        </w:rPr>
        <w:t>tic characteristics of water, thereby causing various kinds of odors, increasing color, and having an adverse effect on the human body and animals. Kadyrinskaya water intake facil</w:t>
      </w:r>
      <w:r w:rsidR="007303E8">
        <w:rPr>
          <w:rFonts w:eastAsia="SimSun" w:cs="Times New Roman"/>
          <w:sz w:val="24"/>
          <w:szCs w:val="24"/>
          <w:lang w:eastAsia="zh-CN"/>
        </w:rPr>
        <w:softHyphen/>
      </w:r>
      <w:r w:rsidRPr="00A75A45">
        <w:rPr>
          <w:rFonts w:eastAsia="SimSun" w:cs="Times New Roman"/>
          <w:sz w:val="24"/>
          <w:szCs w:val="24"/>
          <w:lang w:eastAsia="zh-CN"/>
        </w:rPr>
        <w:t>ity is one of the important sources of drinking water in Tashkent. It provides 78% of the pop</w:t>
      </w:r>
      <w:r w:rsidR="007303E8">
        <w:rPr>
          <w:rFonts w:eastAsia="SimSun" w:cs="Times New Roman"/>
          <w:sz w:val="24"/>
          <w:szCs w:val="24"/>
          <w:lang w:eastAsia="zh-CN"/>
        </w:rPr>
        <w:softHyphen/>
      </w:r>
      <w:r w:rsidRPr="00A75A45">
        <w:rPr>
          <w:rFonts w:eastAsia="SimSun" w:cs="Times New Roman"/>
          <w:sz w:val="24"/>
          <w:szCs w:val="24"/>
          <w:lang w:eastAsia="zh-CN"/>
        </w:rPr>
        <w:t>ulation of the city of Tashkent with high-qual</w:t>
      </w:r>
      <w:r w:rsidR="007303E8">
        <w:rPr>
          <w:rFonts w:eastAsia="SimSun" w:cs="Times New Roman"/>
          <w:sz w:val="24"/>
          <w:szCs w:val="24"/>
          <w:lang w:eastAsia="zh-CN"/>
        </w:rPr>
        <w:softHyphen/>
      </w:r>
      <w:r w:rsidRPr="00A75A45">
        <w:rPr>
          <w:rFonts w:eastAsia="SimSun" w:cs="Times New Roman"/>
          <w:sz w:val="24"/>
          <w:szCs w:val="24"/>
          <w:lang w:eastAsia="zh-CN"/>
        </w:rPr>
        <w:t>ity drinking water, in addition, it plays an im</w:t>
      </w:r>
      <w:r w:rsidR="007303E8">
        <w:rPr>
          <w:rFonts w:eastAsia="SimSun" w:cs="Times New Roman"/>
          <w:sz w:val="24"/>
          <w:szCs w:val="24"/>
          <w:lang w:eastAsia="zh-CN"/>
        </w:rPr>
        <w:softHyphen/>
      </w:r>
      <w:r w:rsidRPr="00A75A45">
        <w:rPr>
          <w:rFonts w:eastAsia="SimSun" w:cs="Times New Roman"/>
          <w:sz w:val="24"/>
          <w:szCs w:val="24"/>
          <w:lang w:eastAsia="zh-CN"/>
        </w:rPr>
        <w:t>portant role as climate-forming components of the landscape, and has a great aesthetic pur</w:t>
      </w:r>
      <w:r w:rsidR="007303E8">
        <w:rPr>
          <w:rFonts w:eastAsia="SimSun" w:cs="Times New Roman"/>
          <w:sz w:val="24"/>
          <w:szCs w:val="24"/>
          <w:lang w:eastAsia="zh-CN"/>
        </w:rPr>
        <w:softHyphen/>
      </w:r>
      <w:r w:rsidRPr="00A75A45">
        <w:rPr>
          <w:rFonts w:eastAsia="SimSun" w:cs="Times New Roman"/>
          <w:sz w:val="24"/>
          <w:szCs w:val="24"/>
          <w:lang w:eastAsia="zh-CN"/>
        </w:rPr>
        <w:t>pose. In this regard, monitoring the state of an eco-friendly reservoir system is an urgent task.  In this article, a scheme for water treatment of water for the drinking needs of the population will be considered.</w:t>
      </w:r>
    </w:p>
    <w:p w14:paraId="61371F1F" w14:textId="0B855B6B" w:rsidR="00A75A45" w:rsidRPr="00A75A45" w:rsidRDefault="00A75A45" w:rsidP="00752EAA">
      <w:pPr>
        <w:spacing w:line="269" w:lineRule="auto"/>
        <w:ind w:firstLine="567"/>
        <w:jc w:val="both"/>
        <w:rPr>
          <w:rFonts w:eastAsia="SimSun" w:cs="Times New Roman"/>
          <w:b/>
          <w:bCs/>
          <w:iCs/>
          <w:sz w:val="24"/>
          <w:szCs w:val="24"/>
          <w:lang w:eastAsia="zh-CN"/>
        </w:rPr>
      </w:pPr>
      <w:r w:rsidRPr="00A75A45">
        <w:rPr>
          <w:rFonts w:eastAsia="SimSun" w:cs="Times New Roman"/>
          <w:b/>
          <w:bCs/>
          <w:iCs/>
          <w:sz w:val="24"/>
          <w:szCs w:val="24"/>
          <w:lang w:eastAsia="zh-CN"/>
        </w:rPr>
        <w:t>The purpose of the study:</w:t>
      </w:r>
    </w:p>
    <w:p w14:paraId="1AB1C4CD" w14:textId="7777777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To study the problems of drinking water supply of the population of large cities</w:t>
      </w:r>
    </w:p>
    <w:p w14:paraId="30D7AC76" w14:textId="7777777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Evaluation of the effectiveness of the Kadyrinsky head water supply facility </w:t>
      </w:r>
    </w:p>
    <w:p w14:paraId="5D00095A" w14:textId="77777777" w:rsidR="00A75A45" w:rsidRPr="00A75A45" w:rsidRDefault="00A75A45" w:rsidP="00752EAA">
      <w:pPr>
        <w:spacing w:line="269" w:lineRule="auto"/>
        <w:ind w:firstLine="567"/>
        <w:jc w:val="both"/>
        <w:rPr>
          <w:rFonts w:eastAsia="SimSun" w:cs="Times New Roman"/>
          <w:b/>
          <w:bCs/>
          <w:iCs/>
          <w:sz w:val="24"/>
          <w:szCs w:val="24"/>
          <w:lang w:eastAsia="zh-CN"/>
        </w:rPr>
      </w:pPr>
      <w:r w:rsidRPr="00A75A45">
        <w:rPr>
          <w:rFonts w:eastAsia="SimSun" w:cs="Times New Roman"/>
          <w:b/>
          <w:bCs/>
          <w:iCs/>
          <w:sz w:val="24"/>
          <w:szCs w:val="24"/>
          <w:lang w:eastAsia="zh-CN"/>
        </w:rPr>
        <w:t xml:space="preserve">Tasks research: </w:t>
      </w:r>
    </w:p>
    <w:p w14:paraId="65739D68" w14:textId="096F16DC"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1)</w:t>
      </w:r>
      <w:r w:rsidR="007303E8" w:rsidRPr="007303E8">
        <w:rPr>
          <w:rFonts w:eastAsia="SimSun" w:cs="Times New Roman"/>
          <w:sz w:val="24"/>
          <w:szCs w:val="24"/>
          <w:lang w:eastAsia="zh-CN"/>
        </w:rPr>
        <w:t xml:space="preserve"> </w:t>
      </w:r>
      <w:r w:rsidR="007303E8" w:rsidRPr="00A75A45">
        <w:rPr>
          <w:rFonts w:eastAsia="SimSun" w:cs="Times New Roman"/>
          <w:sz w:val="24"/>
          <w:szCs w:val="24"/>
          <w:lang w:eastAsia="zh-CN"/>
        </w:rPr>
        <w:t xml:space="preserve">hygienic </w:t>
      </w:r>
      <w:r w:rsidRPr="00A75A45">
        <w:rPr>
          <w:rFonts w:eastAsia="SimSun" w:cs="Times New Roman"/>
          <w:sz w:val="24"/>
          <w:szCs w:val="24"/>
          <w:lang w:eastAsia="zh-CN"/>
        </w:rPr>
        <w:t>assessment of water sources of centralized water supply;</w:t>
      </w:r>
    </w:p>
    <w:p w14:paraId="1F6A8536" w14:textId="417BB8D5"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2) study of water purification technol</w:t>
      </w:r>
      <w:r w:rsidR="007303E8">
        <w:rPr>
          <w:rFonts w:eastAsia="SimSun" w:cs="Times New Roman"/>
          <w:sz w:val="24"/>
          <w:szCs w:val="24"/>
          <w:lang w:eastAsia="zh-CN"/>
        </w:rPr>
        <w:softHyphen/>
      </w:r>
      <w:r w:rsidRPr="00A75A45">
        <w:rPr>
          <w:rFonts w:eastAsia="SimSun" w:cs="Times New Roman"/>
          <w:sz w:val="24"/>
          <w:szCs w:val="24"/>
          <w:lang w:eastAsia="zh-CN"/>
        </w:rPr>
        <w:t>ogy;</w:t>
      </w:r>
    </w:p>
    <w:p w14:paraId="548527B5" w14:textId="7777777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3) assessment of water-related diseases in the population of Yunusabad district in 2020-2021; </w:t>
      </w:r>
    </w:p>
    <w:p w14:paraId="13512259" w14:textId="58B8EAD6"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4)</w:t>
      </w:r>
      <w:r w:rsidR="007303E8" w:rsidRPr="007303E8">
        <w:rPr>
          <w:rFonts w:eastAsia="SimSun" w:cs="Times New Roman"/>
          <w:sz w:val="24"/>
          <w:szCs w:val="24"/>
          <w:lang w:eastAsia="zh-CN"/>
        </w:rPr>
        <w:t xml:space="preserve"> </w:t>
      </w:r>
      <w:r w:rsidRPr="00A75A45">
        <w:rPr>
          <w:rFonts w:eastAsia="SimSun" w:cs="Times New Roman"/>
          <w:sz w:val="24"/>
          <w:szCs w:val="24"/>
          <w:lang w:eastAsia="zh-CN"/>
        </w:rPr>
        <w:t>develop recommendations for opti</w:t>
      </w:r>
      <w:r w:rsidR="007303E8">
        <w:rPr>
          <w:rFonts w:eastAsia="SimSun" w:cs="Times New Roman"/>
          <w:sz w:val="24"/>
          <w:szCs w:val="24"/>
          <w:lang w:eastAsia="zh-CN"/>
        </w:rPr>
        <w:softHyphen/>
      </w:r>
      <w:r w:rsidRPr="00A75A45">
        <w:rPr>
          <w:rFonts w:eastAsia="SimSun" w:cs="Times New Roman"/>
          <w:sz w:val="24"/>
          <w:szCs w:val="24"/>
          <w:lang w:eastAsia="zh-CN"/>
        </w:rPr>
        <w:t>mizing the provision of high-quality drinking water to the population</w:t>
      </w:r>
    </w:p>
    <w:p w14:paraId="2A9F70C6" w14:textId="6012378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b/>
          <w:bCs/>
          <w:iCs/>
          <w:sz w:val="24"/>
          <w:szCs w:val="24"/>
          <w:lang w:eastAsia="zh-CN"/>
        </w:rPr>
        <w:t xml:space="preserve"> Materials and methods</w:t>
      </w:r>
      <w:r w:rsidRPr="00A75A45">
        <w:rPr>
          <w:rFonts w:eastAsia="SimSun" w:cs="Times New Roman"/>
          <w:sz w:val="24"/>
          <w:szCs w:val="24"/>
          <w:lang w:eastAsia="zh-CN"/>
        </w:rPr>
        <w:t>: The material for the article was scientific articles, publica</w:t>
      </w:r>
      <w:r w:rsidR="007303E8">
        <w:rPr>
          <w:rFonts w:eastAsia="SimSun" w:cs="Times New Roman"/>
          <w:sz w:val="24"/>
          <w:szCs w:val="24"/>
          <w:lang w:eastAsia="zh-CN"/>
        </w:rPr>
        <w:softHyphen/>
      </w:r>
      <w:r w:rsidRPr="00A75A45">
        <w:rPr>
          <w:rFonts w:eastAsia="SimSun" w:cs="Times New Roman"/>
          <w:sz w:val="24"/>
          <w:szCs w:val="24"/>
          <w:lang w:eastAsia="zh-CN"/>
        </w:rPr>
        <w:t>tions published in scientific journals, educa</w:t>
      </w:r>
      <w:r w:rsidR="007303E8">
        <w:rPr>
          <w:rFonts w:eastAsia="SimSun" w:cs="Times New Roman"/>
          <w:sz w:val="24"/>
          <w:szCs w:val="24"/>
          <w:lang w:eastAsia="zh-CN"/>
        </w:rPr>
        <w:softHyphen/>
      </w:r>
      <w:r w:rsidRPr="00A75A45">
        <w:rPr>
          <w:rFonts w:eastAsia="SimSun" w:cs="Times New Roman"/>
          <w:sz w:val="24"/>
          <w:szCs w:val="24"/>
          <w:lang w:eastAsia="zh-CN"/>
        </w:rPr>
        <w:lastRenderedPageBreak/>
        <w:t>tional literature, electronic resources. The arti</w:t>
      </w:r>
      <w:r w:rsidR="007303E8">
        <w:rPr>
          <w:rFonts w:eastAsia="SimSun" w:cs="Times New Roman"/>
          <w:sz w:val="24"/>
          <w:szCs w:val="24"/>
          <w:lang w:eastAsia="zh-CN"/>
        </w:rPr>
        <w:softHyphen/>
      </w:r>
      <w:r w:rsidRPr="00A75A45">
        <w:rPr>
          <w:rFonts w:eastAsia="SimSun" w:cs="Times New Roman"/>
          <w:sz w:val="24"/>
          <w:szCs w:val="24"/>
          <w:lang w:eastAsia="zh-CN"/>
        </w:rPr>
        <w:t xml:space="preserve">cle uses sanitary-hygienic, epidemiological, statistical research methods. </w:t>
      </w:r>
    </w:p>
    <w:p w14:paraId="41B6177F" w14:textId="7777777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The assessment of the quality of large water bodies of the Republic of Uzbekistan showed that the concentration of difficult-to-oxidize organic pollutants, estimated by COD (chemical oxygen demand), increases to the South of the country.</w:t>
      </w:r>
    </w:p>
    <w:p w14:paraId="01B04C7D" w14:textId="5E464103"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According to the requirements of GOST (state standart) 950:2011 "Drinking water", it is necessary to provide the population with good-quality drinking water. One of the ways to reduce pollutants in the water, in particular organic, is the use of effective methods of wa</w:t>
      </w:r>
      <w:r w:rsidR="007303E8">
        <w:rPr>
          <w:rFonts w:eastAsia="SimSun" w:cs="Times New Roman"/>
          <w:sz w:val="24"/>
          <w:szCs w:val="24"/>
          <w:lang w:eastAsia="zh-CN"/>
        </w:rPr>
        <w:softHyphen/>
      </w:r>
      <w:r w:rsidRPr="00A75A45">
        <w:rPr>
          <w:rFonts w:eastAsia="SimSun" w:cs="Times New Roman"/>
          <w:sz w:val="24"/>
          <w:szCs w:val="24"/>
          <w:lang w:eastAsia="zh-CN"/>
        </w:rPr>
        <w:t>ter treatment.</w:t>
      </w:r>
    </w:p>
    <w:p w14:paraId="637319B8" w14:textId="77777777"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The Kadyrinsky water supply facility was put into operation on August 19, 1969. This facility carries out an open water intake from the BozSu canal, through a discharge channel, providing 78% of the total demand of the city for drinking water. The initial capacity is 225 thousand m3 per day.</w:t>
      </w:r>
    </w:p>
    <w:p w14:paraId="51AE9E88" w14:textId="0BF632F4"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To date, the capacity is 1,250,000 m3 / day The composition of the structures: settling tanks; reagent facilities; pumping stations; fil</w:t>
      </w:r>
      <w:r w:rsidR="007303E8">
        <w:rPr>
          <w:rFonts w:eastAsia="SimSun" w:cs="Times New Roman"/>
          <w:sz w:val="24"/>
          <w:szCs w:val="24"/>
          <w:lang w:eastAsia="zh-CN"/>
        </w:rPr>
        <w:softHyphen/>
      </w:r>
      <w:r w:rsidRPr="00A75A45">
        <w:rPr>
          <w:rFonts w:eastAsia="SimSun" w:cs="Times New Roman"/>
          <w:sz w:val="24"/>
          <w:szCs w:val="24"/>
          <w:lang w:eastAsia="zh-CN"/>
        </w:rPr>
        <w:t xml:space="preserve">tration station; chlorination station; clean water tank. The station has two settling tanks: I - the main settling tank with a capacity of 1 million m3 / day (length - 1500m; width -250 </w:t>
      </w:r>
      <w:r w:rsidR="007303E8" w:rsidRPr="00A75A45">
        <w:rPr>
          <w:rFonts w:eastAsia="SimSun" w:cs="Times New Roman"/>
          <w:sz w:val="24"/>
          <w:szCs w:val="24"/>
          <w:lang w:eastAsia="zh-CN"/>
        </w:rPr>
        <w:t>m;</w:t>
      </w:r>
      <w:r w:rsidRPr="00A75A45">
        <w:rPr>
          <w:rFonts w:eastAsia="SimSun" w:cs="Times New Roman"/>
          <w:sz w:val="24"/>
          <w:szCs w:val="24"/>
          <w:lang w:eastAsia="zh-CN"/>
        </w:rPr>
        <w:t xml:space="preserve"> depth - 8 m) and II - a backup settling tank with a capacity of 500,000 m3/ day (length-600m, width-5 m, depth-3m). The sump is being cleaned – by a dredger. A coagulant is used to lighten the water at the station. There is a rea</w:t>
      </w:r>
      <w:r w:rsidR="007303E8">
        <w:rPr>
          <w:rFonts w:eastAsia="SimSun" w:cs="Times New Roman"/>
          <w:sz w:val="24"/>
          <w:szCs w:val="24"/>
          <w:lang w:eastAsia="zh-CN"/>
        </w:rPr>
        <w:softHyphen/>
      </w:r>
      <w:r w:rsidRPr="00A75A45">
        <w:rPr>
          <w:rFonts w:eastAsia="SimSun" w:cs="Times New Roman"/>
          <w:sz w:val="24"/>
          <w:szCs w:val="24"/>
          <w:lang w:eastAsia="zh-CN"/>
        </w:rPr>
        <w:t>gent farm for the preparation of the solution. The structure of the cathode includes: a hopper for receiving, storing and dosing coagulant. There are four receiving bunkers and three wet storage tanks for coagulant. Metered coagu</w:t>
      </w:r>
      <w:r w:rsidR="007303E8">
        <w:rPr>
          <w:rFonts w:eastAsia="SimSun" w:cs="Times New Roman"/>
          <w:sz w:val="24"/>
          <w:szCs w:val="24"/>
          <w:lang w:eastAsia="zh-CN"/>
        </w:rPr>
        <w:softHyphen/>
      </w:r>
      <w:r w:rsidRPr="00A75A45">
        <w:rPr>
          <w:rFonts w:eastAsia="SimSun" w:cs="Times New Roman"/>
          <w:sz w:val="24"/>
          <w:szCs w:val="24"/>
          <w:lang w:eastAsia="zh-CN"/>
        </w:rPr>
        <w:t>lants are transferred to the displacement cham</w:t>
      </w:r>
      <w:r w:rsidR="007303E8">
        <w:rPr>
          <w:rFonts w:eastAsia="SimSun" w:cs="Times New Roman"/>
          <w:sz w:val="24"/>
          <w:szCs w:val="24"/>
          <w:lang w:eastAsia="zh-CN"/>
        </w:rPr>
        <w:softHyphen/>
      </w:r>
      <w:r w:rsidRPr="00A75A45">
        <w:rPr>
          <w:rFonts w:eastAsia="SimSun" w:cs="Times New Roman"/>
          <w:sz w:val="24"/>
          <w:szCs w:val="24"/>
          <w:lang w:eastAsia="zh-CN"/>
        </w:rPr>
        <w:t>ber. Filters of different capacities are used for water discoloration. There are 48 filters in total at the station. It is a rectangular reinforced con</w:t>
      </w:r>
      <w:r w:rsidR="007303E8">
        <w:rPr>
          <w:rFonts w:eastAsia="SimSun" w:cs="Times New Roman"/>
          <w:sz w:val="24"/>
          <w:szCs w:val="24"/>
          <w:lang w:eastAsia="zh-CN"/>
        </w:rPr>
        <w:softHyphen/>
      </w:r>
      <w:r w:rsidRPr="00A75A45">
        <w:rPr>
          <w:rFonts w:eastAsia="SimSun" w:cs="Times New Roman"/>
          <w:sz w:val="24"/>
          <w:szCs w:val="24"/>
          <w:lang w:eastAsia="zh-CN"/>
        </w:rPr>
        <w:t>crete tank in which the filter loading is located. The filtration rate is 8 -10 m/hour. The total fil</w:t>
      </w:r>
      <w:r w:rsidR="007303E8">
        <w:rPr>
          <w:rFonts w:eastAsia="SimSun" w:cs="Times New Roman"/>
          <w:sz w:val="24"/>
          <w:szCs w:val="24"/>
          <w:lang w:eastAsia="zh-CN"/>
        </w:rPr>
        <w:softHyphen/>
      </w:r>
      <w:r w:rsidRPr="00A75A45">
        <w:rPr>
          <w:rFonts w:eastAsia="SimSun" w:cs="Times New Roman"/>
          <w:sz w:val="24"/>
          <w:szCs w:val="24"/>
          <w:lang w:eastAsia="zh-CN"/>
        </w:rPr>
        <w:t>tration area is 6700 m2. The station has ten clean water tanks with a capacity of 50 – 100,000 m3/day of water. This device is cleaned once a year. Water comes into contact with chlorine on the tank.</w:t>
      </w:r>
    </w:p>
    <w:p w14:paraId="557F4A7A" w14:textId="59494D4C"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b/>
          <w:sz w:val="24"/>
          <w:szCs w:val="24"/>
          <w:lang w:eastAsia="zh-CN"/>
        </w:rPr>
        <w:t xml:space="preserve"> The results of our research</w:t>
      </w:r>
      <w:r w:rsidRPr="00A75A45">
        <w:rPr>
          <w:rFonts w:eastAsia="SimSun" w:cs="Times New Roman"/>
          <w:sz w:val="24"/>
          <w:szCs w:val="24"/>
          <w:lang w:eastAsia="zh-CN"/>
        </w:rPr>
        <w:t xml:space="preserve"> have shown that the quality and condition of water from water supply sources according to the main indicators meet the requirements of GOST (state standart )950:2011. It is noted that the content of mineral substances in the water in almost all water areas of the Yunusa</w:t>
      </w:r>
      <w:r w:rsidR="007303E8">
        <w:rPr>
          <w:rFonts w:eastAsia="SimSun" w:cs="Times New Roman"/>
          <w:sz w:val="24"/>
          <w:szCs w:val="24"/>
          <w:lang w:eastAsia="zh-CN"/>
        </w:rPr>
        <w:softHyphen/>
      </w:r>
      <w:r w:rsidRPr="00A75A45">
        <w:rPr>
          <w:rFonts w:eastAsia="SimSun" w:cs="Times New Roman"/>
          <w:sz w:val="24"/>
          <w:szCs w:val="24"/>
          <w:lang w:eastAsia="zh-CN"/>
        </w:rPr>
        <w:t>bad district water supply source in Tashkent is normal.  In Tashkent, the sources of water sup</w:t>
      </w:r>
      <w:r w:rsidR="007303E8">
        <w:rPr>
          <w:rFonts w:eastAsia="SimSun" w:cs="Times New Roman"/>
          <w:sz w:val="24"/>
          <w:szCs w:val="24"/>
          <w:lang w:eastAsia="zh-CN"/>
        </w:rPr>
        <w:softHyphen/>
      </w:r>
      <w:r w:rsidRPr="00A75A45">
        <w:rPr>
          <w:rFonts w:eastAsia="SimSun" w:cs="Times New Roman"/>
          <w:sz w:val="24"/>
          <w:szCs w:val="24"/>
          <w:lang w:eastAsia="zh-CN"/>
        </w:rPr>
        <w:t>ply for biogenic elements are not proportional, as evidenced by the normalization of water content of calcium (40-50 mg/l), fluorine (0.5-1.2mg/l) and iodine (50-70mg/l).</w:t>
      </w:r>
    </w:p>
    <w:p w14:paraId="0F591685" w14:textId="4E927435"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When analyzing the number and struc</w:t>
      </w:r>
      <w:r w:rsidR="007303E8">
        <w:rPr>
          <w:rFonts w:eastAsia="SimSun" w:cs="Times New Roman"/>
          <w:sz w:val="24"/>
          <w:szCs w:val="24"/>
          <w:lang w:eastAsia="zh-CN"/>
        </w:rPr>
        <w:softHyphen/>
      </w:r>
      <w:r w:rsidRPr="00A75A45">
        <w:rPr>
          <w:rFonts w:eastAsia="SimSun" w:cs="Times New Roman"/>
          <w:sz w:val="24"/>
          <w:szCs w:val="24"/>
          <w:lang w:eastAsia="zh-CN"/>
        </w:rPr>
        <w:t>ture of morbidity among the population of the Yunusabad district of Tashkent, the following results were obtained: in general, respiratory diseases are in the first place with morbidity (50.2%), gastrointestinal diseases are in second place (6.8%), and urinary tract diseases are in third place in a stable state (5.3%). In addition, the main types of diseases in the population are diseases of the musculoskeletal system, con</w:t>
      </w:r>
      <w:r w:rsidR="007303E8">
        <w:rPr>
          <w:rFonts w:eastAsia="SimSun" w:cs="Times New Roman"/>
          <w:sz w:val="24"/>
          <w:szCs w:val="24"/>
          <w:lang w:eastAsia="zh-CN"/>
        </w:rPr>
        <w:softHyphen/>
      </w:r>
      <w:r w:rsidRPr="00A75A45">
        <w:rPr>
          <w:rFonts w:eastAsia="SimSun" w:cs="Times New Roman"/>
          <w:sz w:val="24"/>
          <w:szCs w:val="24"/>
          <w:lang w:eastAsia="zh-CN"/>
        </w:rPr>
        <w:t>nective tissue diseases, diseases of the endo</w:t>
      </w:r>
      <w:r w:rsidR="007303E8">
        <w:rPr>
          <w:rFonts w:eastAsia="SimSun" w:cs="Times New Roman"/>
          <w:sz w:val="24"/>
          <w:szCs w:val="24"/>
          <w:lang w:eastAsia="zh-CN"/>
        </w:rPr>
        <w:softHyphen/>
      </w:r>
      <w:r w:rsidRPr="00A75A45">
        <w:rPr>
          <w:rFonts w:eastAsia="SimSun" w:cs="Times New Roman"/>
          <w:sz w:val="24"/>
          <w:szCs w:val="24"/>
          <w:lang w:eastAsia="zh-CN"/>
        </w:rPr>
        <w:t>crine system, nutritional disorders, infectious and parasitic diseases, dental caries.</w:t>
      </w:r>
    </w:p>
    <w:p w14:paraId="67C1AAE1" w14:textId="56658D7E"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Our research has shown that among the population of the Yunusabad district of Tash</w:t>
      </w:r>
      <w:r w:rsidR="007303E8">
        <w:rPr>
          <w:rFonts w:eastAsia="SimSun" w:cs="Times New Roman"/>
          <w:sz w:val="24"/>
          <w:szCs w:val="24"/>
          <w:lang w:eastAsia="zh-CN"/>
        </w:rPr>
        <w:softHyphen/>
      </w:r>
      <w:r w:rsidRPr="00A75A45">
        <w:rPr>
          <w:rFonts w:eastAsia="SimSun" w:cs="Times New Roman"/>
          <w:sz w:val="24"/>
          <w:szCs w:val="24"/>
          <w:lang w:eastAsia="zh-CN"/>
        </w:rPr>
        <w:t>kent, the first place among the diseases associ</w:t>
      </w:r>
      <w:r w:rsidR="007303E8">
        <w:rPr>
          <w:rFonts w:eastAsia="SimSun" w:cs="Times New Roman"/>
          <w:sz w:val="24"/>
          <w:szCs w:val="24"/>
          <w:lang w:eastAsia="zh-CN"/>
        </w:rPr>
        <w:softHyphen/>
      </w:r>
      <w:r w:rsidRPr="00A75A45">
        <w:rPr>
          <w:rFonts w:eastAsia="SimSun" w:cs="Times New Roman"/>
          <w:sz w:val="24"/>
          <w:szCs w:val="24"/>
          <w:lang w:eastAsia="zh-CN"/>
        </w:rPr>
        <w:t>ated with drinking water consumption is occu</w:t>
      </w:r>
      <w:r w:rsidR="007303E8">
        <w:rPr>
          <w:rFonts w:eastAsia="SimSun" w:cs="Times New Roman"/>
          <w:sz w:val="24"/>
          <w:szCs w:val="24"/>
          <w:lang w:eastAsia="zh-CN"/>
        </w:rPr>
        <w:softHyphen/>
      </w:r>
      <w:r w:rsidRPr="00A75A45">
        <w:rPr>
          <w:rFonts w:eastAsia="SimSun" w:cs="Times New Roman"/>
          <w:sz w:val="24"/>
          <w:szCs w:val="24"/>
          <w:lang w:eastAsia="zh-CN"/>
        </w:rPr>
        <w:t>pied by non-communicable diseases - dental caries, the second place - diseases of the gas</w:t>
      </w:r>
      <w:r w:rsidR="007303E8">
        <w:rPr>
          <w:rFonts w:eastAsia="SimSun" w:cs="Times New Roman"/>
          <w:sz w:val="24"/>
          <w:szCs w:val="24"/>
          <w:lang w:eastAsia="zh-CN"/>
        </w:rPr>
        <w:softHyphen/>
      </w:r>
      <w:r w:rsidRPr="00A75A45">
        <w:rPr>
          <w:rFonts w:eastAsia="SimSun" w:cs="Times New Roman"/>
          <w:sz w:val="24"/>
          <w:szCs w:val="24"/>
          <w:lang w:eastAsia="zh-CN"/>
        </w:rPr>
        <w:t>trointestinal tract, the third place - cardiovas</w:t>
      </w:r>
      <w:r w:rsidR="007303E8">
        <w:rPr>
          <w:rFonts w:eastAsia="SimSun" w:cs="Times New Roman"/>
          <w:sz w:val="24"/>
          <w:szCs w:val="24"/>
          <w:lang w:eastAsia="zh-CN"/>
        </w:rPr>
        <w:softHyphen/>
      </w:r>
      <w:r w:rsidRPr="00A75A45">
        <w:rPr>
          <w:rFonts w:eastAsia="SimSun" w:cs="Times New Roman"/>
          <w:sz w:val="24"/>
          <w:szCs w:val="24"/>
          <w:lang w:eastAsia="zh-CN"/>
        </w:rPr>
        <w:t xml:space="preserve">cular diseases, the </w:t>
      </w:r>
      <w:r w:rsidR="007303E8" w:rsidRPr="00A75A45">
        <w:rPr>
          <w:rFonts w:eastAsia="SimSun" w:cs="Times New Roman"/>
          <w:sz w:val="24"/>
          <w:szCs w:val="24"/>
          <w:lang w:eastAsia="zh-CN"/>
        </w:rPr>
        <w:t>fourth-place</w:t>
      </w:r>
      <w:r w:rsidRPr="00A75A45">
        <w:rPr>
          <w:rFonts w:eastAsia="SimSun" w:cs="Times New Roman"/>
          <w:sz w:val="24"/>
          <w:szCs w:val="24"/>
          <w:lang w:eastAsia="zh-CN"/>
        </w:rPr>
        <w:t xml:space="preserve"> diseases asso</w:t>
      </w:r>
      <w:r w:rsidR="007303E8">
        <w:rPr>
          <w:rFonts w:eastAsia="SimSun" w:cs="Times New Roman"/>
          <w:sz w:val="24"/>
          <w:szCs w:val="24"/>
          <w:lang w:eastAsia="zh-CN"/>
        </w:rPr>
        <w:softHyphen/>
      </w:r>
      <w:r w:rsidRPr="00A75A45">
        <w:rPr>
          <w:rFonts w:eastAsia="SimSun" w:cs="Times New Roman"/>
          <w:sz w:val="24"/>
          <w:szCs w:val="24"/>
          <w:lang w:eastAsia="zh-CN"/>
        </w:rPr>
        <w:t>ciated with the urinary system, and the fifth place - patients with malignant tumors.</w:t>
      </w:r>
    </w:p>
    <w:p w14:paraId="0BC56D48" w14:textId="1A88358D"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When comparing the specifics of mor</w:t>
      </w:r>
      <w:r w:rsidR="007303E8">
        <w:rPr>
          <w:rFonts w:eastAsia="SimSun" w:cs="Times New Roman"/>
          <w:sz w:val="24"/>
          <w:szCs w:val="24"/>
          <w:lang w:eastAsia="zh-CN"/>
        </w:rPr>
        <w:softHyphen/>
      </w:r>
      <w:r w:rsidRPr="00A75A45">
        <w:rPr>
          <w:rFonts w:eastAsia="SimSun" w:cs="Times New Roman"/>
          <w:sz w:val="24"/>
          <w:szCs w:val="24"/>
          <w:lang w:eastAsia="zh-CN"/>
        </w:rPr>
        <w:t>bidity of the population of the Yunusabad dis</w:t>
      </w:r>
      <w:r w:rsidR="007303E8">
        <w:rPr>
          <w:rFonts w:eastAsia="SimSun" w:cs="Times New Roman"/>
          <w:sz w:val="24"/>
          <w:szCs w:val="24"/>
          <w:lang w:eastAsia="zh-CN"/>
        </w:rPr>
        <w:softHyphen/>
      </w:r>
      <w:r w:rsidRPr="00A75A45">
        <w:rPr>
          <w:rFonts w:eastAsia="SimSun" w:cs="Times New Roman"/>
          <w:sz w:val="24"/>
          <w:szCs w:val="24"/>
          <w:lang w:eastAsia="zh-CN"/>
        </w:rPr>
        <w:t>trict of Tashkent, it is necessary to take into ac</w:t>
      </w:r>
      <w:r w:rsidR="007303E8">
        <w:rPr>
          <w:rFonts w:eastAsia="SimSun" w:cs="Times New Roman"/>
          <w:sz w:val="24"/>
          <w:szCs w:val="24"/>
          <w:lang w:eastAsia="zh-CN"/>
        </w:rPr>
        <w:softHyphen/>
      </w:r>
      <w:r w:rsidRPr="00A75A45">
        <w:rPr>
          <w:rFonts w:eastAsia="SimSun" w:cs="Times New Roman"/>
          <w:sz w:val="24"/>
          <w:szCs w:val="24"/>
          <w:lang w:eastAsia="zh-CN"/>
        </w:rPr>
        <w:t xml:space="preserve">count the influence of environmental factors in </w:t>
      </w:r>
      <w:r w:rsidRPr="00A75A45">
        <w:rPr>
          <w:rFonts w:eastAsia="SimSun" w:cs="Times New Roman"/>
          <w:sz w:val="24"/>
          <w:szCs w:val="24"/>
          <w:lang w:eastAsia="zh-CN"/>
        </w:rPr>
        <w:lastRenderedPageBreak/>
        <w:t>the region, including the quality of drinking water on morbidity rates.</w:t>
      </w:r>
    </w:p>
    <w:p w14:paraId="2FFE1A14" w14:textId="56BD764F"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Among the population, there is a statisti</w:t>
      </w:r>
      <w:r w:rsidR="007303E8">
        <w:rPr>
          <w:rFonts w:eastAsia="SimSun" w:cs="Times New Roman"/>
          <w:sz w:val="24"/>
          <w:szCs w:val="24"/>
          <w:lang w:eastAsia="zh-CN"/>
        </w:rPr>
        <w:softHyphen/>
      </w:r>
      <w:r w:rsidRPr="00A75A45">
        <w:rPr>
          <w:rFonts w:eastAsia="SimSun" w:cs="Times New Roman"/>
          <w:sz w:val="24"/>
          <w:szCs w:val="24"/>
          <w:lang w:eastAsia="zh-CN"/>
        </w:rPr>
        <w:t>cal decrease in the incidence of primary aller</w:t>
      </w:r>
      <w:r w:rsidR="007303E8">
        <w:rPr>
          <w:rFonts w:eastAsia="SimSun" w:cs="Times New Roman"/>
          <w:sz w:val="24"/>
          <w:szCs w:val="24"/>
          <w:lang w:eastAsia="zh-CN"/>
        </w:rPr>
        <w:softHyphen/>
      </w:r>
      <w:r w:rsidRPr="00A75A45">
        <w:rPr>
          <w:rFonts w:eastAsia="SimSun" w:cs="Times New Roman"/>
          <w:sz w:val="24"/>
          <w:szCs w:val="24"/>
          <w:lang w:eastAsia="zh-CN"/>
        </w:rPr>
        <w:t>gic diseases (R&lt;0.05), as well as a significant decrease in the exacerbation of allergic dis</w:t>
      </w:r>
      <w:r w:rsidR="007303E8">
        <w:rPr>
          <w:rFonts w:eastAsia="SimSun" w:cs="Times New Roman"/>
          <w:sz w:val="24"/>
          <w:szCs w:val="24"/>
          <w:lang w:eastAsia="zh-CN"/>
        </w:rPr>
        <w:softHyphen/>
      </w:r>
      <w:r w:rsidRPr="00A75A45">
        <w:rPr>
          <w:rFonts w:eastAsia="SimSun" w:cs="Times New Roman"/>
          <w:sz w:val="24"/>
          <w:szCs w:val="24"/>
          <w:lang w:eastAsia="zh-CN"/>
        </w:rPr>
        <w:t>eases (R&lt;0.05) as a result of the consumption of drinking water supplied to the population centrally at the open Kadyrinsky head water supply facility</w:t>
      </w:r>
    </w:p>
    <w:p w14:paraId="423B5093" w14:textId="5221193D"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Observations over two years showed that the incidence of atopic dermatitis in the population decreased (R &lt; 0.01) in children with different water regimes as a result of con</w:t>
      </w:r>
      <w:r w:rsidR="007303E8">
        <w:rPr>
          <w:rFonts w:eastAsia="SimSun" w:cs="Times New Roman"/>
          <w:sz w:val="24"/>
          <w:szCs w:val="24"/>
          <w:lang w:eastAsia="zh-CN"/>
        </w:rPr>
        <w:softHyphen/>
      </w:r>
      <w:r w:rsidRPr="00A75A45">
        <w:rPr>
          <w:rFonts w:eastAsia="SimSun" w:cs="Times New Roman"/>
          <w:sz w:val="24"/>
          <w:szCs w:val="24"/>
          <w:lang w:eastAsia="zh-CN"/>
        </w:rPr>
        <w:t>sumption of centralized drinking water puri</w:t>
      </w:r>
      <w:r w:rsidR="007303E8">
        <w:rPr>
          <w:rFonts w:eastAsia="SimSun" w:cs="Times New Roman"/>
          <w:sz w:val="24"/>
          <w:szCs w:val="24"/>
          <w:lang w:eastAsia="zh-CN"/>
        </w:rPr>
        <w:softHyphen/>
      </w:r>
      <w:r w:rsidRPr="00A75A45">
        <w:rPr>
          <w:rFonts w:eastAsia="SimSun" w:cs="Times New Roman"/>
          <w:sz w:val="24"/>
          <w:szCs w:val="24"/>
          <w:lang w:eastAsia="zh-CN"/>
        </w:rPr>
        <w:t>fied in open and closed reservoirs.</w:t>
      </w:r>
    </w:p>
    <w:p w14:paraId="788EF309" w14:textId="30087663"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The study of the incidence of diseases of the gastrointestinal tract among the population consuming drinking water from both open and closed water supply facilities and drinking wa</w:t>
      </w:r>
      <w:r w:rsidR="007303E8">
        <w:rPr>
          <w:rFonts w:eastAsia="SimSun" w:cs="Times New Roman"/>
          <w:sz w:val="24"/>
          <w:szCs w:val="24"/>
          <w:lang w:eastAsia="zh-CN"/>
        </w:rPr>
        <w:softHyphen/>
      </w:r>
      <w:r w:rsidRPr="00A75A45">
        <w:rPr>
          <w:rFonts w:eastAsia="SimSun" w:cs="Times New Roman"/>
          <w:sz w:val="24"/>
          <w:szCs w:val="24"/>
          <w:lang w:eastAsia="zh-CN"/>
        </w:rPr>
        <w:t>ter from head water pipes in a centralized man</w:t>
      </w:r>
      <w:r w:rsidR="007303E8">
        <w:rPr>
          <w:rFonts w:eastAsia="SimSun" w:cs="Times New Roman"/>
          <w:sz w:val="24"/>
          <w:szCs w:val="24"/>
          <w:lang w:eastAsia="zh-CN"/>
        </w:rPr>
        <w:softHyphen/>
      </w:r>
      <w:r w:rsidRPr="00A75A45">
        <w:rPr>
          <w:rFonts w:eastAsia="SimSun" w:cs="Times New Roman"/>
          <w:sz w:val="24"/>
          <w:szCs w:val="24"/>
          <w:lang w:eastAsia="zh-CN"/>
        </w:rPr>
        <w:t>ner showed that chronic diseases of the gastro</w:t>
      </w:r>
      <w:r w:rsidR="007303E8">
        <w:rPr>
          <w:rFonts w:eastAsia="SimSun" w:cs="Times New Roman"/>
          <w:sz w:val="24"/>
          <w:szCs w:val="24"/>
          <w:lang w:eastAsia="zh-CN"/>
        </w:rPr>
        <w:softHyphen/>
      </w:r>
      <w:r w:rsidRPr="00A75A45">
        <w:rPr>
          <w:rFonts w:eastAsia="SimSun" w:cs="Times New Roman"/>
          <w:sz w:val="24"/>
          <w:szCs w:val="24"/>
          <w:lang w:eastAsia="zh-CN"/>
        </w:rPr>
        <w:t>intestinal tract (gastroduodenitis, gastritis, co</w:t>
      </w:r>
      <w:r w:rsidR="007303E8">
        <w:rPr>
          <w:rFonts w:eastAsia="SimSun" w:cs="Times New Roman"/>
          <w:sz w:val="24"/>
          <w:szCs w:val="24"/>
          <w:lang w:eastAsia="zh-CN"/>
        </w:rPr>
        <w:softHyphen/>
      </w:r>
      <w:r w:rsidRPr="00A75A45">
        <w:rPr>
          <w:rFonts w:eastAsia="SimSun" w:cs="Times New Roman"/>
          <w:sz w:val="24"/>
          <w:szCs w:val="24"/>
          <w:lang w:eastAsia="zh-CN"/>
        </w:rPr>
        <w:t>litis) remained unchanged -9%. At the begin</w:t>
      </w:r>
      <w:r w:rsidR="007303E8">
        <w:rPr>
          <w:rFonts w:eastAsia="SimSun" w:cs="Times New Roman"/>
          <w:sz w:val="24"/>
          <w:szCs w:val="24"/>
          <w:lang w:eastAsia="zh-CN"/>
        </w:rPr>
        <w:softHyphen/>
      </w:r>
      <w:r w:rsidRPr="00A75A45">
        <w:rPr>
          <w:rFonts w:eastAsia="SimSun" w:cs="Times New Roman"/>
          <w:sz w:val="24"/>
          <w:szCs w:val="24"/>
          <w:lang w:eastAsia="zh-CN"/>
        </w:rPr>
        <w:t>ning of the study, it was found that functional stomach disorders in the population, gallblad</w:t>
      </w:r>
      <w:r w:rsidR="007303E8">
        <w:rPr>
          <w:rFonts w:eastAsia="SimSun" w:cs="Times New Roman"/>
          <w:sz w:val="24"/>
          <w:szCs w:val="24"/>
          <w:lang w:eastAsia="zh-CN"/>
        </w:rPr>
        <w:softHyphen/>
      </w:r>
      <w:r w:rsidRPr="00A75A45">
        <w:rPr>
          <w:rFonts w:eastAsia="SimSun" w:cs="Times New Roman"/>
          <w:sz w:val="24"/>
          <w:szCs w:val="24"/>
          <w:lang w:eastAsia="zh-CN"/>
        </w:rPr>
        <w:t>der dysfunction, unstable stools, are mainly de</w:t>
      </w:r>
      <w:r w:rsidR="007303E8">
        <w:rPr>
          <w:rFonts w:eastAsia="SimSun" w:cs="Times New Roman"/>
          <w:sz w:val="24"/>
          <w:szCs w:val="24"/>
          <w:lang w:eastAsia="zh-CN"/>
        </w:rPr>
        <w:softHyphen/>
      </w:r>
      <w:r w:rsidRPr="00A75A45">
        <w:rPr>
          <w:rFonts w:eastAsia="SimSun" w:cs="Times New Roman"/>
          <w:sz w:val="24"/>
          <w:szCs w:val="24"/>
          <w:lang w:eastAsia="zh-CN"/>
        </w:rPr>
        <w:t>tected in 15% of the population who consume water in a centralized manner of the Bozsu head water supply facility. It is likely that this situation is not related to the operability of the main structure of the structure, but to technical failures in the distribution network, cases of non-compliance of closed points with hygienic standards, and also due to the fact that the ex</w:t>
      </w:r>
      <w:r w:rsidR="007303E8">
        <w:rPr>
          <w:rFonts w:eastAsia="SimSun" w:cs="Times New Roman"/>
          <w:sz w:val="24"/>
          <w:szCs w:val="24"/>
          <w:lang w:eastAsia="zh-CN"/>
        </w:rPr>
        <w:softHyphen/>
      </w:r>
      <w:r w:rsidRPr="00A75A45">
        <w:rPr>
          <w:rFonts w:eastAsia="SimSun" w:cs="Times New Roman"/>
          <w:sz w:val="24"/>
          <w:szCs w:val="24"/>
          <w:lang w:eastAsia="zh-CN"/>
        </w:rPr>
        <w:t>piration of the service life of devices in the net</w:t>
      </w:r>
      <w:r w:rsidR="007303E8">
        <w:rPr>
          <w:rFonts w:eastAsia="SimSun" w:cs="Times New Roman"/>
          <w:sz w:val="24"/>
          <w:szCs w:val="24"/>
          <w:lang w:eastAsia="zh-CN"/>
        </w:rPr>
        <w:softHyphen/>
      </w:r>
      <w:r w:rsidRPr="00A75A45">
        <w:rPr>
          <w:rFonts w:eastAsia="SimSun" w:cs="Times New Roman"/>
          <w:sz w:val="24"/>
          <w:szCs w:val="24"/>
          <w:lang w:eastAsia="zh-CN"/>
        </w:rPr>
        <w:t>work</w:t>
      </w:r>
    </w:p>
    <w:p w14:paraId="1F0EA618" w14:textId="7918CB02"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Depending on the composition of the source water used to provide the population of Yunusabad district with centralized drinking water, the incidence rates among the popula</w:t>
      </w:r>
      <w:r w:rsidR="007303E8">
        <w:rPr>
          <w:rFonts w:eastAsia="SimSun" w:cs="Times New Roman"/>
          <w:sz w:val="24"/>
          <w:szCs w:val="24"/>
          <w:lang w:eastAsia="zh-CN"/>
        </w:rPr>
        <w:softHyphen/>
      </w:r>
      <w:r w:rsidRPr="00A75A45">
        <w:rPr>
          <w:rFonts w:eastAsia="SimSun" w:cs="Times New Roman"/>
          <w:sz w:val="24"/>
          <w:szCs w:val="24"/>
          <w:lang w:eastAsia="zh-CN"/>
        </w:rPr>
        <w:t xml:space="preserve">tion living in these areas also differ, including in Yunusabad district, where the incidence falls mainly on the group of infectious diseases </w:t>
      </w:r>
      <w:r w:rsidRPr="00A75A45">
        <w:rPr>
          <w:rFonts w:eastAsia="SimSun" w:cs="Times New Roman"/>
          <w:sz w:val="24"/>
          <w:szCs w:val="24"/>
          <w:lang w:eastAsia="zh-CN"/>
        </w:rPr>
        <w:t>associated with the waters of the gastrointesti</w:t>
      </w:r>
      <w:r w:rsidR="007303E8">
        <w:rPr>
          <w:rFonts w:eastAsia="SimSun" w:cs="Times New Roman"/>
          <w:sz w:val="24"/>
          <w:szCs w:val="24"/>
          <w:lang w:eastAsia="zh-CN"/>
        </w:rPr>
        <w:softHyphen/>
      </w:r>
      <w:r w:rsidRPr="00A75A45">
        <w:rPr>
          <w:rFonts w:eastAsia="SimSun" w:cs="Times New Roman"/>
          <w:sz w:val="24"/>
          <w:szCs w:val="24"/>
          <w:lang w:eastAsia="zh-CN"/>
        </w:rPr>
        <w:t>nal tract.</w:t>
      </w:r>
    </w:p>
    <w:p w14:paraId="1006AA15" w14:textId="67EC3E2E"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In many cases, there were changes in the biochemical analysis of blood in the popula</w:t>
      </w:r>
      <w:r w:rsidR="007303E8">
        <w:rPr>
          <w:rFonts w:eastAsia="SimSun" w:cs="Times New Roman"/>
          <w:sz w:val="24"/>
          <w:szCs w:val="24"/>
          <w:lang w:eastAsia="zh-CN"/>
        </w:rPr>
        <w:softHyphen/>
      </w:r>
      <w:r w:rsidRPr="00A75A45">
        <w:rPr>
          <w:rFonts w:eastAsia="SimSun" w:cs="Times New Roman"/>
          <w:sz w:val="24"/>
          <w:szCs w:val="24"/>
          <w:lang w:eastAsia="zh-CN"/>
        </w:rPr>
        <w:t>tion of Yunusabad district with signs of choles</w:t>
      </w:r>
      <w:r w:rsidR="007303E8">
        <w:rPr>
          <w:rFonts w:eastAsia="SimSun" w:cs="Times New Roman"/>
          <w:sz w:val="24"/>
          <w:szCs w:val="24"/>
          <w:lang w:eastAsia="zh-CN"/>
        </w:rPr>
        <w:softHyphen/>
      </w:r>
      <w:r w:rsidRPr="00A75A45">
        <w:rPr>
          <w:rFonts w:eastAsia="SimSun" w:cs="Times New Roman"/>
          <w:sz w:val="24"/>
          <w:szCs w:val="24"/>
          <w:lang w:eastAsia="zh-CN"/>
        </w:rPr>
        <w:t>tase and cytolase (P&lt;0.05) Of these indicators, ALT (45.2±2.2 IU/L), AST (40.5±1.8 IU/L), alkaline phosphatase (350±11.3IU/L), biliru</w:t>
      </w:r>
      <w:r w:rsidR="007303E8">
        <w:rPr>
          <w:rFonts w:eastAsia="SimSun" w:cs="Times New Roman"/>
          <w:sz w:val="24"/>
          <w:szCs w:val="24"/>
          <w:lang w:eastAsia="zh-CN"/>
        </w:rPr>
        <w:softHyphen/>
      </w:r>
      <w:r w:rsidRPr="00A75A45">
        <w:rPr>
          <w:rFonts w:eastAsia="SimSun" w:cs="Times New Roman"/>
          <w:sz w:val="24"/>
          <w:szCs w:val="24"/>
          <w:lang w:eastAsia="zh-CN"/>
        </w:rPr>
        <w:t>bin (24.4±1.8 mmol/l) cholesterol (5.8±1.4 mmol/l) in children with hepatitis A, one third of whose parents have a history of gallstones, gout, deforming arthrosis.</w:t>
      </w:r>
    </w:p>
    <w:p w14:paraId="6AB7A66B" w14:textId="59612CB5"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The final results of ultrasound examina</w:t>
      </w:r>
      <w:r w:rsidR="007303E8">
        <w:rPr>
          <w:rFonts w:eastAsia="SimSun" w:cs="Times New Roman"/>
          <w:sz w:val="24"/>
          <w:szCs w:val="24"/>
          <w:lang w:eastAsia="zh-CN"/>
        </w:rPr>
        <w:softHyphen/>
      </w:r>
      <w:r w:rsidRPr="00A75A45">
        <w:rPr>
          <w:rFonts w:eastAsia="SimSun" w:cs="Times New Roman"/>
          <w:sz w:val="24"/>
          <w:szCs w:val="24"/>
          <w:lang w:eastAsia="zh-CN"/>
        </w:rPr>
        <w:t>tion of the liver of the comparative group showed that the liver parameters remained un</w:t>
      </w:r>
      <w:r w:rsidR="007303E8">
        <w:rPr>
          <w:rFonts w:eastAsia="SimSun" w:cs="Times New Roman"/>
          <w:sz w:val="24"/>
          <w:szCs w:val="24"/>
          <w:lang w:eastAsia="zh-CN"/>
        </w:rPr>
        <w:softHyphen/>
      </w:r>
      <w:r w:rsidRPr="00A75A45">
        <w:rPr>
          <w:rFonts w:eastAsia="SimSun" w:cs="Times New Roman"/>
          <w:sz w:val="24"/>
          <w:szCs w:val="24"/>
          <w:lang w:eastAsia="zh-CN"/>
        </w:rPr>
        <w:t>changed (R &gt; 0.05).</w:t>
      </w:r>
    </w:p>
    <w:p w14:paraId="227838F4" w14:textId="24FCBE82"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Our studies have shown that the con</w:t>
      </w:r>
      <w:r w:rsidR="007303E8">
        <w:rPr>
          <w:rFonts w:eastAsia="SimSun" w:cs="Times New Roman"/>
          <w:sz w:val="24"/>
          <w:szCs w:val="24"/>
          <w:lang w:eastAsia="zh-CN"/>
        </w:rPr>
        <w:softHyphen/>
      </w:r>
      <w:r w:rsidRPr="00A75A45">
        <w:rPr>
          <w:rFonts w:eastAsia="SimSun" w:cs="Times New Roman"/>
          <w:sz w:val="24"/>
          <w:szCs w:val="24"/>
          <w:lang w:eastAsia="zh-CN"/>
        </w:rPr>
        <w:t>sumption of water that does not comply with sanitary and hygienic standards leads to the formation of metabolic disorders in the body and the manifestation of changes in oxaluria from the urinary system.</w:t>
      </w:r>
    </w:p>
    <w:p w14:paraId="792DB98F" w14:textId="4B31D81F"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 The main dental diseases detected in the population of Yunusabad district are periodon</w:t>
      </w:r>
      <w:r w:rsidR="007303E8">
        <w:rPr>
          <w:rFonts w:eastAsia="SimSun" w:cs="Times New Roman"/>
          <w:sz w:val="24"/>
          <w:szCs w:val="24"/>
          <w:lang w:eastAsia="zh-CN"/>
        </w:rPr>
        <w:softHyphen/>
      </w:r>
      <w:r w:rsidRPr="00A75A45">
        <w:rPr>
          <w:rFonts w:eastAsia="SimSun" w:cs="Times New Roman"/>
          <w:sz w:val="24"/>
          <w:szCs w:val="24"/>
          <w:lang w:eastAsia="zh-CN"/>
        </w:rPr>
        <w:t>tal disease and dental caries. The prevalence and intensity of dental caries depends on a number of factors, the main of which are the amount of fluoride in the water, climatic, geo</w:t>
      </w:r>
      <w:r w:rsidR="007303E8">
        <w:rPr>
          <w:rFonts w:eastAsia="SimSun" w:cs="Times New Roman"/>
          <w:sz w:val="24"/>
          <w:szCs w:val="24"/>
          <w:lang w:eastAsia="zh-CN"/>
        </w:rPr>
        <w:softHyphen/>
      </w:r>
      <w:r w:rsidRPr="00A75A45">
        <w:rPr>
          <w:rFonts w:eastAsia="SimSun" w:cs="Times New Roman"/>
          <w:sz w:val="24"/>
          <w:szCs w:val="24"/>
          <w:lang w:eastAsia="zh-CN"/>
        </w:rPr>
        <w:t>graphical and social conditions. The main pre</w:t>
      </w:r>
      <w:r w:rsidR="007303E8">
        <w:rPr>
          <w:rFonts w:eastAsia="SimSun" w:cs="Times New Roman"/>
          <w:sz w:val="24"/>
          <w:szCs w:val="24"/>
          <w:lang w:eastAsia="zh-CN"/>
        </w:rPr>
        <w:softHyphen/>
      </w:r>
      <w:r w:rsidRPr="00A75A45">
        <w:rPr>
          <w:rFonts w:eastAsia="SimSun" w:cs="Times New Roman"/>
          <w:sz w:val="24"/>
          <w:szCs w:val="24"/>
          <w:lang w:eastAsia="zh-CN"/>
        </w:rPr>
        <w:t>ventive measures for dental caries include the use of fluorides.</w:t>
      </w:r>
    </w:p>
    <w:p w14:paraId="6A34A9BE" w14:textId="03E4A53D"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Water supply of settlements – protects human health. Studying the structure of the morbidity of the population, it can be con</w:t>
      </w:r>
      <w:r w:rsidR="007303E8">
        <w:rPr>
          <w:rFonts w:eastAsia="SimSun" w:cs="Times New Roman"/>
          <w:sz w:val="24"/>
          <w:szCs w:val="24"/>
          <w:lang w:eastAsia="zh-CN"/>
        </w:rPr>
        <w:softHyphen/>
      </w:r>
      <w:r w:rsidRPr="00A75A45">
        <w:rPr>
          <w:rFonts w:eastAsia="SimSun" w:cs="Times New Roman"/>
          <w:sz w:val="24"/>
          <w:szCs w:val="24"/>
          <w:lang w:eastAsia="zh-CN"/>
        </w:rPr>
        <w:t>cluded that one of the main factors causing their diseases is the discrepancy between the water they consume and the requirements of sanitary hygiene.</w:t>
      </w:r>
    </w:p>
    <w:p w14:paraId="0160D58A" w14:textId="7D054D93" w:rsidR="00A75A45" w:rsidRPr="00A75A45" w:rsidRDefault="00A75A45" w:rsidP="00752EAA">
      <w:pPr>
        <w:spacing w:line="269" w:lineRule="auto"/>
        <w:ind w:firstLine="567"/>
        <w:jc w:val="both"/>
        <w:rPr>
          <w:rFonts w:eastAsia="SimSun" w:cs="Times New Roman"/>
          <w:sz w:val="24"/>
          <w:szCs w:val="24"/>
          <w:lang w:eastAsia="zh-CN"/>
        </w:rPr>
      </w:pPr>
      <w:r w:rsidRPr="00A75A45">
        <w:rPr>
          <w:rFonts w:eastAsia="SimSun" w:cs="Times New Roman"/>
          <w:sz w:val="24"/>
          <w:szCs w:val="24"/>
          <w:lang w:eastAsia="zh-CN"/>
        </w:rPr>
        <w:t>When analyzing the quality of drinking water consumed by the population of the Yun</w:t>
      </w:r>
      <w:r w:rsidR="007303E8">
        <w:rPr>
          <w:rFonts w:eastAsia="SimSun" w:cs="Times New Roman"/>
          <w:sz w:val="24"/>
          <w:szCs w:val="24"/>
          <w:lang w:eastAsia="zh-CN"/>
        </w:rPr>
        <w:softHyphen/>
      </w:r>
      <w:r w:rsidRPr="00A75A45">
        <w:rPr>
          <w:rFonts w:eastAsia="SimSun" w:cs="Times New Roman"/>
          <w:sz w:val="24"/>
          <w:szCs w:val="24"/>
          <w:lang w:eastAsia="zh-CN"/>
        </w:rPr>
        <w:t>usabad district of Tashkent, it was found that poor-quality drinking water has an impact on the morbidity of the population. Samples are taken from the following points to determine the content of drinking water.</w:t>
      </w:r>
    </w:p>
    <w:p w14:paraId="28204115" w14:textId="77777777" w:rsidR="007303E8" w:rsidRDefault="007303E8" w:rsidP="00A75A45">
      <w:pPr>
        <w:spacing w:line="276" w:lineRule="auto"/>
        <w:ind w:firstLine="567"/>
        <w:jc w:val="both"/>
        <w:rPr>
          <w:rFonts w:eastAsia="SimSun" w:cs="Times New Roman"/>
          <w:sz w:val="24"/>
          <w:szCs w:val="24"/>
          <w:lang w:eastAsia="zh-CN"/>
        </w:rPr>
        <w:sectPr w:rsidR="007303E8" w:rsidSect="007303E8">
          <w:type w:val="continuous"/>
          <w:pgSz w:w="11907" w:h="16840" w:code="9"/>
          <w:pgMar w:top="1418" w:right="1134" w:bottom="1134" w:left="1134" w:header="907" w:footer="794" w:gutter="0"/>
          <w:cols w:num="2" w:space="708"/>
          <w:docGrid w:linePitch="381"/>
        </w:sectPr>
      </w:pPr>
    </w:p>
    <w:p w14:paraId="7AECB7BE" w14:textId="77777777" w:rsidR="00A75A45" w:rsidRPr="00A75A45" w:rsidRDefault="00A75A45" w:rsidP="00A75A45">
      <w:pPr>
        <w:spacing w:line="276" w:lineRule="auto"/>
        <w:ind w:firstLine="567"/>
        <w:jc w:val="both"/>
        <w:rPr>
          <w:rFonts w:eastAsia="SimSun" w:cs="Times New Roman"/>
          <w:sz w:val="24"/>
          <w:szCs w:val="24"/>
          <w:lang w:eastAsia="zh-CN"/>
        </w:rPr>
      </w:pPr>
    </w:p>
    <w:p w14:paraId="6651DF18" w14:textId="10F20FBD" w:rsidR="00A75A45" w:rsidRDefault="00A75A45" w:rsidP="00F71D84">
      <w:pPr>
        <w:jc w:val="center"/>
        <w:rPr>
          <w:rFonts w:eastAsia="SimSun" w:cs="Times New Roman"/>
          <w:b/>
          <w:bCs/>
          <w:iCs/>
          <w:sz w:val="24"/>
          <w:szCs w:val="24"/>
          <w:lang w:eastAsia="zh-CN"/>
        </w:rPr>
      </w:pPr>
      <w:r w:rsidRPr="00A75A45">
        <w:rPr>
          <w:rFonts w:eastAsia="SimSun" w:cs="Times New Roman"/>
          <w:b/>
          <w:bCs/>
          <w:iCs/>
          <w:sz w:val="24"/>
          <w:szCs w:val="24"/>
          <w:lang w:eastAsia="zh-CN"/>
        </w:rPr>
        <w:lastRenderedPageBreak/>
        <w:t>Drinking water intake points of Yunusabad district (sampling points were determined among the population depending on the epidemiological situation in the area)</w:t>
      </w:r>
    </w:p>
    <w:p w14:paraId="31528DE4" w14:textId="77777777" w:rsidR="007303E8" w:rsidRPr="00A75A45" w:rsidRDefault="007303E8" w:rsidP="00F71D84">
      <w:pPr>
        <w:jc w:val="both"/>
        <w:rPr>
          <w:rFonts w:eastAsia="SimSun" w:cs="Times New Roman"/>
          <w:b/>
          <w:bCs/>
          <w:iCs/>
          <w:sz w:val="24"/>
          <w:szCs w:val="24"/>
          <w:lang w:eastAsia="zh-CN"/>
        </w:rPr>
      </w:pPr>
    </w:p>
    <w:tbl>
      <w:tblPr>
        <w:tblStyle w:val="18"/>
        <w:tblW w:w="9634" w:type="dxa"/>
        <w:jc w:val="center"/>
        <w:tblLayout w:type="fixed"/>
        <w:tblLook w:val="0400" w:firstRow="0" w:lastRow="0" w:firstColumn="0" w:lastColumn="0" w:noHBand="0" w:noVBand="1"/>
      </w:tblPr>
      <w:tblGrid>
        <w:gridCol w:w="562"/>
        <w:gridCol w:w="4820"/>
        <w:gridCol w:w="2126"/>
        <w:gridCol w:w="2126"/>
      </w:tblGrid>
      <w:tr w:rsidR="00A75A45" w:rsidRPr="00A75A45" w14:paraId="1F4B2D10" w14:textId="77777777" w:rsidTr="00833FFB">
        <w:trPr>
          <w:trHeight w:val="20"/>
          <w:jc w:val="center"/>
        </w:trPr>
        <w:tc>
          <w:tcPr>
            <w:tcW w:w="562" w:type="dxa"/>
          </w:tcPr>
          <w:p w14:paraId="6DE896D3" w14:textId="22DBA489" w:rsidR="00A75A45" w:rsidRPr="00A75A45" w:rsidRDefault="00A75A45" w:rsidP="00F71D84">
            <w:pPr>
              <w:jc w:val="both"/>
              <w:rPr>
                <w:rFonts w:ascii="Times New Roman" w:hAnsi="Times New Roman"/>
                <w:b/>
                <w:bCs/>
                <w:sz w:val="24"/>
                <w:szCs w:val="24"/>
                <w:lang w:val="ru-RU"/>
              </w:rPr>
            </w:pPr>
            <w:r w:rsidRPr="00A75A45">
              <w:rPr>
                <w:rFonts w:ascii="Times New Roman" w:hAnsi="Times New Roman"/>
                <w:b/>
                <w:bCs/>
                <w:sz w:val="24"/>
                <w:szCs w:val="24"/>
              </w:rPr>
              <w:t>No</w:t>
            </w:r>
          </w:p>
        </w:tc>
        <w:tc>
          <w:tcPr>
            <w:tcW w:w="4820" w:type="dxa"/>
            <w:vAlign w:val="center"/>
          </w:tcPr>
          <w:p w14:paraId="0EEF0734"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Sampling location</w:t>
            </w:r>
          </w:p>
        </w:tc>
        <w:tc>
          <w:tcPr>
            <w:tcW w:w="2126" w:type="dxa"/>
            <w:vAlign w:val="center"/>
          </w:tcPr>
          <w:p w14:paraId="02F414C2"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Number of samples</w:t>
            </w:r>
          </w:p>
        </w:tc>
        <w:tc>
          <w:tcPr>
            <w:tcW w:w="2126" w:type="dxa"/>
            <w:vAlign w:val="center"/>
          </w:tcPr>
          <w:p w14:paraId="68CD1929"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Selection points</w:t>
            </w:r>
          </w:p>
        </w:tc>
      </w:tr>
      <w:tr w:rsidR="00A75A45" w:rsidRPr="00A75A45" w14:paraId="1B2E2419" w14:textId="77777777" w:rsidTr="00833FFB">
        <w:trPr>
          <w:trHeight w:val="20"/>
          <w:jc w:val="center"/>
        </w:trPr>
        <w:tc>
          <w:tcPr>
            <w:tcW w:w="562" w:type="dxa"/>
          </w:tcPr>
          <w:p w14:paraId="57071ED3" w14:textId="5F43F0F6"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1</w:t>
            </w:r>
          </w:p>
        </w:tc>
        <w:tc>
          <w:tcPr>
            <w:tcW w:w="4820" w:type="dxa"/>
          </w:tcPr>
          <w:p w14:paraId="0BF09828" w14:textId="0F886BC7"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 xml:space="preserve">Yunusabad </w:t>
            </w:r>
            <w:r w:rsidR="004F73E3" w:rsidRPr="00A75A45">
              <w:rPr>
                <w:rFonts w:ascii="Times New Roman" w:hAnsi="Times New Roman"/>
                <w:sz w:val="24"/>
                <w:szCs w:val="24"/>
              </w:rPr>
              <w:t>district,</w:t>
            </w:r>
            <w:r w:rsidRPr="00A75A45">
              <w:rPr>
                <w:rFonts w:ascii="Times New Roman" w:hAnsi="Times New Roman"/>
                <w:sz w:val="24"/>
                <w:szCs w:val="24"/>
              </w:rPr>
              <w:t xml:space="preserve"> street 7 School No. 41</w:t>
            </w:r>
          </w:p>
        </w:tc>
        <w:tc>
          <w:tcPr>
            <w:tcW w:w="2126" w:type="dxa"/>
          </w:tcPr>
          <w:p w14:paraId="1EE4A617" w14:textId="49E0C64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43B894B8"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Inside the building</w:t>
            </w:r>
          </w:p>
        </w:tc>
      </w:tr>
      <w:tr w:rsidR="00A75A45" w:rsidRPr="00A75A45" w14:paraId="254D46C9" w14:textId="77777777" w:rsidTr="00833FFB">
        <w:trPr>
          <w:trHeight w:val="20"/>
          <w:jc w:val="center"/>
        </w:trPr>
        <w:tc>
          <w:tcPr>
            <w:tcW w:w="562" w:type="dxa"/>
          </w:tcPr>
          <w:p w14:paraId="26657BA6" w14:textId="3D7B7B13"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2</w:t>
            </w:r>
          </w:p>
        </w:tc>
        <w:tc>
          <w:tcPr>
            <w:tcW w:w="4820" w:type="dxa"/>
          </w:tcPr>
          <w:p w14:paraId="75B5A2BB" w14:textId="27BA283D"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 xml:space="preserve">Yunusabad district street </w:t>
            </w:r>
            <w:r w:rsidR="00833FFB" w:rsidRPr="00A75A45">
              <w:rPr>
                <w:rFonts w:ascii="Times New Roman" w:hAnsi="Times New Roman"/>
                <w:sz w:val="24"/>
                <w:szCs w:val="24"/>
              </w:rPr>
              <w:t>2</w:t>
            </w:r>
            <w:r w:rsidR="00833FFB" w:rsidRPr="00833FFB">
              <w:rPr>
                <w:rFonts w:ascii="Times New Roman" w:hAnsi="Times New Roman"/>
                <w:sz w:val="24"/>
                <w:szCs w:val="24"/>
              </w:rPr>
              <w:t xml:space="preserve"> Kindergarden</w:t>
            </w:r>
            <w:r w:rsidR="004F73E3" w:rsidRPr="00A75A45">
              <w:rPr>
                <w:rFonts w:ascii="Times New Roman" w:hAnsi="Times New Roman"/>
                <w:sz w:val="24"/>
                <w:szCs w:val="24"/>
              </w:rPr>
              <w:t xml:space="preserve"> N</w:t>
            </w:r>
            <w:r w:rsidRPr="00A75A45">
              <w:rPr>
                <w:rFonts w:ascii="Times New Roman" w:hAnsi="Times New Roman"/>
                <w:sz w:val="24"/>
                <w:szCs w:val="24"/>
              </w:rPr>
              <w:t xml:space="preserve"> 240</w:t>
            </w:r>
          </w:p>
        </w:tc>
        <w:tc>
          <w:tcPr>
            <w:tcW w:w="2126" w:type="dxa"/>
          </w:tcPr>
          <w:p w14:paraId="71F6B1C1" w14:textId="4F22DDA4"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58613C25"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Inside the building</w:t>
            </w:r>
          </w:p>
        </w:tc>
      </w:tr>
      <w:tr w:rsidR="00A75A45" w:rsidRPr="00A75A45" w14:paraId="0AAB0C06" w14:textId="77777777" w:rsidTr="00833FFB">
        <w:trPr>
          <w:trHeight w:val="20"/>
          <w:jc w:val="center"/>
        </w:trPr>
        <w:tc>
          <w:tcPr>
            <w:tcW w:w="562" w:type="dxa"/>
          </w:tcPr>
          <w:p w14:paraId="6A7B1D06" w14:textId="4C0A3AE7"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3</w:t>
            </w:r>
          </w:p>
        </w:tc>
        <w:tc>
          <w:tcPr>
            <w:tcW w:w="4820" w:type="dxa"/>
          </w:tcPr>
          <w:p w14:paraId="079876D0" w14:textId="61331FB5"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Chinabad Mahalla</w:t>
            </w:r>
          </w:p>
        </w:tc>
        <w:tc>
          <w:tcPr>
            <w:tcW w:w="2126" w:type="dxa"/>
          </w:tcPr>
          <w:p w14:paraId="0E0D4D3F" w14:textId="079DCC9A"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09974126"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From the yard</w:t>
            </w:r>
          </w:p>
        </w:tc>
      </w:tr>
      <w:tr w:rsidR="00A75A45" w:rsidRPr="00A75A45" w14:paraId="4E11155E" w14:textId="77777777" w:rsidTr="00833FFB">
        <w:trPr>
          <w:trHeight w:val="20"/>
          <w:jc w:val="center"/>
        </w:trPr>
        <w:tc>
          <w:tcPr>
            <w:tcW w:w="562" w:type="dxa"/>
          </w:tcPr>
          <w:p w14:paraId="12424532" w14:textId="3F82960C"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4             </w:t>
            </w:r>
          </w:p>
        </w:tc>
        <w:tc>
          <w:tcPr>
            <w:tcW w:w="4820" w:type="dxa"/>
          </w:tcPr>
          <w:p w14:paraId="6C37EB7F" w14:textId="01544E48"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Mahalla shifokor</w:t>
            </w:r>
          </w:p>
        </w:tc>
        <w:tc>
          <w:tcPr>
            <w:tcW w:w="2126" w:type="dxa"/>
          </w:tcPr>
          <w:p w14:paraId="49A16564" w14:textId="4BBED24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67F57186"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Inside the building</w:t>
            </w:r>
          </w:p>
        </w:tc>
      </w:tr>
      <w:tr w:rsidR="00A75A45" w:rsidRPr="00A75A45" w14:paraId="0ECC09B8" w14:textId="77777777" w:rsidTr="00833FFB">
        <w:trPr>
          <w:trHeight w:val="20"/>
          <w:jc w:val="center"/>
        </w:trPr>
        <w:tc>
          <w:tcPr>
            <w:tcW w:w="562" w:type="dxa"/>
          </w:tcPr>
          <w:p w14:paraId="08FAED95" w14:textId="6805F66A"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 xml:space="preserve">5      </w:t>
            </w:r>
          </w:p>
        </w:tc>
        <w:tc>
          <w:tcPr>
            <w:tcW w:w="4820" w:type="dxa"/>
          </w:tcPr>
          <w:p w14:paraId="68B9E200" w14:textId="1A4BC65F"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Mahalla Niezboshi yuli</w:t>
            </w:r>
          </w:p>
        </w:tc>
        <w:tc>
          <w:tcPr>
            <w:tcW w:w="2126" w:type="dxa"/>
          </w:tcPr>
          <w:p w14:paraId="70D66BD8" w14:textId="72953585" w:rsidR="00A75A45" w:rsidRPr="00A75A45" w:rsidRDefault="00A75A45" w:rsidP="00F71D84">
            <w:pPr>
              <w:jc w:val="center"/>
              <w:rPr>
                <w:rFonts w:ascii="Times New Roman" w:hAnsi="Times New Roman"/>
                <w:sz w:val="24"/>
                <w:szCs w:val="24"/>
              </w:rPr>
            </w:pPr>
            <w:r w:rsidRPr="00A75A45">
              <w:rPr>
                <w:rFonts w:ascii="Times New Roman" w:hAnsi="Times New Roman"/>
                <w:sz w:val="24"/>
                <w:szCs w:val="24"/>
              </w:rPr>
              <w:t>100</w:t>
            </w:r>
          </w:p>
        </w:tc>
        <w:tc>
          <w:tcPr>
            <w:tcW w:w="2126" w:type="dxa"/>
          </w:tcPr>
          <w:p w14:paraId="6F64F305"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From the yard</w:t>
            </w:r>
          </w:p>
        </w:tc>
      </w:tr>
      <w:tr w:rsidR="00A75A45" w:rsidRPr="00A75A45" w14:paraId="41833EA5" w14:textId="77777777" w:rsidTr="00833FFB">
        <w:trPr>
          <w:trHeight w:val="172"/>
          <w:jc w:val="center"/>
        </w:trPr>
        <w:tc>
          <w:tcPr>
            <w:tcW w:w="562" w:type="dxa"/>
          </w:tcPr>
          <w:p w14:paraId="6FC5F7E3" w14:textId="53C1366D"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 xml:space="preserve">6       </w:t>
            </w:r>
          </w:p>
        </w:tc>
        <w:tc>
          <w:tcPr>
            <w:tcW w:w="4820" w:type="dxa"/>
          </w:tcPr>
          <w:p w14:paraId="24D14095" w14:textId="7420C159"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Shahristan Mahalla house 70</w:t>
            </w:r>
          </w:p>
        </w:tc>
        <w:tc>
          <w:tcPr>
            <w:tcW w:w="2126" w:type="dxa"/>
          </w:tcPr>
          <w:p w14:paraId="5133174B" w14:textId="02CA72C5"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2C2C7B4F"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From the yard</w:t>
            </w:r>
          </w:p>
        </w:tc>
      </w:tr>
      <w:tr w:rsidR="00A75A45" w:rsidRPr="00A75A45" w14:paraId="1617D6BF" w14:textId="77777777" w:rsidTr="00833FFB">
        <w:trPr>
          <w:trHeight w:val="20"/>
          <w:jc w:val="center"/>
        </w:trPr>
        <w:tc>
          <w:tcPr>
            <w:tcW w:w="562" w:type="dxa"/>
          </w:tcPr>
          <w:p w14:paraId="4F426048" w14:textId="3651DB26" w:rsidR="00A75A45" w:rsidRPr="00A75A45" w:rsidRDefault="00A75A45" w:rsidP="00F71D84">
            <w:pPr>
              <w:jc w:val="both"/>
              <w:rPr>
                <w:rFonts w:ascii="Times New Roman" w:hAnsi="Times New Roman"/>
                <w:sz w:val="24"/>
                <w:szCs w:val="24"/>
              </w:rPr>
            </w:pPr>
            <w:r w:rsidRPr="00A75A45">
              <w:rPr>
                <w:rFonts w:ascii="Times New Roman" w:hAnsi="Times New Roman"/>
                <w:sz w:val="24"/>
                <w:szCs w:val="24"/>
              </w:rPr>
              <w:t xml:space="preserve">7   </w:t>
            </w:r>
          </w:p>
        </w:tc>
        <w:tc>
          <w:tcPr>
            <w:tcW w:w="4820" w:type="dxa"/>
          </w:tcPr>
          <w:p w14:paraId="509403D6" w14:textId="77777777"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Mahalla Bodomzor house 200</w:t>
            </w:r>
          </w:p>
        </w:tc>
        <w:tc>
          <w:tcPr>
            <w:tcW w:w="2126" w:type="dxa"/>
          </w:tcPr>
          <w:p w14:paraId="6B51107B" w14:textId="2BA1AAC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100</w:t>
            </w:r>
          </w:p>
        </w:tc>
        <w:tc>
          <w:tcPr>
            <w:tcW w:w="2126" w:type="dxa"/>
          </w:tcPr>
          <w:p w14:paraId="2A80465B"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From the yard</w:t>
            </w:r>
          </w:p>
        </w:tc>
      </w:tr>
    </w:tbl>
    <w:p w14:paraId="2B960E04" w14:textId="77777777" w:rsidR="00A75A45" w:rsidRPr="00A75A45" w:rsidRDefault="00A75A45" w:rsidP="00F71D84">
      <w:pPr>
        <w:ind w:firstLine="567"/>
        <w:jc w:val="both"/>
        <w:rPr>
          <w:rFonts w:eastAsia="SimSun" w:cs="Times New Roman"/>
          <w:sz w:val="24"/>
          <w:szCs w:val="24"/>
          <w:lang w:val="ru-RU" w:eastAsia="zh-CN"/>
        </w:rPr>
      </w:pPr>
    </w:p>
    <w:p w14:paraId="033A32ED" w14:textId="77777777" w:rsidR="004F73E3" w:rsidRDefault="004F73E3" w:rsidP="00F71D84">
      <w:pPr>
        <w:ind w:firstLine="567"/>
        <w:jc w:val="both"/>
        <w:rPr>
          <w:rFonts w:eastAsia="SimSun" w:cs="Times New Roman"/>
          <w:sz w:val="24"/>
          <w:szCs w:val="24"/>
          <w:lang w:eastAsia="zh-CN"/>
        </w:rPr>
        <w:sectPr w:rsidR="004F73E3" w:rsidSect="00995DC2">
          <w:type w:val="continuous"/>
          <w:pgSz w:w="11907" w:h="16840" w:code="9"/>
          <w:pgMar w:top="1418" w:right="1134" w:bottom="1134" w:left="1134" w:header="907" w:footer="794" w:gutter="0"/>
          <w:cols w:space="708"/>
          <w:docGrid w:linePitch="381"/>
        </w:sectPr>
      </w:pPr>
    </w:p>
    <w:p w14:paraId="6AC07162" w14:textId="4BB71D3C" w:rsidR="004F73E3" w:rsidRDefault="00A75A45" w:rsidP="00F71D84">
      <w:pPr>
        <w:ind w:firstLine="567"/>
        <w:jc w:val="both"/>
        <w:rPr>
          <w:rFonts w:eastAsia="SimSun" w:cs="Times New Roman"/>
          <w:sz w:val="24"/>
          <w:szCs w:val="24"/>
          <w:lang w:eastAsia="zh-CN"/>
        </w:rPr>
        <w:sectPr w:rsidR="004F73E3" w:rsidSect="004F73E3">
          <w:type w:val="continuous"/>
          <w:pgSz w:w="11907" w:h="16840" w:code="9"/>
          <w:pgMar w:top="1418" w:right="1134" w:bottom="1134" w:left="1134" w:header="907" w:footer="794" w:gutter="0"/>
          <w:cols w:num="2" w:space="708"/>
          <w:docGrid w:linePitch="381"/>
        </w:sectPr>
      </w:pPr>
      <w:r w:rsidRPr="00A75A45">
        <w:rPr>
          <w:rFonts w:eastAsia="SimSun" w:cs="Times New Roman"/>
          <w:sz w:val="24"/>
          <w:szCs w:val="24"/>
          <w:lang w:eastAsia="zh-CN"/>
        </w:rPr>
        <w:t>The number of sampling points in the Yunusabad district of Tashkent was 108, sam</w:t>
      </w:r>
      <w:r w:rsidR="004F73E3">
        <w:rPr>
          <w:rFonts w:eastAsia="SimSun" w:cs="Times New Roman"/>
          <w:sz w:val="24"/>
          <w:szCs w:val="24"/>
          <w:lang w:eastAsia="zh-CN"/>
        </w:rPr>
        <w:softHyphen/>
      </w:r>
      <w:r w:rsidRPr="00A75A45">
        <w:rPr>
          <w:rFonts w:eastAsia="SimSun" w:cs="Times New Roman"/>
          <w:sz w:val="24"/>
          <w:szCs w:val="24"/>
          <w:lang w:eastAsia="zh-CN"/>
        </w:rPr>
        <w:t>ples were   taken mainly from water supply net</w:t>
      </w:r>
      <w:r w:rsidR="004F73E3">
        <w:rPr>
          <w:rFonts w:eastAsia="SimSun" w:cs="Times New Roman"/>
          <w:sz w:val="24"/>
          <w:szCs w:val="24"/>
          <w:lang w:eastAsia="zh-CN"/>
        </w:rPr>
        <w:softHyphen/>
      </w:r>
      <w:r w:rsidRPr="00A75A45">
        <w:rPr>
          <w:rFonts w:eastAsia="SimSun" w:cs="Times New Roman"/>
          <w:sz w:val="24"/>
          <w:szCs w:val="24"/>
          <w:lang w:eastAsia="zh-CN"/>
        </w:rPr>
        <w:t>works in epidemiologically disadvantaged ar</w:t>
      </w:r>
      <w:r w:rsidR="004F73E3">
        <w:rPr>
          <w:rFonts w:eastAsia="SimSun" w:cs="Times New Roman"/>
          <w:sz w:val="24"/>
          <w:szCs w:val="24"/>
          <w:lang w:eastAsia="zh-CN"/>
        </w:rPr>
        <w:softHyphen/>
      </w:r>
      <w:r w:rsidRPr="00A75A45">
        <w:rPr>
          <w:rFonts w:eastAsia="SimSun" w:cs="Times New Roman"/>
          <w:sz w:val="24"/>
          <w:szCs w:val="24"/>
          <w:lang w:eastAsia="zh-CN"/>
        </w:rPr>
        <w:t xml:space="preserve">eas. The total number of samples taken from these points was 700. </w:t>
      </w:r>
      <w:r w:rsidR="004F73E3" w:rsidRPr="00A75A45">
        <w:rPr>
          <w:rFonts w:eastAsia="SimSun" w:cs="Times New Roman"/>
          <w:sz w:val="24"/>
          <w:szCs w:val="24"/>
          <w:lang w:eastAsia="zh-CN"/>
        </w:rPr>
        <w:t>Samples are mainly</w:t>
      </w:r>
      <w:r w:rsidRPr="00A75A45">
        <w:rPr>
          <w:rFonts w:eastAsia="SimSun" w:cs="Times New Roman"/>
          <w:sz w:val="24"/>
          <w:szCs w:val="24"/>
          <w:lang w:eastAsia="zh-CN"/>
        </w:rPr>
        <w:t xml:space="preserve"> ex</w:t>
      </w:r>
      <w:r w:rsidR="004F73E3">
        <w:rPr>
          <w:rFonts w:eastAsia="SimSun" w:cs="Times New Roman"/>
          <w:sz w:val="24"/>
          <w:szCs w:val="24"/>
          <w:lang w:eastAsia="zh-CN"/>
        </w:rPr>
        <w:softHyphen/>
      </w:r>
      <w:r w:rsidRPr="00A75A45">
        <w:rPr>
          <w:rFonts w:eastAsia="SimSun" w:cs="Times New Roman"/>
          <w:sz w:val="24"/>
          <w:szCs w:val="24"/>
          <w:lang w:eastAsia="zh-CN"/>
        </w:rPr>
        <w:t>amined for organoleptic, chemical, and bacte</w:t>
      </w:r>
      <w:r w:rsidR="004F73E3">
        <w:rPr>
          <w:rFonts w:eastAsia="SimSun" w:cs="Times New Roman"/>
          <w:sz w:val="24"/>
          <w:szCs w:val="24"/>
          <w:lang w:eastAsia="zh-CN"/>
        </w:rPr>
        <w:softHyphen/>
      </w:r>
      <w:r w:rsidRPr="00A75A45">
        <w:rPr>
          <w:rFonts w:eastAsia="SimSun" w:cs="Times New Roman"/>
          <w:sz w:val="24"/>
          <w:szCs w:val="24"/>
          <w:lang w:eastAsia="zh-CN"/>
        </w:rPr>
        <w:t>riological parameters. The organoleptic param</w:t>
      </w:r>
      <w:r w:rsidR="004F73E3">
        <w:rPr>
          <w:rFonts w:eastAsia="SimSun" w:cs="Times New Roman"/>
          <w:sz w:val="24"/>
          <w:szCs w:val="24"/>
          <w:lang w:eastAsia="zh-CN"/>
        </w:rPr>
        <w:softHyphen/>
      </w:r>
      <w:r w:rsidRPr="00A75A45">
        <w:rPr>
          <w:rFonts w:eastAsia="SimSun" w:cs="Times New Roman"/>
          <w:sz w:val="24"/>
          <w:szCs w:val="24"/>
          <w:lang w:eastAsia="zh-CN"/>
        </w:rPr>
        <w:t>eters of the samples taken from these points comply with the requirements of GOST (state standart) 950:2011.</w:t>
      </w:r>
    </w:p>
    <w:p w14:paraId="36A484DF" w14:textId="682F8CD2" w:rsidR="00A75A45" w:rsidRPr="00A75A45" w:rsidRDefault="00A75A45" w:rsidP="00F71D84">
      <w:pPr>
        <w:ind w:firstLine="567"/>
        <w:jc w:val="both"/>
        <w:rPr>
          <w:rFonts w:eastAsia="SimSun" w:cs="Times New Roman"/>
          <w:sz w:val="24"/>
          <w:szCs w:val="24"/>
          <w:lang w:eastAsia="zh-CN"/>
        </w:rPr>
      </w:pPr>
    </w:p>
    <w:p w14:paraId="321B5036" w14:textId="794B8ADD" w:rsidR="00A75A45" w:rsidRDefault="00A75A45" w:rsidP="00F71D84">
      <w:pPr>
        <w:jc w:val="center"/>
        <w:rPr>
          <w:rFonts w:eastAsia="SimSun" w:cs="Times New Roman"/>
          <w:b/>
          <w:bCs/>
          <w:iCs/>
          <w:sz w:val="24"/>
          <w:szCs w:val="24"/>
          <w:lang w:eastAsia="zh-CN"/>
        </w:rPr>
      </w:pPr>
      <w:r w:rsidRPr="00A75A45">
        <w:rPr>
          <w:rFonts w:eastAsia="SimSun" w:cs="Times New Roman"/>
          <w:b/>
          <w:bCs/>
          <w:iCs/>
          <w:sz w:val="24"/>
          <w:szCs w:val="24"/>
          <w:lang w:eastAsia="zh-CN"/>
        </w:rPr>
        <w:t>Bacteriological indicators of drinking water of Yunusabad district of Tashkent for the last two years (2020-2021)</w:t>
      </w:r>
    </w:p>
    <w:p w14:paraId="621B2ECD" w14:textId="77777777" w:rsidR="004F73E3" w:rsidRPr="00A75A45" w:rsidRDefault="004F73E3" w:rsidP="00F71D84">
      <w:pPr>
        <w:jc w:val="center"/>
        <w:rPr>
          <w:rFonts w:eastAsia="SimSun" w:cs="Times New Roman"/>
          <w:b/>
          <w:bCs/>
          <w:iCs/>
          <w:sz w:val="24"/>
          <w:szCs w:val="24"/>
          <w:lang w:eastAsia="zh-CN"/>
        </w:rPr>
      </w:pPr>
    </w:p>
    <w:tbl>
      <w:tblPr>
        <w:tblStyle w:val="1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9"/>
        <w:gridCol w:w="1419"/>
        <w:gridCol w:w="1419"/>
        <w:gridCol w:w="2323"/>
        <w:gridCol w:w="721"/>
        <w:gridCol w:w="1419"/>
      </w:tblGrid>
      <w:tr w:rsidR="00A75A45" w:rsidRPr="00A75A45" w14:paraId="02063268" w14:textId="77777777" w:rsidTr="004F73E3">
        <w:trPr>
          <w:jc w:val="center"/>
        </w:trPr>
        <w:tc>
          <w:tcPr>
            <w:tcW w:w="1419" w:type="dxa"/>
            <w:tcBorders>
              <w:top w:val="single" w:sz="4" w:space="0" w:color="auto"/>
              <w:left w:val="single" w:sz="4" w:space="0" w:color="auto"/>
              <w:bottom w:val="single" w:sz="4" w:space="0" w:color="auto"/>
              <w:right w:val="single" w:sz="4" w:space="0" w:color="auto"/>
            </w:tcBorders>
          </w:tcPr>
          <w:p w14:paraId="5CE1061A"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N</w:t>
            </w:r>
          </w:p>
        </w:tc>
        <w:tc>
          <w:tcPr>
            <w:tcW w:w="1419" w:type="dxa"/>
            <w:tcBorders>
              <w:top w:val="single" w:sz="4" w:space="0" w:color="auto"/>
              <w:left w:val="single" w:sz="4" w:space="0" w:color="auto"/>
              <w:bottom w:val="single" w:sz="4" w:space="0" w:color="auto"/>
              <w:right w:val="single" w:sz="4" w:space="0" w:color="auto"/>
            </w:tcBorders>
          </w:tcPr>
          <w:p w14:paraId="3FB3EF28"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Year</w:t>
            </w:r>
          </w:p>
        </w:tc>
        <w:tc>
          <w:tcPr>
            <w:tcW w:w="1419" w:type="dxa"/>
            <w:tcBorders>
              <w:top w:val="single" w:sz="4" w:space="0" w:color="auto"/>
              <w:left w:val="single" w:sz="4" w:space="0" w:color="auto"/>
              <w:bottom w:val="single" w:sz="4" w:space="0" w:color="auto"/>
              <w:right w:val="single" w:sz="4" w:space="0" w:color="auto"/>
            </w:tcBorders>
          </w:tcPr>
          <w:p w14:paraId="74EAB7F5" w14:textId="7777777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Indicators</w:t>
            </w:r>
          </w:p>
        </w:tc>
        <w:tc>
          <w:tcPr>
            <w:tcW w:w="2323" w:type="dxa"/>
            <w:tcBorders>
              <w:top w:val="single" w:sz="4" w:space="0" w:color="auto"/>
              <w:left w:val="single" w:sz="4" w:space="0" w:color="auto"/>
              <w:bottom w:val="single" w:sz="4" w:space="0" w:color="auto"/>
              <w:right w:val="single" w:sz="4" w:space="0" w:color="auto"/>
            </w:tcBorders>
          </w:tcPr>
          <w:p w14:paraId="6BA01774" w14:textId="6FECD93F"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Number of samples</w:t>
            </w:r>
          </w:p>
        </w:tc>
        <w:tc>
          <w:tcPr>
            <w:tcW w:w="721" w:type="dxa"/>
            <w:tcBorders>
              <w:top w:val="single" w:sz="4" w:space="0" w:color="auto"/>
              <w:left w:val="single" w:sz="4" w:space="0" w:color="auto"/>
              <w:bottom w:val="single" w:sz="4" w:space="0" w:color="auto"/>
              <w:right w:val="single" w:sz="4" w:space="0" w:color="auto"/>
            </w:tcBorders>
          </w:tcPr>
          <w:p w14:paraId="77B0BB3E" w14:textId="01D3E348"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w:t>
            </w:r>
          </w:p>
        </w:tc>
        <w:tc>
          <w:tcPr>
            <w:tcW w:w="1419" w:type="dxa"/>
            <w:tcBorders>
              <w:top w:val="single" w:sz="4" w:space="0" w:color="auto"/>
              <w:left w:val="single" w:sz="4" w:space="0" w:color="auto"/>
              <w:bottom w:val="single" w:sz="4" w:space="0" w:color="auto"/>
              <w:right w:val="single" w:sz="4" w:space="0" w:color="auto"/>
            </w:tcBorders>
          </w:tcPr>
          <w:p w14:paraId="385A79FA" w14:textId="071BAE65" w:rsidR="00A75A45" w:rsidRPr="00A75A45" w:rsidRDefault="004F73E3" w:rsidP="00F71D84">
            <w:pPr>
              <w:jc w:val="center"/>
              <w:rPr>
                <w:rFonts w:ascii="Times New Roman" w:hAnsi="Times New Roman"/>
                <w:b/>
                <w:bCs/>
                <w:sz w:val="24"/>
                <w:szCs w:val="24"/>
                <w:lang w:val="ru-RU"/>
              </w:rPr>
            </w:pPr>
            <w:r>
              <w:rPr>
                <w:rFonts w:ascii="Times New Roman" w:hAnsi="Times New Roman"/>
                <w:b/>
                <w:bCs/>
                <w:sz w:val="24"/>
                <w:szCs w:val="24"/>
                <w:lang w:val="ru-RU"/>
              </w:rPr>
              <w:t>-</w:t>
            </w:r>
          </w:p>
        </w:tc>
      </w:tr>
      <w:tr w:rsidR="00A75A45" w:rsidRPr="00A75A45" w14:paraId="7198B84F" w14:textId="77777777" w:rsidTr="004F73E3">
        <w:trPr>
          <w:jc w:val="center"/>
        </w:trPr>
        <w:tc>
          <w:tcPr>
            <w:tcW w:w="1419" w:type="dxa"/>
            <w:tcBorders>
              <w:top w:val="single" w:sz="4" w:space="0" w:color="auto"/>
              <w:left w:val="single" w:sz="4" w:space="0" w:color="auto"/>
              <w:bottom w:val="single" w:sz="4" w:space="0" w:color="auto"/>
              <w:right w:val="single" w:sz="4" w:space="0" w:color="auto"/>
            </w:tcBorders>
          </w:tcPr>
          <w:p w14:paraId="42C8774E" w14:textId="6CB558D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tcPr>
          <w:p w14:paraId="1F95B5AB"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2020</w:t>
            </w:r>
          </w:p>
        </w:tc>
        <w:tc>
          <w:tcPr>
            <w:tcW w:w="1419" w:type="dxa"/>
            <w:tcBorders>
              <w:top w:val="single" w:sz="4" w:space="0" w:color="auto"/>
              <w:left w:val="single" w:sz="4" w:space="0" w:color="auto"/>
              <w:bottom w:val="single" w:sz="4" w:space="0" w:color="auto"/>
              <w:right w:val="single" w:sz="4" w:space="0" w:color="auto"/>
            </w:tcBorders>
          </w:tcPr>
          <w:p w14:paraId="4D6732CB" w14:textId="041D882C"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TMN</w:t>
            </w:r>
          </w:p>
        </w:tc>
        <w:tc>
          <w:tcPr>
            <w:tcW w:w="2323" w:type="dxa"/>
            <w:tcBorders>
              <w:top w:val="single" w:sz="4" w:space="0" w:color="auto"/>
              <w:left w:val="single" w:sz="4" w:space="0" w:color="auto"/>
              <w:bottom w:val="single" w:sz="4" w:space="0" w:color="auto"/>
              <w:right w:val="single" w:sz="4" w:space="0" w:color="auto"/>
            </w:tcBorders>
          </w:tcPr>
          <w:p w14:paraId="0B146F24"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c>
          <w:tcPr>
            <w:tcW w:w="721" w:type="dxa"/>
            <w:tcBorders>
              <w:top w:val="single" w:sz="4" w:space="0" w:color="auto"/>
              <w:left w:val="single" w:sz="4" w:space="0" w:color="auto"/>
              <w:bottom w:val="single" w:sz="4" w:space="0" w:color="auto"/>
              <w:right w:val="single" w:sz="4" w:space="0" w:color="auto"/>
            </w:tcBorders>
          </w:tcPr>
          <w:p w14:paraId="29F85FF1" w14:textId="544ED922"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tcPr>
          <w:p w14:paraId="38856C4E"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698</w:t>
            </w:r>
          </w:p>
        </w:tc>
      </w:tr>
      <w:tr w:rsidR="00A75A45" w:rsidRPr="00A75A45" w14:paraId="14790820" w14:textId="77777777" w:rsidTr="004F73E3">
        <w:trPr>
          <w:jc w:val="center"/>
        </w:trPr>
        <w:tc>
          <w:tcPr>
            <w:tcW w:w="1419" w:type="dxa"/>
            <w:tcBorders>
              <w:top w:val="single" w:sz="4" w:space="0" w:color="auto"/>
              <w:left w:val="single" w:sz="4" w:space="0" w:color="auto"/>
              <w:bottom w:val="single" w:sz="4" w:space="0" w:color="auto"/>
              <w:right w:val="single" w:sz="4" w:space="0" w:color="auto"/>
            </w:tcBorders>
          </w:tcPr>
          <w:p w14:paraId="0AE3B5F3" w14:textId="7BFDBAA6"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tcPr>
          <w:p w14:paraId="5CC7D982"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2021</w:t>
            </w:r>
          </w:p>
        </w:tc>
        <w:tc>
          <w:tcPr>
            <w:tcW w:w="1419" w:type="dxa"/>
            <w:tcBorders>
              <w:top w:val="single" w:sz="4" w:space="0" w:color="auto"/>
              <w:left w:val="single" w:sz="4" w:space="0" w:color="auto"/>
              <w:bottom w:val="single" w:sz="4" w:space="0" w:color="auto"/>
              <w:right w:val="single" w:sz="4" w:space="0" w:color="auto"/>
            </w:tcBorders>
          </w:tcPr>
          <w:p w14:paraId="79F02CD6" w14:textId="4FEE7B20"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TMN</w:t>
            </w:r>
          </w:p>
        </w:tc>
        <w:tc>
          <w:tcPr>
            <w:tcW w:w="2323" w:type="dxa"/>
            <w:tcBorders>
              <w:top w:val="single" w:sz="4" w:space="0" w:color="auto"/>
              <w:left w:val="single" w:sz="4" w:space="0" w:color="auto"/>
              <w:bottom w:val="single" w:sz="4" w:space="0" w:color="auto"/>
              <w:right w:val="single" w:sz="4" w:space="0" w:color="auto"/>
            </w:tcBorders>
          </w:tcPr>
          <w:p w14:paraId="0DF4FB11"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c>
          <w:tcPr>
            <w:tcW w:w="721" w:type="dxa"/>
            <w:tcBorders>
              <w:top w:val="single" w:sz="4" w:space="0" w:color="auto"/>
              <w:left w:val="single" w:sz="4" w:space="0" w:color="auto"/>
              <w:bottom w:val="single" w:sz="4" w:space="0" w:color="auto"/>
              <w:right w:val="single" w:sz="4" w:space="0" w:color="auto"/>
            </w:tcBorders>
          </w:tcPr>
          <w:p w14:paraId="0A506F41" w14:textId="77777777" w:rsidR="00A75A45" w:rsidRPr="00A75A45" w:rsidRDefault="00A75A45" w:rsidP="00F71D84">
            <w:pPr>
              <w:jc w:val="center"/>
              <w:rPr>
                <w:rFonts w:ascii="Times New Roman" w:hAnsi="Times New Roman"/>
                <w:sz w:val="24"/>
                <w:szCs w:val="24"/>
                <w:lang w:val="ru-RU"/>
              </w:rPr>
            </w:pPr>
          </w:p>
        </w:tc>
        <w:tc>
          <w:tcPr>
            <w:tcW w:w="1419" w:type="dxa"/>
            <w:tcBorders>
              <w:top w:val="single" w:sz="4" w:space="0" w:color="auto"/>
              <w:left w:val="single" w:sz="4" w:space="0" w:color="auto"/>
              <w:bottom w:val="single" w:sz="4" w:space="0" w:color="auto"/>
              <w:right w:val="single" w:sz="4" w:space="0" w:color="auto"/>
            </w:tcBorders>
          </w:tcPr>
          <w:p w14:paraId="4AC8CD4E"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r>
      <w:tr w:rsidR="00A75A45" w:rsidRPr="00A75A45" w14:paraId="7D33668C" w14:textId="77777777" w:rsidTr="004F73E3">
        <w:trPr>
          <w:jc w:val="center"/>
        </w:trPr>
        <w:tc>
          <w:tcPr>
            <w:tcW w:w="1419" w:type="dxa"/>
            <w:tcBorders>
              <w:top w:val="single" w:sz="4" w:space="0" w:color="auto"/>
              <w:left w:val="single" w:sz="4" w:space="0" w:color="auto"/>
              <w:bottom w:val="single" w:sz="4" w:space="0" w:color="auto"/>
              <w:right w:val="single" w:sz="4" w:space="0" w:color="auto"/>
            </w:tcBorders>
          </w:tcPr>
          <w:p w14:paraId="02395E7D" w14:textId="0AF6482E"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14:paraId="6DEA90FD"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2020</w:t>
            </w:r>
          </w:p>
        </w:tc>
        <w:tc>
          <w:tcPr>
            <w:tcW w:w="1419" w:type="dxa"/>
            <w:tcBorders>
              <w:top w:val="single" w:sz="4" w:space="0" w:color="auto"/>
              <w:left w:val="single" w:sz="4" w:space="0" w:color="auto"/>
              <w:bottom w:val="single" w:sz="4" w:space="0" w:color="auto"/>
              <w:right w:val="single" w:sz="4" w:space="0" w:color="auto"/>
            </w:tcBorders>
          </w:tcPr>
          <w:p w14:paraId="5AC920DD" w14:textId="0045E33E"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if- index</w:t>
            </w:r>
          </w:p>
        </w:tc>
        <w:tc>
          <w:tcPr>
            <w:tcW w:w="2323" w:type="dxa"/>
            <w:tcBorders>
              <w:top w:val="single" w:sz="4" w:space="0" w:color="auto"/>
              <w:left w:val="single" w:sz="4" w:space="0" w:color="auto"/>
              <w:bottom w:val="single" w:sz="4" w:space="0" w:color="auto"/>
              <w:right w:val="single" w:sz="4" w:space="0" w:color="auto"/>
            </w:tcBorders>
          </w:tcPr>
          <w:p w14:paraId="70FE9EDD"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c>
          <w:tcPr>
            <w:tcW w:w="721" w:type="dxa"/>
            <w:tcBorders>
              <w:top w:val="single" w:sz="4" w:space="0" w:color="auto"/>
              <w:left w:val="single" w:sz="4" w:space="0" w:color="auto"/>
              <w:bottom w:val="single" w:sz="4" w:space="0" w:color="auto"/>
              <w:right w:val="single" w:sz="4" w:space="0" w:color="auto"/>
            </w:tcBorders>
          </w:tcPr>
          <w:p w14:paraId="732189A8" w14:textId="63DDDDC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tcPr>
          <w:p w14:paraId="68AAD828"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698</w:t>
            </w:r>
          </w:p>
        </w:tc>
      </w:tr>
      <w:tr w:rsidR="00A75A45" w:rsidRPr="00A75A45" w14:paraId="365F8D53" w14:textId="77777777" w:rsidTr="004F73E3">
        <w:trPr>
          <w:jc w:val="center"/>
        </w:trPr>
        <w:tc>
          <w:tcPr>
            <w:tcW w:w="1419" w:type="dxa"/>
            <w:tcBorders>
              <w:top w:val="single" w:sz="4" w:space="0" w:color="auto"/>
              <w:left w:val="single" w:sz="4" w:space="0" w:color="auto"/>
              <w:bottom w:val="single" w:sz="4" w:space="0" w:color="auto"/>
              <w:right w:val="single" w:sz="4" w:space="0" w:color="auto"/>
            </w:tcBorders>
          </w:tcPr>
          <w:p w14:paraId="37F1F7E7" w14:textId="142B78AC"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58C03A40"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2020</w:t>
            </w:r>
          </w:p>
        </w:tc>
        <w:tc>
          <w:tcPr>
            <w:tcW w:w="1419" w:type="dxa"/>
            <w:tcBorders>
              <w:top w:val="single" w:sz="4" w:space="0" w:color="auto"/>
              <w:left w:val="single" w:sz="4" w:space="0" w:color="auto"/>
              <w:bottom w:val="single" w:sz="4" w:space="0" w:color="auto"/>
              <w:right w:val="single" w:sz="4" w:space="0" w:color="auto"/>
            </w:tcBorders>
          </w:tcPr>
          <w:p w14:paraId="61878137" w14:textId="27CEBCE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if- index</w:t>
            </w:r>
          </w:p>
        </w:tc>
        <w:tc>
          <w:tcPr>
            <w:tcW w:w="2323" w:type="dxa"/>
            <w:tcBorders>
              <w:top w:val="single" w:sz="4" w:space="0" w:color="auto"/>
              <w:left w:val="single" w:sz="4" w:space="0" w:color="auto"/>
              <w:bottom w:val="single" w:sz="4" w:space="0" w:color="auto"/>
              <w:right w:val="single" w:sz="4" w:space="0" w:color="auto"/>
            </w:tcBorders>
          </w:tcPr>
          <w:p w14:paraId="2674FE43"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c>
          <w:tcPr>
            <w:tcW w:w="721" w:type="dxa"/>
            <w:tcBorders>
              <w:top w:val="single" w:sz="4" w:space="0" w:color="auto"/>
              <w:left w:val="single" w:sz="4" w:space="0" w:color="auto"/>
              <w:bottom w:val="single" w:sz="4" w:space="0" w:color="auto"/>
              <w:right w:val="single" w:sz="4" w:space="0" w:color="auto"/>
            </w:tcBorders>
          </w:tcPr>
          <w:p w14:paraId="714B1DAA" w14:textId="77777777" w:rsidR="00A75A45" w:rsidRPr="00A75A45" w:rsidRDefault="00A75A45" w:rsidP="00F71D84">
            <w:pPr>
              <w:jc w:val="center"/>
              <w:rPr>
                <w:rFonts w:ascii="Times New Roman" w:hAnsi="Times New Roman"/>
                <w:sz w:val="24"/>
                <w:szCs w:val="24"/>
                <w:lang w:val="ru-RU"/>
              </w:rPr>
            </w:pPr>
          </w:p>
        </w:tc>
        <w:tc>
          <w:tcPr>
            <w:tcW w:w="1419" w:type="dxa"/>
            <w:tcBorders>
              <w:top w:val="single" w:sz="4" w:space="0" w:color="auto"/>
              <w:left w:val="single" w:sz="4" w:space="0" w:color="auto"/>
              <w:bottom w:val="single" w:sz="4" w:space="0" w:color="auto"/>
              <w:right w:val="single" w:sz="4" w:space="0" w:color="auto"/>
            </w:tcBorders>
          </w:tcPr>
          <w:p w14:paraId="69BDEDFA"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700</w:t>
            </w:r>
          </w:p>
        </w:tc>
      </w:tr>
    </w:tbl>
    <w:p w14:paraId="687CF08F" w14:textId="77777777" w:rsidR="00F71D84" w:rsidRDefault="00F71D84" w:rsidP="00F71D84">
      <w:pPr>
        <w:ind w:firstLine="426"/>
        <w:rPr>
          <w:rFonts w:eastAsia="SimSun" w:cs="Times New Roman"/>
          <w:sz w:val="24"/>
          <w:szCs w:val="24"/>
          <w:lang w:eastAsia="zh-CN"/>
        </w:rPr>
      </w:pPr>
    </w:p>
    <w:p w14:paraId="5B31A338" w14:textId="76EC7622" w:rsidR="00833FFB" w:rsidRPr="00F71D84" w:rsidRDefault="00833FFB" w:rsidP="00F71D84">
      <w:pPr>
        <w:ind w:firstLine="426"/>
        <w:rPr>
          <w:rFonts w:eastAsia="SimSun" w:cs="Times New Roman"/>
          <w:i/>
          <w:iCs/>
          <w:sz w:val="24"/>
          <w:szCs w:val="24"/>
          <w:lang w:eastAsia="zh-CN"/>
        </w:rPr>
      </w:pPr>
      <w:r w:rsidRPr="00A75A45">
        <w:rPr>
          <w:rFonts w:eastAsia="SimSun" w:cs="Times New Roman"/>
          <w:i/>
          <w:iCs/>
          <w:sz w:val="24"/>
          <w:szCs w:val="24"/>
          <w:lang w:eastAsia="zh-CN"/>
        </w:rPr>
        <w:t>TMN – total microbial number</w:t>
      </w:r>
    </w:p>
    <w:p w14:paraId="757A7BCE" w14:textId="77777777" w:rsidR="00F71D84" w:rsidRDefault="00F71D84" w:rsidP="00F71D84">
      <w:pPr>
        <w:ind w:firstLine="426"/>
        <w:jc w:val="center"/>
        <w:rPr>
          <w:rFonts w:eastAsia="SimSun" w:cs="Times New Roman"/>
          <w:sz w:val="24"/>
          <w:szCs w:val="24"/>
          <w:lang w:eastAsia="zh-CN"/>
        </w:rPr>
      </w:pPr>
    </w:p>
    <w:p w14:paraId="4ADBE4F3" w14:textId="1A4F764F" w:rsidR="00F71D84" w:rsidRDefault="00F71D84" w:rsidP="00F71D84">
      <w:pPr>
        <w:ind w:firstLine="426"/>
        <w:jc w:val="center"/>
        <w:rPr>
          <w:rFonts w:eastAsia="SimSun" w:cs="Times New Roman"/>
          <w:sz w:val="24"/>
          <w:szCs w:val="24"/>
          <w:lang w:eastAsia="zh-CN"/>
        </w:rPr>
        <w:sectPr w:rsidR="00F71D84" w:rsidSect="00995DC2">
          <w:type w:val="continuous"/>
          <w:pgSz w:w="11907" w:h="16840" w:code="9"/>
          <w:pgMar w:top="1418" w:right="1134" w:bottom="1134" w:left="1134" w:header="907" w:footer="794" w:gutter="0"/>
          <w:cols w:space="708"/>
          <w:docGrid w:linePitch="381"/>
        </w:sectPr>
      </w:pPr>
    </w:p>
    <w:p w14:paraId="70EB0887" w14:textId="325C51CA" w:rsidR="00833FFB" w:rsidRDefault="00A75A45" w:rsidP="00F71D84">
      <w:pPr>
        <w:ind w:firstLine="567"/>
        <w:jc w:val="both"/>
        <w:rPr>
          <w:rFonts w:eastAsia="SimSun" w:cs="Times New Roman"/>
          <w:sz w:val="24"/>
          <w:szCs w:val="24"/>
          <w:lang w:eastAsia="zh-CN"/>
        </w:rPr>
        <w:sectPr w:rsidR="00833FFB" w:rsidSect="00833FFB">
          <w:type w:val="continuous"/>
          <w:pgSz w:w="11907" w:h="16840" w:code="9"/>
          <w:pgMar w:top="1418" w:right="1134" w:bottom="1134" w:left="1134" w:header="907" w:footer="794" w:gutter="0"/>
          <w:cols w:num="2" w:space="708"/>
          <w:docGrid w:linePitch="381"/>
        </w:sectPr>
      </w:pPr>
      <w:r w:rsidRPr="00A75A45">
        <w:rPr>
          <w:rFonts w:eastAsia="SimSun" w:cs="Times New Roman"/>
          <w:sz w:val="24"/>
          <w:szCs w:val="24"/>
          <w:lang w:eastAsia="zh-CN"/>
        </w:rPr>
        <w:t xml:space="preserve">The table shows that the bacteriological indicators obtained when supplying drinking water to residential areas of Yunusabad district comply with the norms of current legislation. The main reason for the deviation of the results by the number of pathogenic microorganisms </w:t>
      </w:r>
      <w:r w:rsidRPr="00A75A45">
        <w:rPr>
          <w:rFonts w:eastAsia="SimSun" w:cs="Times New Roman"/>
          <w:sz w:val="24"/>
          <w:szCs w:val="24"/>
          <w:lang w:eastAsia="zh-CN"/>
        </w:rPr>
        <w:t>is not a decrease in the efficiency of sanitary facilities at treatment facilities, but the pres</w:t>
      </w:r>
      <w:r w:rsidR="00833FFB">
        <w:rPr>
          <w:rFonts w:eastAsia="SimSun" w:cs="Times New Roman"/>
          <w:sz w:val="24"/>
          <w:szCs w:val="24"/>
          <w:lang w:eastAsia="zh-CN"/>
        </w:rPr>
        <w:softHyphen/>
      </w:r>
      <w:r w:rsidRPr="00A75A45">
        <w:rPr>
          <w:rFonts w:eastAsia="SimSun" w:cs="Times New Roman"/>
          <w:sz w:val="24"/>
          <w:szCs w:val="24"/>
          <w:lang w:eastAsia="zh-CN"/>
        </w:rPr>
        <w:t>ence of secondary sources of pollution added along the way from treatment facilities to resi</w:t>
      </w:r>
      <w:r w:rsidR="00833FFB">
        <w:rPr>
          <w:rFonts w:eastAsia="SimSun" w:cs="Times New Roman"/>
          <w:sz w:val="24"/>
          <w:szCs w:val="24"/>
          <w:lang w:eastAsia="zh-CN"/>
        </w:rPr>
        <w:softHyphen/>
      </w:r>
      <w:r w:rsidRPr="00A75A45">
        <w:rPr>
          <w:rFonts w:eastAsia="SimSun" w:cs="Times New Roman"/>
          <w:sz w:val="24"/>
          <w:szCs w:val="24"/>
          <w:lang w:eastAsia="zh-CN"/>
        </w:rPr>
        <w:t>dential areas</w:t>
      </w:r>
      <w:r w:rsidR="00833FFB" w:rsidRPr="00833FFB">
        <w:rPr>
          <w:rFonts w:eastAsia="SimSun" w:cs="Times New Roman"/>
          <w:sz w:val="24"/>
          <w:szCs w:val="24"/>
          <w:lang w:eastAsia="zh-CN"/>
        </w:rPr>
        <w:t>.</w:t>
      </w:r>
    </w:p>
    <w:p w14:paraId="14C6746C" w14:textId="3C20A161" w:rsidR="00A75A45" w:rsidRPr="00A75A45" w:rsidRDefault="00A75A45" w:rsidP="00F71D84">
      <w:pPr>
        <w:ind w:firstLine="567"/>
        <w:jc w:val="both"/>
        <w:rPr>
          <w:rFonts w:eastAsia="SimSun" w:cs="Times New Roman"/>
          <w:sz w:val="24"/>
          <w:szCs w:val="24"/>
          <w:lang w:eastAsia="zh-CN"/>
        </w:rPr>
      </w:pPr>
    </w:p>
    <w:p w14:paraId="6C5FF345" w14:textId="77777777" w:rsidR="00A75A45" w:rsidRPr="00A75A45" w:rsidRDefault="00A75A45" w:rsidP="00F71D84">
      <w:pPr>
        <w:ind w:firstLine="567"/>
        <w:jc w:val="both"/>
        <w:rPr>
          <w:rFonts w:eastAsia="SimSun" w:cs="Times New Roman"/>
          <w:b/>
          <w:bCs/>
          <w:sz w:val="24"/>
          <w:szCs w:val="24"/>
          <w:lang w:eastAsia="zh-CN"/>
        </w:rPr>
      </w:pPr>
      <w:r w:rsidRPr="00A75A45">
        <w:rPr>
          <w:rFonts w:eastAsia="SimSun" w:cs="Times New Roman"/>
          <w:b/>
          <w:bCs/>
          <w:sz w:val="24"/>
          <w:szCs w:val="24"/>
          <w:lang w:eastAsia="zh-CN"/>
        </w:rPr>
        <w:t>Physical and chemical analysis of drinking water in Yunusabad district (2020-2021)</w:t>
      </w:r>
    </w:p>
    <w:p w14:paraId="380486AB" w14:textId="77777777" w:rsidR="00A75A45" w:rsidRPr="00A75A45" w:rsidRDefault="00A75A45" w:rsidP="00F71D84">
      <w:pPr>
        <w:ind w:firstLine="567"/>
        <w:jc w:val="both"/>
        <w:rPr>
          <w:rFonts w:eastAsia="SimSun" w:cs="Times New Roman"/>
          <w:b/>
          <w:bCs/>
          <w:sz w:val="24"/>
          <w:szCs w:val="24"/>
          <w:lang w:eastAsia="zh-CN"/>
        </w:rPr>
      </w:pPr>
    </w:p>
    <w:tbl>
      <w:tblPr>
        <w:tblStyle w:val="1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4"/>
        <w:gridCol w:w="1559"/>
        <w:gridCol w:w="2276"/>
        <w:gridCol w:w="1134"/>
        <w:gridCol w:w="1134"/>
        <w:gridCol w:w="2571"/>
      </w:tblGrid>
      <w:tr w:rsidR="00A75A45" w:rsidRPr="00A75A45" w14:paraId="35AAFD7E"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20AF177A" w14:textId="77777777" w:rsidR="00A75A45" w:rsidRPr="00A75A45" w:rsidRDefault="00A75A45" w:rsidP="00F71D84">
            <w:pPr>
              <w:jc w:val="both"/>
              <w:rPr>
                <w:rFonts w:ascii="Times New Roman" w:hAnsi="Times New Roman"/>
                <w:b/>
                <w:bCs/>
                <w:sz w:val="24"/>
                <w:szCs w:val="24"/>
                <w:lang w:val="ru-RU"/>
              </w:rPr>
            </w:pPr>
            <w:r w:rsidRPr="00A75A45">
              <w:rPr>
                <w:rFonts w:ascii="Times New Roman" w:hAnsi="Times New Roman"/>
                <w:b/>
                <w:bCs/>
                <w:sz w:val="24"/>
                <w:szCs w:val="24"/>
              </w:rPr>
              <w:t xml:space="preserve">  N </w:t>
            </w:r>
          </w:p>
        </w:tc>
        <w:tc>
          <w:tcPr>
            <w:tcW w:w="1559" w:type="dxa"/>
            <w:tcBorders>
              <w:top w:val="single" w:sz="4" w:space="0" w:color="auto"/>
              <w:left w:val="single" w:sz="4" w:space="0" w:color="auto"/>
              <w:bottom w:val="single" w:sz="4" w:space="0" w:color="auto"/>
              <w:right w:val="single" w:sz="4" w:space="0" w:color="auto"/>
            </w:tcBorders>
          </w:tcPr>
          <w:p w14:paraId="7824767D" w14:textId="77777777" w:rsidR="00A75A45" w:rsidRPr="00A75A45" w:rsidRDefault="00A75A45" w:rsidP="00F71D84">
            <w:pPr>
              <w:jc w:val="both"/>
              <w:rPr>
                <w:rFonts w:ascii="Times New Roman" w:hAnsi="Times New Roman"/>
                <w:b/>
                <w:bCs/>
                <w:sz w:val="24"/>
                <w:szCs w:val="24"/>
                <w:lang w:val="ru-RU"/>
              </w:rPr>
            </w:pPr>
            <w:r w:rsidRPr="00A75A45">
              <w:rPr>
                <w:rFonts w:ascii="Times New Roman" w:hAnsi="Times New Roman"/>
                <w:b/>
                <w:bCs/>
                <w:sz w:val="24"/>
                <w:szCs w:val="24"/>
              </w:rPr>
              <w:t xml:space="preserve"> Indicators</w:t>
            </w:r>
          </w:p>
        </w:tc>
        <w:tc>
          <w:tcPr>
            <w:tcW w:w="2276" w:type="dxa"/>
            <w:tcBorders>
              <w:top w:val="single" w:sz="4" w:space="0" w:color="auto"/>
              <w:left w:val="single" w:sz="4" w:space="0" w:color="auto"/>
              <w:bottom w:val="single" w:sz="4" w:space="0" w:color="auto"/>
              <w:right w:val="single" w:sz="4" w:space="0" w:color="auto"/>
            </w:tcBorders>
          </w:tcPr>
          <w:p w14:paraId="29E28B14" w14:textId="17CDD747"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Number of samples</w:t>
            </w:r>
          </w:p>
        </w:tc>
        <w:tc>
          <w:tcPr>
            <w:tcW w:w="1134" w:type="dxa"/>
            <w:tcBorders>
              <w:top w:val="single" w:sz="4" w:space="0" w:color="auto"/>
              <w:left w:val="single" w:sz="4" w:space="0" w:color="auto"/>
              <w:bottom w:val="single" w:sz="4" w:space="0" w:color="auto"/>
              <w:right w:val="single" w:sz="4" w:space="0" w:color="auto"/>
            </w:tcBorders>
          </w:tcPr>
          <w:p w14:paraId="72FE46DE" w14:textId="4EC886B9"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2020 y</w:t>
            </w:r>
          </w:p>
        </w:tc>
        <w:tc>
          <w:tcPr>
            <w:tcW w:w="1134" w:type="dxa"/>
            <w:tcBorders>
              <w:top w:val="single" w:sz="4" w:space="0" w:color="auto"/>
              <w:left w:val="single" w:sz="4" w:space="0" w:color="auto"/>
              <w:bottom w:val="single" w:sz="4" w:space="0" w:color="auto"/>
              <w:right w:val="single" w:sz="4" w:space="0" w:color="auto"/>
            </w:tcBorders>
          </w:tcPr>
          <w:p w14:paraId="1FF1B33A" w14:textId="7DE54F6E"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2021 y</w:t>
            </w:r>
          </w:p>
        </w:tc>
        <w:tc>
          <w:tcPr>
            <w:tcW w:w="2571" w:type="dxa"/>
            <w:tcBorders>
              <w:top w:val="single" w:sz="4" w:space="0" w:color="auto"/>
              <w:left w:val="single" w:sz="4" w:space="0" w:color="auto"/>
              <w:bottom w:val="single" w:sz="4" w:space="0" w:color="auto"/>
              <w:right w:val="single" w:sz="4" w:space="0" w:color="auto"/>
            </w:tcBorders>
          </w:tcPr>
          <w:p w14:paraId="16758639" w14:textId="61252233" w:rsidR="00A75A45" w:rsidRPr="00A75A45" w:rsidRDefault="00A75A45" w:rsidP="00F71D84">
            <w:pPr>
              <w:jc w:val="center"/>
              <w:rPr>
                <w:rFonts w:ascii="Times New Roman" w:hAnsi="Times New Roman"/>
                <w:b/>
                <w:bCs/>
                <w:sz w:val="24"/>
                <w:szCs w:val="24"/>
                <w:lang w:val="ru-RU"/>
              </w:rPr>
            </w:pPr>
            <w:r w:rsidRPr="00A75A45">
              <w:rPr>
                <w:rFonts w:ascii="Times New Roman" w:hAnsi="Times New Roman"/>
                <w:b/>
                <w:bCs/>
                <w:sz w:val="24"/>
                <w:szCs w:val="24"/>
              </w:rPr>
              <w:t>MPC</w:t>
            </w:r>
          </w:p>
        </w:tc>
      </w:tr>
      <w:tr w:rsidR="00A75A45" w:rsidRPr="00A75A45" w14:paraId="597D177F"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7BCB9ADE" w14:textId="77777777"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1</w:t>
            </w:r>
          </w:p>
        </w:tc>
        <w:tc>
          <w:tcPr>
            <w:tcW w:w="1559" w:type="dxa"/>
            <w:tcBorders>
              <w:top w:val="single" w:sz="4" w:space="0" w:color="auto"/>
              <w:left w:val="single" w:sz="4" w:space="0" w:color="auto"/>
              <w:bottom w:val="single" w:sz="4" w:space="0" w:color="auto"/>
              <w:right w:val="single" w:sz="4" w:space="0" w:color="auto"/>
            </w:tcBorders>
          </w:tcPr>
          <w:p w14:paraId="4D013D85" w14:textId="1F2C7DE2"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Ammonia</w:t>
            </w:r>
          </w:p>
        </w:tc>
        <w:tc>
          <w:tcPr>
            <w:tcW w:w="2276" w:type="dxa"/>
            <w:tcBorders>
              <w:top w:val="single" w:sz="4" w:space="0" w:color="auto"/>
              <w:left w:val="single" w:sz="4" w:space="0" w:color="auto"/>
              <w:bottom w:val="single" w:sz="4" w:space="0" w:color="auto"/>
              <w:right w:val="single" w:sz="4" w:space="0" w:color="auto"/>
            </w:tcBorders>
          </w:tcPr>
          <w:p w14:paraId="43A1EF5B"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3668604F"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w:t>
            </w:r>
            <w:r w:rsidRPr="00A75A45">
              <w:rPr>
                <w:rFonts w:ascii="Times New Roman" w:hAnsi="Times New Roman"/>
                <w:sz w:val="24"/>
                <w:szCs w:val="24"/>
                <w:lang w:val="uz-Cyrl-UZ"/>
              </w:rPr>
              <w:t>,</w:t>
            </w:r>
            <w:r w:rsidRPr="00A75A45">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14:paraId="5D437FE7"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018EAC85"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0,01 mg/dm³</w:t>
            </w:r>
          </w:p>
        </w:tc>
      </w:tr>
      <w:tr w:rsidR="00A75A45" w:rsidRPr="00A75A45" w14:paraId="5D2AD367"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2EFB5149" w14:textId="0ED4ABC8"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tcPr>
          <w:p w14:paraId="7A6A1CE8" w14:textId="77777777"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Nitrites</w:t>
            </w:r>
          </w:p>
        </w:tc>
        <w:tc>
          <w:tcPr>
            <w:tcW w:w="2276" w:type="dxa"/>
            <w:tcBorders>
              <w:top w:val="single" w:sz="4" w:space="0" w:color="auto"/>
              <w:left w:val="single" w:sz="4" w:space="0" w:color="auto"/>
              <w:bottom w:val="single" w:sz="4" w:space="0" w:color="auto"/>
              <w:right w:val="single" w:sz="4" w:space="0" w:color="auto"/>
            </w:tcBorders>
          </w:tcPr>
          <w:p w14:paraId="53E3E3BF"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68A4ECC7"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0,00</w:t>
            </w:r>
          </w:p>
        </w:tc>
        <w:tc>
          <w:tcPr>
            <w:tcW w:w="1134" w:type="dxa"/>
            <w:tcBorders>
              <w:top w:val="single" w:sz="4" w:space="0" w:color="auto"/>
              <w:left w:val="single" w:sz="4" w:space="0" w:color="auto"/>
              <w:bottom w:val="single" w:sz="4" w:space="0" w:color="auto"/>
              <w:right w:val="single" w:sz="4" w:space="0" w:color="auto"/>
            </w:tcBorders>
          </w:tcPr>
          <w:p w14:paraId="1A1C78B2"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514EF571"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2-3 mg/dm³</w:t>
            </w:r>
          </w:p>
        </w:tc>
      </w:tr>
      <w:tr w:rsidR="00A75A45" w:rsidRPr="00A75A45" w14:paraId="6586E257"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4EFD1113" w14:textId="0FCEE1FD"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3</w:t>
            </w:r>
          </w:p>
        </w:tc>
        <w:tc>
          <w:tcPr>
            <w:tcW w:w="1559" w:type="dxa"/>
            <w:tcBorders>
              <w:top w:val="single" w:sz="4" w:space="0" w:color="auto"/>
              <w:left w:val="single" w:sz="4" w:space="0" w:color="auto"/>
              <w:bottom w:val="single" w:sz="4" w:space="0" w:color="auto"/>
              <w:right w:val="single" w:sz="4" w:space="0" w:color="auto"/>
            </w:tcBorders>
          </w:tcPr>
          <w:p w14:paraId="5D84ED01" w14:textId="77777777"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Nitrates </w:t>
            </w:r>
          </w:p>
        </w:tc>
        <w:tc>
          <w:tcPr>
            <w:tcW w:w="2276" w:type="dxa"/>
            <w:tcBorders>
              <w:top w:val="single" w:sz="4" w:space="0" w:color="auto"/>
              <w:left w:val="single" w:sz="4" w:space="0" w:color="auto"/>
              <w:bottom w:val="single" w:sz="4" w:space="0" w:color="auto"/>
              <w:right w:val="single" w:sz="4" w:space="0" w:color="auto"/>
            </w:tcBorders>
          </w:tcPr>
          <w:p w14:paraId="4F8516CE"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3FC8B5B4"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7,32</w:t>
            </w:r>
          </w:p>
        </w:tc>
        <w:tc>
          <w:tcPr>
            <w:tcW w:w="1134" w:type="dxa"/>
            <w:tcBorders>
              <w:top w:val="single" w:sz="4" w:space="0" w:color="auto"/>
              <w:left w:val="single" w:sz="4" w:space="0" w:color="auto"/>
              <w:bottom w:val="single" w:sz="4" w:space="0" w:color="auto"/>
              <w:right w:val="single" w:sz="4" w:space="0" w:color="auto"/>
            </w:tcBorders>
          </w:tcPr>
          <w:p w14:paraId="11EF7E34"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6,65</w:t>
            </w:r>
          </w:p>
        </w:tc>
        <w:tc>
          <w:tcPr>
            <w:tcW w:w="2571" w:type="dxa"/>
            <w:tcBorders>
              <w:top w:val="single" w:sz="4" w:space="0" w:color="auto"/>
              <w:left w:val="single" w:sz="4" w:space="0" w:color="auto"/>
              <w:bottom w:val="single" w:sz="4" w:space="0" w:color="auto"/>
              <w:right w:val="single" w:sz="4" w:space="0" w:color="auto"/>
            </w:tcBorders>
          </w:tcPr>
          <w:p w14:paraId="2BC95321"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45 mg/dm³</w:t>
            </w:r>
          </w:p>
        </w:tc>
      </w:tr>
      <w:tr w:rsidR="00A75A45" w:rsidRPr="00A75A45" w14:paraId="0089EBC0"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02A61D25" w14:textId="0EC06FF3"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4</w:t>
            </w:r>
          </w:p>
        </w:tc>
        <w:tc>
          <w:tcPr>
            <w:tcW w:w="1559" w:type="dxa"/>
            <w:tcBorders>
              <w:top w:val="single" w:sz="4" w:space="0" w:color="auto"/>
              <w:left w:val="single" w:sz="4" w:space="0" w:color="auto"/>
              <w:bottom w:val="single" w:sz="4" w:space="0" w:color="auto"/>
              <w:right w:val="single" w:sz="4" w:space="0" w:color="auto"/>
            </w:tcBorders>
          </w:tcPr>
          <w:p w14:paraId="39B8B962" w14:textId="08E602F9"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Sulfates</w:t>
            </w:r>
          </w:p>
        </w:tc>
        <w:tc>
          <w:tcPr>
            <w:tcW w:w="2276" w:type="dxa"/>
            <w:tcBorders>
              <w:top w:val="single" w:sz="4" w:space="0" w:color="auto"/>
              <w:left w:val="single" w:sz="4" w:space="0" w:color="auto"/>
              <w:bottom w:val="single" w:sz="4" w:space="0" w:color="auto"/>
              <w:right w:val="single" w:sz="4" w:space="0" w:color="auto"/>
            </w:tcBorders>
          </w:tcPr>
          <w:p w14:paraId="7EACAD22"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417ADB9A"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27,6</w:t>
            </w:r>
          </w:p>
        </w:tc>
        <w:tc>
          <w:tcPr>
            <w:tcW w:w="1134" w:type="dxa"/>
            <w:tcBorders>
              <w:top w:val="single" w:sz="4" w:space="0" w:color="auto"/>
              <w:left w:val="single" w:sz="4" w:space="0" w:color="auto"/>
              <w:bottom w:val="single" w:sz="4" w:space="0" w:color="auto"/>
              <w:right w:val="single" w:sz="4" w:space="0" w:color="auto"/>
            </w:tcBorders>
          </w:tcPr>
          <w:p w14:paraId="21476C4D"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27,8</w:t>
            </w:r>
          </w:p>
        </w:tc>
        <w:tc>
          <w:tcPr>
            <w:tcW w:w="2571" w:type="dxa"/>
            <w:tcBorders>
              <w:top w:val="single" w:sz="4" w:space="0" w:color="auto"/>
              <w:left w:val="single" w:sz="4" w:space="0" w:color="auto"/>
              <w:bottom w:val="single" w:sz="4" w:space="0" w:color="auto"/>
              <w:right w:val="single" w:sz="4" w:space="0" w:color="auto"/>
            </w:tcBorders>
          </w:tcPr>
          <w:p w14:paraId="4C129925"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400-500 mg/dm³</w:t>
            </w:r>
          </w:p>
        </w:tc>
      </w:tr>
      <w:tr w:rsidR="00A75A45" w:rsidRPr="00A75A45" w14:paraId="39BD99B0"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4625C6EB" w14:textId="07937C6D"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5</w:t>
            </w:r>
          </w:p>
        </w:tc>
        <w:tc>
          <w:tcPr>
            <w:tcW w:w="1559" w:type="dxa"/>
            <w:tcBorders>
              <w:top w:val="single" w:sz="4" w:space="0" w:color="auto"/>
              <w:left w:val="single" w:sz="4" w:space="0" w:color="auto"/>
              <w:bottom w:val="single" w:sz="4" w:space="0" w:color="auto"/>
              <w:right w:val="single" w:sz="4" w:space="0" w:color="auto"/>
            </w:tcBorders>
          </w:tcPr>
          <w:p w14:paraId="324CF89E" w14:textId="7B0CC2F3"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Chlorides</w:t>
            </w:r>
          </w:p>
        </w:tc>
        <w:tc>
          <w:tcPr>
            <w:tcW w:w="2276" w:type="dxa"/>
            <w:tcBorders>
              <w:top w:val="single" w:sz="4" w:space="0" w:color="auto"/>
              <w:left w:val="single" w:sz="4" w:space="0" w:color="auto"/>
              <w:bottom w:val="single" w:sz="4" w:space="0" w:color="auto"/>
              <w:right w:val="single" w:sz="4" w:space="0" w:color="auto"/>
            </w:tcBorders>
          </w:tcPr>
          <w:p w14:paraId="4DEAA322"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3D81321C" w14:textId="689DE673"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14:paraId="206C1F16"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5,13</w:t>
            </w:r>
          </w:p>
        </w:tc>
        <w:tc>
          <w:tcPr>
            <w:tcW w:w="2571" w:type="dxa"/>
            <w:tcBorders>
              <w:top w:val="single" w:sz="4" w:space="0" w:color="auto"/>
              <w:left w:val="single" w:sz="4" w:space="0" w:color="auto"/>
              <w:bottom w:val="single" w:sz="4" w:space="0" w:color="auto"/>
              <w:right w:val="single" w:sz="4" w:space="0" w:color="auto"/>
            </w:tcBorders>
          </w:tcPr>
          <w:p w14:paraId="6EF14A55"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230-250 mg/dm³</w:t>
            </w:r>
          </w:p>
        </w:tc>
      </w:tr>
      <w:tr w:rsidR="00A75A45" w:rsidRPr="00A75A45" w14:paraId="60C1D2D1" w14:textId="77777777" w:rsidTr="00833FFB">
        <w:trPr>
          <w:jc w:val="center"/>
        </w:trPr>
        <w:tc>
          <w:tcPr>
            <w:tcW w:w="704" w:type="dxa"/>
            <w:tcBorders>
              <w:top w:val="single" w:sz="4" w:space="0" w:color="auto"/>
              <w:left w:val="single" w:sz="4" w:space="0" w:color="auto"/>
              <w:bottom w:val="single" w:sz="4" w:space="0" w:color="auto"/>
              <w:right w:val="single" w:sz="4" w:space="0" w:color="auto"/>
            </w:tcBorders>
          </w:tcPr>
          <w:p w14:paraId="39BDC3B0" w14:textId="401921A5"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 6</w:t>
            </w:r>
          </w:p>
        </w:tc>
        <w:tc>
          <w:tcPr>
            <w:tcW w:w="1559" w:type="dxa"/>
            <w:tcBorders>
              <w:top w:val="single" w:sz="4" w:space="0" w:color="auto"/>
              <w:left w:val="single" w:sz="4" w:space="0" w:color="auto"/>
              <w:bottom w:val="single" w:sz="4" w:space="0" w:color="auto"/>
              <w:right w:val="single" w:sz="4" w:space="0" w:color="auto"/>
            </w:tcBorders>
          </w:tcPr>
          <w:p w14:paraId="40090D1B" w14:textId="339FE2D5" w:rsidR="00A75A45" w:rsidRPr="00A75A45" w:rsidRDefault="00A75A45" w:rsidP="00F71D84">
            <w:pPr>
              <w:jc w:val="both"/>
              <w:rPr>
                <w:rFonts w:ascii="Times New Roman" w:hAnsi="Times New Roman"/>
                <w:sz w:val="24"/>
                <w:szCs w:val="24"/>
                <w:lang w:val="ru-RU"/>
              </w:rPr>
            </w:pPr>
            <w:r w:rsidRPr="00A75A45">
              <w:rPr>
                <w:rFonts w:ascii="Times New Roman" w:hAnsi="Times New Roman"/>
                <w:sz w:val="24"/>
                <w:szCs w:val="24"/>
              </w:rPr>
              <w:t xml:space="preserve">Iron </w:t>
            </w:r>
          </w:p>
        </w:tc>
        <w:tc>
          <w:tcPr>
            <w:tcW w:w="2276" w:type="dxa"/>
            <w:tcBorders>
              <w:top w:val="single" w:sz="4" w:space="0" w:color="auto"/>
              <w:left w:val="single" w:sz="4" w:space="0" w:color="auto"/>
              <w:bottom w:val="single" w:sz="4" w:space="0" w:color="auto"/>
              <w:right w:val="single" w:sz="4" w:space="0" w:color="auto"/>
            </w:tcBorders>
          </w:tcPr>
          <w:p w14:paraId="36489A4D"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tcPr>
          <w:p w14:paraId="1A545F7B"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0,115</w:t>
            </w:r>
          </w:p>
        </w:tc>
        <w:tc>
          <w:tcPr>
            <w:tcW w:w="1134" w:type="dxa"/>
            <w:tcBorders>
              <w:top w:val="single" w:sz="4" w:space="0" w:color="auto"/>
              <w:left w:val="single" w:sz="4" w:space="0" w:color="auto"/>
              <w:bottom w:val="single" w:sz="4" w:space="0" w:color="auto"/>
              <w:right w:val="single" w:sz="4" w:space="0" w:color="auto"/>
            </w:tcBorders>
          </w:tcPr>
          <w:p w14:paraId="31DFAD8D" w14:textId="7777777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0,097</w:t>
            </w:r>
          </w:p>
        </w:tc>
        <w:tc>
          <w:tcPr>
            <w:tcW w:w="2571" w:type="dxa"/>
            <w:tcBorders>
              <w:top w:val="single" w:sz="4" w:space="0" w:color="auto"/>
              <w:left w:val="single" w:sz="4" w:space="0" w:color="auto"/>
              <w:bottom w:val="single" w:sz="4" w:space="0" w:color="auto"/>
              <w:right w:val="single" w:sz="4" w:space="0" w:color="auto"/>
            </w:tcBorders>
          </w:tcPr>
          <w:p w14:paraId="6D11D914" w14:textId="120112C7" w:rsidR="00A75A45" w:rsidRPr="00A75A45" w:rsidRDefault="00A75A45" w:rsidP="00F71D84">
            <w:pPr>
              <w:jc w:val="center"/>
              <w:rPr>
                <w:rFonts w:ascii="Times New Roman" w:hAnsi="Times New Roman"/>
                <w:sz w:val="24"/>
                <w:szCs w:val="24"/>
                <w:lang w:val="ru-RU"/>
              </w:rPr>
            </w:pPr>
            <w:r w:rsidRPr="00A75A45">
              <w:rPr>
                <w:rFonts w:ascii="Times New Roman" w:hAnsi="Times New Roman"/>
                <w:sz w:val="24"/>
                <w:szCs w:val="24"/>
              </w:rPr>
              <w:t>0,</w:t>
            </w:r>
            <w:r w:rsidR="00833FFB" w:rsidRPr="00A75A45">
              <w:rPr>
                <w:rFonts w:ascii="Times New Roman" w:hAnsi="Times New Roman"/>
                <w:sz w:val="24"/>
                <w:szCs w:val="24"/>
              </w:rPr>
              <w:t>3 mg</w:t>
            </w:r>
            <w:r w:rsidRPr="00A75A45">
              <w:rPr>
                <w:rFonts w:ascii="Times New Roman" w:hAnsi="Times New Roman"/>
                <w:sz w:val="24"/>
                <w:szCs w:val="24"/>
              </w:rPr>
              <w:t>/dm³</w:t>
            </w:r>
          </w:p>
        </w:tc>
      </w:tr>
    </w:tbl>
    <w:p w14:paraId="7250BE3D" w14:textId="77777777" w:rsidR="00F71D84" w:rsidRDefault="00F71D84" w:rsidP="00F71D84">
      <w:pPr>
        <w:ind w:firstLine="567"/>
        <w:jc w:val="both"/>
        <w:rPr>
          <w:rFonts w:eastAsia="SimSun" w:cs="Times New Roman"/>
          <w:sz w:val="24"/>
          <w:szCs w:val="24"/>
          <w:lang w:eastAsia="zh-CN"/>
        </w:rPr>
      </w:pPr>
    </w:p>
    <w:p w14:paraId="4B5EBD5E" w14:textId="2606EA21" w:rsidR="00A75A45" w:rsidRPr="00A75A45" w:rsidRDefault="00A75A45" w:rsidP="00F71D84">
      <w:pPr>
        <w:ind w:firstLine="567"/>
        <w:jc w:val="both"/>
        <w:rPr>
          <w:rFonts w:eastAsia="SimSun" w:cs="Times New Roman"/>
          <w:i/>
          <w:iCs/>
          <w:sz w:val="24"/>
          <w:szCs w:val="24"/>
          <w:lang w:eastAsia="zh-CN"/>
        </w:rPr>
      </w:pPr>
      <w:r w:rsidRPr="00A75A45">
        <w:rPr>
          <w:rFonts w:eastAsia="SimSun" w:cs="Times New Roman"/>
          <w:i/>
          <w:iCs/>
          <w:sz w:val="24"/>
          <w:szCs w:val="24"/>
          <w:lang w:eastAsia="zh-CN"/>
        </w:rPr>
        <w:t>MPC – maximum permissible concentration</w:t>
      </w:r>
    </w:p>
    <w:p w14:paraId="74095B77" w14:textId="77777777" w:rsidR="00F71D84" w:rsidRDefault="00F71D84" w:rsidP="00A75A45">
      <w:pPr>
        <w:spacing w:line="276" w:lineRule="auto"/>
        <w:ind w:firstLine="567"/>
        <w:jc w:val="both"/>
        <w:rPr>
          <w:rFonts w:eastAsia="SimSun" w:cs="Times New Roman"/>
          <w:sz w:val="24"/>
          <w:szCs w:val="24"/>
          <w:lang w:eastAsia="zh-CN"/>
        </w:rPr>
      </w:pPr>
    </w:p>
    <w:p w14:paraId="7FEC2631" w14:textId="77777777" w:rsidR="00F71D84" w:rsidRDefault="00F71D84" w:rsidP="00A75A45">
      <w:pPr>
        <w:spacing w:line="276" w:lineRule="auto"/>
        <w:ind w:firstLine="567"/>
        <w:jc w:val="both"/>
        <w:rPr>
          <w:rFonts w:eastAsia="SimSun" w:cs="Times New Roman"/>
          <w:sz w:val="24"/>
          <w:szCs w:val="24"/>
          <w:lang w:eastAsia="zh-CN"/>
        </w:rPr>
        <w:sectPr w:rsidR="00F71D84" w:rsidSect="00995DC2">
          <w:type w:val="continuous"/>
          <w:pgSz w:w="11907" w:h="16840" w:code="9"/>
          <w:pgMar w:top="1418" w:right="1134" w:bottom="1134" w:left="1134" w:header="907" w:footer="794" w:gutter="0"/>
          <w:cols w:space="708"/>
          <w:docGrid w:linePitch="381"/>
        </w:sectPr>
      </w:pPr>
    </w:p>
    <w:p w14:paraId="1788DAC1" w14:textId="306028C8"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lastRenderedPageBreak/>
        <w:t>Chemical indicators of the centralized drinking water supply system are evaluated mainly with complete and short sampling from the water supply. The indicators in the samples correspond only to the hygienic indicators of the current legislation on individual micro- and macroelements, including the technical and hygienic effectiveness of centralized treatment of the population of the Yunusabad district from local water supply, but deviations from the established norms arise due to technical malfunction of the devices.</w:t>
      </w:r>
    </w:p>
    <w:p w14:paraId="783CDF86" w14:textId="7A0AB2A9"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According to the chemical analysis of the population from the centralized drinking water supply system, the amount of fluoride in the centralized water supply system in 2020-2021 was 0.2-0.3 mg/l, according to the samples taken. This indicator does not fully comply with the requirements of </w:t>
      </w:r>
      <w:r w:rsidR="00F71D84" w:rsidRPr="00A75A45">
        <w:rPr>
          <w:rFonts w:eastAsia="SimSun" w:cs="Times New Roman"/>
          <w:sz w:val="24"/>
          <w:szCs w:val="24"/>
          <w:lang w:eastAsia="zh-CN"/>
        </w:rPr>
        <w:t>GOST (state</w:t>
      </w:r>
      <w:r w:rsidRPr="00A75A45">
        <w:rPr>
          <w:rFonts w:eastAsia="SimSun" w:cs="Times New Roman"/>
          <w:sz w:val="24"/>
          <w:szCs w:val="24"/>
          <w:lang w:eastAsia="zh-CN"/>
        </w:rPr>
        <w:t xml:space="preserve"> standart) 950:2011.</w:t>
      </w:r>
    </w:p>
    <w:p w14:paraId="52580779" w14:textId="0EFC8FBF"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When studying water-related diseases, the following indicators were studied in Yun</w:t>
      </w:r>
      <w:r w:rsidR="00F71D84">
        <w:rPr>
          <w:rFonts w:eastAsia="SimSun" w:cs="Times New Roman"/>
          <w:sz w:val="24"/>
          <w:szCs w:val="24"/>
          <w:lang w:eastAsia="zh-CN"/>
        </w:rPr>
        <w:softHyphen/>
      </w:r>
      <w:r w:rsidRPr="00A75A45">
        <w:rPr>
          <w:rFonts w:eastAsia="SimSun" w:cs="Times New Roman"/>
          <w:sz w:val="24"/>
          <w:szCs w:val="24"/>
          <w:lang w:eastAsia="zh-CN"/>
        </w:rPr>
        <w:t>usabad district:</w:t>
      </w:r>
    </w:p>
    <w:p w14:paraId="16238719" w14:textId="50DD5C08"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General morbidity in the following ar</w:t>
      </w:r>
      <w:r w:rsidR="00F71D84">
        <w:rPr>
          <w:rFonts w:eastAsia="SimSun" w:cs="Times New Roman"/>
          <w:sz w:val="24"/>
          <w:szCs w:val="24"/>
          <w:lang w:eastAsia="zh-CN"/>
        </w:rPr>
        <w:softHyphen/>
      </w:r>
      <w:r w:rsidRPr="00A75A45">
        <w:rPr>
          <w:rFonts w:eastAsia="SimSun" w:cs="Times New Roman"/>
          <w:sz w:val="24"/>
          <w:szCs w:val="24"/>
          <w:lang w:eastAsia="zh-CN"/>
        </w:rPr>
        <w:t>eas:</w:t>
      </w:r>
    </w:p>
    <w:p w14:paraId="6C029143" w14:textId="77777777"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1. Intestinal infections.</w:t>
      </w:r>
    </w:p>
    <w:p w14:paraId="398BA69C" w14:textId="77777777"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2. gallstone and kidney stone diseases </w:t>
      </w:r>
    </w:p>
    <w:p w14:paraId="3D837E79" w14:textId="77777777"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3. Hepatitis A.</w:t>
      </w:r>
    </w:p>
    <w:p w14:paraId="7897AC97" w14:textId="308FCC71"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In 2019, primary morbidity among chil</w:t>
      </w:r>
      <w:r w:rsidR="00F71D84">
        <w:rPr>
          <w:rFonts w:eastAsia="SimSun" w:cs="Times New Roman"/>
          <w:sz w:val="24"/>
          <w:szCs w:val="24"/>
          <w:lang w:eastAsia="zh-CN"/>
        </w:rPr>
        <w:softHyphen/>
      </w:r>
      <w:r w:rsidRPr="00A75A45">
        <w:rPr>
          <w:rFonts w:eastAsia="SimSun" w:cs="Times New Roman"/>
          <w:sz w:val="24"/>
          <w:szCs w:val="24"/>
          <w:lang w:eastAsia="zh-CN"/>
        </w:rPr>
        <w:t>dren increased. This year, the overall incidence rate was 38 per 100 children, while in 2018 this figure was 22. The highest place in the struc</w:t>
      </w:r>
      <w:r w:rsidR="00F71D84">
        <w:rPr>
          <w:rFonts w:eastAsia="SimSun" w:cs="Times New Roman"/>
          <w:sz w:val="24"/>
          <w:szCs w:val="24"/>
          <w:lang w:eastAsia="zh-CN"/>
        </w:rPr>
        <w:softHyphen/>
      </w:r>
      <w:r w:rsidRPr="00A75A45">
        <w:rPr>
          <w:rFonts w:eastAsia="SimSun" w:cs="Times New Roman"/>
          <w:sz w:val="24"/>
          <w:szCs w:val="24"/>
          <w:lang w:eastAsia="zh-CN"/>
        </w:rPr>
        <w:t>ture of morbidity was occupied by diseases of the upper respiratory tract, the second place - diseases of the digestive system, the third place - diseases of the musculoskeletal system. Among adolescents in the last 2 years, diseases of the blood, circulatory system, and genital tract occupy a high place.</w:t>
      </w:r>
    </w:p>
    <w:p w14:paraId="6DC50561" w14:textId="7A1AA5EF"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According to the authors, the traditional method of disinfection of water using chlorine reagents also has a negative impact on the health of children. Excessive use of various chlorine compounds and additives to neutralize pathogenic microorganisms in water leads to </w:t>
      </w:r>
      <w:r w:rsidRPr="00A75A45">
        <w:rPr>
          <w:rFonts w:eastAsia="SimSun" w:cs="Times New Roman"/>
          <w:sz w:val="24"/>
          <w:szCs w:val="24"/>
          <w:lang w:eastAsia="zh-CN"/>
        </w:rPr>
        <w:t>the development of oncological and skin dis</w:t>
      </w:r>
      <w:r w:rsidR="00F71D84">
        <w:rPr>
          <w:rFonts w:eastAsia="SimSun" w:cs="Times New Roman"/>
          <w:sz w:val="24"/>
          <w:szCs w:val="24"/>
          <w:lang w:eastAsia="zh-CN"/>
        </w:rPr>
        <w:softHyphen/>
      </w:r>
      <w:r w:rsidRPr="00A75A45">
        <w:rPr>
          <w:rFonts w:eastAsia="SimSun" w:cs="Times New Roman"/>
          <w:sz w:val="24"/>
          <w:szCs w:val="24"/>
          <w:lang w:eastAsia="zh-CN"/>
        </w:rPr>
        <w:t>eases in children.</w:t>
      </w:r>
    </w:p>
    <w:p w14:paraId="41110232" w14:textId="77777777" w:rsidR="00C40205" w:rsidRDefault="00C40205" w:rsidP="00F71D84">
      <w:pPr>
        <w:spacing w:line="276" w:lineRule="auto"/>
        <w:jc w:val="center"/>
        <w:rPr>
          <w:rFonts w:eastAsia="SimSun" w:cs="Times New Roman"/>
          <w:b/>
          <w:bCs/>
          <w:sz w:val="24"/>
          <w:szCs w:val="24"/>
          <w:lang w:eastAsia="zh-CN"/>
        </w:rPr>
      </w:pPr>
    </w:p>
    <w:p w14:paraId="3A6C4310" w14:textId="48D8D285" w:rsidR="00A75A45" w:rsidRDefault="00F71D84" w:rsidP="00F71D84">
      <w:pPr>
        <w:spacing w:line="276" w:lineRule="auto"/>
        <w:jc w:val="center"/>
        <w:rPr>
          <w:rFonts w:eastAsia="SimSun" w:cs="Times New Roman"/>
          <w:sz w:val="24"/>
          <w:szCs w:val="24"/>
          <w:lang w:eastAsia="zh-CN"/>
        </w:rPr>
      </w:pPr>
      <w:r w:rsidRPr="00A75A45">
        <w:rPr>
          <w:rFonts w:eastAsia="SimSun" w:cs="Times New Roman"/>
          <w:b/>
          <w:bCs/>
          <w:sz w:val="24"/>
          <w:szCs w:val="24"/>
          <w:lang w:eastAsia="zh-CN"/>
        </w:rPr>
        <w:t>CONCLUSIONS</w:t>
      </w:r>
    </w:p>
    <w:p w14:paraId="3BE578FC" w14:textId="77777777" w:rsidR="00F71D84" w:rsidRPr="00A75A45" w:rsidRDefault="00F71D84" w:rsidP="00F71D84">
      <w:pPr>
        <w:spacing w:line="276" w:lineRule="auto"/>
        <w:jc w:val="center"/>
        <w:rPr>
          <w:rFonts w:eastAsia="SimSun" w:cs="Times New Roman"/>
          <w:sz w:val="24"/>
          <w:szCs w:val="24"/>
          <w:lang w:eastAsia="zh-CN"/>
        </w:rPr>
      </w:pPr>
    </w:p>
    <w:p w14:paraId="66559B25" w14:textId="6B3658B7" w:rsidR="00A75A45" w:rsidRPr="00A75A45" w:rsidRDefault="00F71D84"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1. The</w:t>
      </w:r>
      <w:r w:rsidR="00A75A45" w:rsidRPr="00A75A45">
        <w:rPr>
          <w:rFonts w:eastAsia="SimSun" w:cs="Times New Roman"/>
          <w:sz w:val="24"/>
          <w:szCs w:val="24"/>
          <w:lang w:eastAsia="zh-CN"/>
        </w:rPr>
        <w:t xml:space="preserve"> indicators of centralized drinking water supply of the population of the Yunusa</w:t>
      </w:r>
      <w:r>
        <w:rPr>
          <w:rFonts w:eastAsia="SimSun" w:cs="Times New Roman"/>
          <w:sz w:val="24"/>
          <w:szCs w:val="24"/>
          <w:lang w:eastAsia="zh-CN"/>
        </w:rPr>
        <w:softHyphen/>
      </w:r>
      <w:r w:rsidR="00A75A45" w:rsidRPr="00A75A45">
        <w:rPr>
          <w:rFonts w:eastAsia="SimSun" w:cs="Times New Roman"/>
          <w:sz w:val="24"/>
          <w:szCs w:val="24"/>
          <w:lang w:eastAsia="zh-CN"/>
        </w:rPr>
        <w:t>bad district of Tashkent fully comply with the requirements of GOST (state standart) 950:2011 on chemical indicators, except for the amount of trace elements in the water.</w:t>
      </w:r>
    </w:p>
    <w:p w14:paraId="7D2DCE94" w14:textId="50EAC61D"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 xml:space="preserve">2.It was found that the composition of the open water of the Bozsu does not meet the requirements of GOST (state </w:t>
      </w:r>
      <w:r w:rsidR="00F71D84" w:rsidRPr="00A75A45">
        <w:rPr>
          <w:rFonts w:eastAsia="SimSun" w:cs="Times New Roman"/>
          <w:sz w:val="24"/>
          <w:szCs w:val="24"/>
          <w:lang w:eastAsia="zh-CN"/>
        </w:rPr>
        <w:t>standart) 951</w:t>
      </w:r>
      <w:r w:rsidRPr="00A75A45">
        <w:rPr>
          <w:rFonts w:eastAsia="SimSun" w:cs="Times New Roman"/>
          <w:sz w:val="24"/>
          <w:szCs w:val="24"/>
          <w:lang w:eastAsia="zh-CN"/>
        </w:rPr>
        <w:t>:2011 in terms of its organoleptic and bac</w:t>
      </w:r>
      <w:r w:rsidR="00F71D84">
        <w:rPr>
          <w:rFonts w:eastAsia="SimSun" w:cs="Times New Roman"/>
          <w:sz w:val="24"/>
          <w:szCs w:val="24"/>
          <w:lang w:eastAsia="zh-CN"/>
        </w:rPr>
        <w:softHyphen/>
      </w:r>
      <w:r w:rsidRPr="00A75A45">
        <w:rPr>
          <w:rFonts w:eastAsia="SimSun" w:cs="Times New Roman"/>
          <w:sz w:val="24"/>
          <w:szCs w:val="24"/>
          <w:lang w:eastAsia="zh-CN"/>
        </w:rPr>
        <w:t>teriological indicators in 2020, mainly due to the creation of private recreation areas around the Ugan River in the Tashkent region.</w:t>
      </w:r>
    </w:p>
    <w:p w14:paraId="615AF26F" w14:textId="7486E8CF"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3. In 2020, the bacteriological indicators of water showed a result 3.8% higher than nor</w:t>
      </w:r>
      <w:r w:rsidR="00F71D84">
        <w:rPr>
          <w:rFonts w:eastAsia="SimSun" w:cs="Times New Roman"/>
          <w:sz w:val="24"/>
          <w:szCs w:val="24"/>
          <w:lang w:eastAsia="zh-CN"/>
        </w:rPr>
        <w:softHyphen/>
      </w:r>
      <w:r w:rsidRPr="00A75A45">
        <w:rPr>
          <w:rFonts w:eastAsia="SimSun" w:cs="Times New Roman"/>
          <w:sz w:val="24"/>
          <w:szCs w:val="24"/>
          <w:lang w:eastAsia="zh-CN"/>
        </w:rPr>
        <w:t>mal. This is due to the entry of harmful impu</w:t>
      </w:r>
      <w:r w:rsidR="00F71D84">
        <w:rPr>
          <w:rFonts w:eastAsia="SimSun" w:cs="Times New Roman"/>
          <w:sz w:val="24"/>
          <w:szCs w:val="24"/>
          <w:lang w:eastAsia="zh-CN"/>
        </w:rPr>
        <w:softHyphen/>
      </w:r>
      <w:r w:rsidRPr="00A75A45">
        <w:rPr>
          <w:rFonts w:eastAsia="SimSun" w:cs="Times New Roman"/>
          <w:sz w:val="24"/>
          <w:szCs w:val="24"/>
          <w:lang w:eastAsia="zh-CN"/>
        </w:rPr>
        <w:t>rities into the water supply network from sec</w:t>
      </w:r>
      <w:r w:rsidR="00F71D84">
        <w:rPr>
          <w:rFonts w:eastAsia="SimSun" w:cs="Times New Roman"/>
          <w:sz w:val="24"/>
          <w:szCs w:val="24"/>
          <w:lang w:eastAsia="zh-CN"/>
        </w:rPr>
        <w:softHyphen/>
      </w:r>
      <w:r w:rsidRPr="00A75A45">
        <w:rPr>
          <w:rFonts w:eastAsia="SimSun" w:cs="Times New Roman"/>
          <w:sz w:val="24"/>
          <w:szCs w:val="24"/>
          <w:lang w:eastAsia="zh-CN"/>
        </w:rPr>
        <w:t>ondary sources of pollution.</w:t>
      </w:r>
    </w:p>
    <w:p w14:paraId="7913711A" w14:textId="5EA8C377"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4. Cases of diseases of the gastrointesti</w:t>
      </w:r>
      <w:r w:rsidR="00F71D84">
        <w:rPr>
          <w:rFonts w:eastAsia="SimSun" w:cs="Times New Roman"/>
          <w:sz w:val="24"/>
          <w:szCs w:val="24"/>
          <w:lang w:eastAsia="zh-CN"/>
        </w:rPr>
        <w:softHyphen/>
      </w:r>
      <w:r w:rsidRPr="00A75A45">
        <w:rPr>
          <w:rFonts w:eastAsia="SimSun" w:cs="Times New Roman"/>
          <w:sz w:val="24"/>
          <w:szCs w:val="24"/>
          <w:lang w:eastAsia="zh-CN"/>
        </w:rPr>
        <w:t>nal tract, hepatitis A, non-communicable dis</w:t>
      </w:r>
      <w:r w:rsidR="00F71D84">
        <w:rPr>
          <w:rFonts w:eastAsia="SimSun" w:cs="Times New Roman"/>
          <w:sz w:val="24"/>
          <w:szCs w:val="24"/>
          <w:lang w:eastAsia="zh-CN"/>
        </w:rPr>
        <w:softHyphen/>
      </w:r>
      <w:r w:rsidRPr="00A75A45">
        <w:rPr>
          <w:rFonts w:eastAsia="SimSun" w:cs="Times New Roman"/>
          <w:sz w:val="24"/>
          <w:szCs w:val="24"/>
          <w:lang w:eastAsia="zh-CN"/>
        </w:rPr>
        <w:t>eases (caries, fluorosis) have been identified among the population due to the entry of sec</w:t>
      </w:r>
      <w:r w:rsidR="00F71D84">
        <w:rPr>
          <w:rFonts w:eastAsia="SimSun" w:cs="Times New Roman"/>
          <w:sz w:val="24"/>
          <w:szCs w:val="24"/>
          <w:lang w:eastAsia="zh-CN"/>
        </w:rPr>
        <w:softHyphen/>
      </w:r>
      <w:r w:rsidRPr="00A75A45">
        <w:rPr>
          <w:rFonts w:eastAsia="SimSun" w:cs="Times New Roman"/>
          <w:sz w:val="24"/>
          <w:szCs w:val="24"/>
          <w:lang w:eastAsia="zh-CN"/>
        </w:rPr>
        <w:t>ondary pollutants into the centralized water supply system.</w:t>
      </w:r>
    </w:p>
    <w:p w14:paraId="79E6D80B" w14:textId="6ECB4EBD" w:rsidR="00A75A45" w:rsidRPr="00A75A45" w:rsidRDefault="00A75A45" w:rsidP="00A75A45">
      <w:pPr>
        <w:spacing w:line="276" w:lineRule="auto"/>
        <w:ind w:firstLine="567"/>
        <w:jc w:val="both"/>
        <w:rPr>
          <w:rFonts w:eastAsia="SimSun" w:cs="Times New Roman"/>
          <w:sz w:val="24"/>
          <w:szCs w:val="24"/>
          <w:lang w:eastAsia="zh-CN"/>
        </w:rPr>
      </w:pPr>
      <w:r w:rsidRPr="00A75A45">
        <w:rPr>
          <w:rFonts w:eastAsia="SimSun" w:cs="Times New Roman"/>
          <w:sz w:val="24"/>
          <w:szCs w:val="24"/>
          <w:lang w:eastAsia="zh-CN"/>
        </w:rPr>
        <w:t>5. The most effective method of disinfec</w:t>
      </w:r>
      <w:r w:rsidR="00F71D84">
        <w:rPr>
          <w:rFonts w:eastAsia="SimSun" w:cs="Times New Roman"/>
          <w:sz w:val="24"/>
          <w:szCs w:val="24"/>
          <w:lang w:eastAsia="zh-CN"/>
        </w:rPr>
        <w:softHyphen/>
      </w:r>
      <w:r w:rsidRPr="00A75A45">
        <w:rPr>
          <w:rFonts w:eastAsia="SimSun" w:cs="Times New Roman"/>
          <w:sz w:val="24"/>
          <w:szCs w:val="24"/>
          <w:lang w:eastAsia="zh-CN"/>
        </w:rPr>
        <w:t>tion of drinking water without deterioration of its chemical composition, organoleptic proper</w:t>
      </w:r>
      <w:r w:rsidR="00F71D84">
        <w:rPr>
          <w:rFonts w:eastAsia="SimSun" w:cs="Times New Roman"/>
          <w:sz w:val="24"/>
          <w:szCs w:val="24"/>
          <w:lang w:eastAsia="zh-CN"/>
        </w:rPr>
        <w:softHyphen/>
      </w:r>
      <w:r w:rsidRPr="00A75A45">
        <w:rPr>
          <w:rFonts w:eastAsia="SimSun" w:cs="Times New Roman"/>
          <w:sz w:val="24"/>
          <w:szCs w:val="24"/>
          <w:lang w:eastAsia="zh-CN"/>
        </w:rPr>
        <w:t>ties is ozonation, but its expensive cost is the first obstacle to its use in a mass state.</w:t>
      </w:r>
    </w:p>
    <w:p w14:paraId="27FB29E4" w14:textId="77777777" w:rsidR="00A75A45" w:rsidRPr="00A75A45" w:rsidRDefault="00A75A45" w:rsidP="00A75A45">
      <w:pPr>
        <w:spacing w:line="276" w:lineRule="auto"/>
        <w:ind w:firstLine="567"/>
        <w:jc w:val="both"/>
        <w:rPr>
          <w:rFonts w:eastAsia="SimSun" w:cs="Times New Roman"/>
          <w:sz w:val="24"/>
          <w:szCs w:val="24"/>
          <w:lang w:eastAsia="zh-CN"/>
        </w:rPr>
      </w:pPr>
    </w:p>
    <w:p w14:paraId="6982C819" w14:textId="32F1D7D2" w:rsidR="00A75A45" w:rsidRPr="00D27CEF" w:rsidRDefault="00F71D84" w:rsidP="00F71D84">
      <w:pPr>
        <w:spacing w:line="276" w:lineRule="auto"/>
        <w:jc w:val="center"/>
        <w:rPr>
          <w:rFonts w:eastAsia="SimSun" w:cs="Times New Roman"/>
          <w:b/>
          <w:sz w:val="24"/>
          <w:szCs w:val="24"/>
          <w:lang w:eastAsia="zh-CN"/>
        </w:rPr>
      </w:pPr>
      <w:r w:rsidRPr="00D27CEF">
        <w:rPr>
          <w:rFonts w:eastAsia="SimSun" w:cs="Times New Roman"/>
          <w:b/>
          <w:sz w:val="24"/>
          <w:szCs w:val="24"/>
          <w:lang w:eastAsia="zh-CN"/>
        </w:rPr>
        <w:t>LITERATURE</w:t>
      </w:r>
    </w:p>
    <w:p w14:paraId="25CB3D79" w14:textId="77777777" w:rsidR="00F71D84" w:rsidRPr="00D27CEF" w:rsidRDefault="00F71D84" w:rsidP="00F71D84">
      <w:pPr>
        <w:spacing w:line="276" w:lineRule="auto"/>
        <w:jc w:val="both"/>
        <w:rPr>
          <w:rFonts w:eastAsia="SimSun" w:cs="Times New Roman"/>
          <w:b/>
          <w:sz w:val="24"/>
          <w:szCs w:val="24"/>
          <w:lang w:eastAsia="zh-CN"/>
        </w:rPr>
      </w:pPr>
    </w:p>
    <w:p w14:paraId="6C37D69C" w14:textId="77777777" w:rsidR="00C40205" w:rsidRPr="00C4020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t>1. GOST 950-2011 "Drinking water" Hygienic requirements for water quality in centralized drinking water supply systems. Quality control.</w:t>
      </w:r>
    </w:p>
    <w:p w14:paraId="353111D6" w14:textId="77777777" w:rsidR="00C40205" w:rsidRPr="00C4020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t>2. Zhurba M.G., Sokolov L.I., Govorova Zh.M. Water supply. Designing systems and structures: textbook. allowance. T.</w:t>
      </w:r>
    </w:p>
    <w:p w14:paraId="36861FA0" w14:textId="77777777" w:rsidR="00C40205" w:rsidRPr="00C4020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lastRenderedPageBreak/>
        <w:t>3. Purification and conditioning of natural waters; 3rd ed., revised. and additional M.: Publishing house Assots. builds. universities, 2010. 552 p. [Electronic resource].: URL: http://www.studentlibrary.ru.</w:t>
      </w:r>
    </w:p>
    <w:p w14:paraId="527811A5" w14:textId="17305AB3" w:rsidR="00C40205" w:rsidRPr="00C4020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t xml:space="preserve">4. SP 31.13330.2012. Water supply. External networks and structures. [Electronic resource]. URL: </w:t>
      </w:r>
      <w:r w:rsidRPr="00246C36">
        <w:rPr>
          <w:rFonts w:eastAsia="SimSun" w:cs="Times New Roman"/>
          <w:sz w:val="24"/>
          <w:szCs w:val="24"/>
          <w:lang w:eastAsia="zh-CN"/>
        </w:rPr>
        <w:t>http://www/fire-man/ru/</w:t>
      </w:r>
      <w:r w:rsidRPr="00D27CEF">
        <w:rPr>
          <w:rFonts w:eastAsia="SimSun" w:cs="Times New Roman"/>
          <w:sz w:val="24"/>
          <w:szCs w:val="24"/>
          <w:lang w:eastAsia="zh-CN"/>
        </w:rPr>
        <w:t xml:space="preserve"> </w:t>
      </w:r>
      <w:r w:rsidRPr="00C40205">
        <w:rPr>
          <w:rFonts w:eastAsia="SimSun" w:cs="Times New Roman"/>
          <w:sz w:val="24"/>
          <w:szCs w:val="24"/>
          <w:lang w:eastAsia="zh-CN"/>
        </w:rPr>
        <w:t>bd/snip/2-04-02-84/2-04-02-84-3.html.</w:t>
      </w:r>
    </w:p>
    <w:p w14:paraId="6349BC95" w14:textId="77777777" w:rsidR="00C40205" w:rsidRPr="00C4020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t xml:space="preserve">5. Ushakova I.G., Gorelkina G.A., Ma-dzhugina A.A., Korchevskaya Yu.V. </w:t>
      </w:r>
      <w:r w:rsidRPr="00C40205">
        <w:rPr>
          <w:rFonts w:eastAsia="SimSun" w:cs="Times New Roman"/>
          <w:sz w:val="24"/>
          <w:szCs w:val="24"/>
          <w:lang w:eastAsia="zh-CN"/>
        </w:rPr>
        <w:t>Conditions for effective water treatment of low-turbidity natural waters of high color // Elektron. scientific method. magazine Omsk GAU. 2015. No. 2 (2), July - September. [Electronic resource]. URL: http:// e-journal. om-gau.ru/index.php/2015-god/2/19-statya-2015-2/173-00044.</w:t>
      </w:r>
    </w:p>
    <w:p w14:paraId="1CFD9BC1" w14:textId="1ED49193" w:rsidR="00A75A45" w:rsidRPr="00A75A45" w:rsidRDefault="00C40205" w:rsidP="00C40205">
      <w:pPr>
        <w:spacing w:line="276" w:lineRule="auto"/>
        <w:ind w:firstLine="567"/>
        <w:jc w:val="both"/>
        <w:rPr>
          <w:rFonts w:eastAsia="SimSun" w:cs="Times New Roman"/>
          <w:sz w:val="24"/>
          <w:szCs w:val="24"/>
          <w:lang w:eastAsia="zh-CN"/>
        </w:rPr>
      </w:pPr>
      <w:r w:rsidRPr="00C40205">
        <w:rPr>
          <w:rFonts w:eastAsia="SimSun" w:cs="Times New Roman"/>
          <w:sz w:val="24"/>
          <w:szCs w:val="24"/>
          <w:lang w:eastAsia="zh-CN"/>
        </w:rPr>
        <w:t xml:space="preserve">6. Salikhodzhaev Z.T. "Living Water". </w:t>
      </w:r>
      <w:r w:rsidRPr="00D27CEF">
        <w:rPr>
          <w:rFonts w:eastAsia="SimSun" w:cs="Times New Roman"/>
          <w:sz w:val="24"/>
          <w:szCs w:val="24"/>
          <w:lang w:eastAsia="zh-CN"/>
        </w:rPr>
        <w:t>T: 2015, pp: 2-35.</w:t>
      </w:r>
    </w:p>
    <w:p w14:paraId="218229D4" w14:textId="77777777" w:rsidR="00F71D84" w:rsidRDefault="00F71D84" w:rsidP="00A75A45">
      <w:pPr>
        <w:spacing w:line="276" w:lineRule="auto"/>
        <w:ind w:firstLine="567"/>
        <w:jc w:val="both"/>
        <w:rPr>
          <w:rFonts w:cs="Times New Roman"/>
          <w:sz w:val="24"/>
          <w:szCs w:val="24"/>
          <w:lang w:val="uz-Latn-UZ"/>
        </w:rPr>
        <w:sectPr w:rsidR="00F71D84" w:rsidSect="00F71D84">
          <w:type w:val="continuous"/>
          <w:pgSz w:w="11907" w:h="16840" w:code="9"/>
          <w:pgMar w:top="1418" w:right="1134" w:bottom="1134" w:left="1134" w:header="907" w:footer="794" w:gutter="0"/>
          <w:cols w:num="2" w:space="708"/>
          <w:docGrid w:linePitch="381"/>
        </w:sectPr>
      </w:pPr>
    </w:p>
    <w:p w14:paraId="39214D72" w14:textId="4DA4CDF4" w:rsidR="005C5D6C" w:rsidRPr="00A75A45" w:rsidRDefault="005C5D6C" w:rsidP="00A75A45">
      <w:pPr>
        <w:spacing w:line="276" w:lineRule="auto"/>
        <w:ind w:firstLine="567"/>
        <w:jc w:val="both"/>
        <w:rPr>
          <w:rFonts w:cs="Times New Roman"/>
          <w:sz w:val="24"/>
          <w:szCs w:val="24"/>
          <w:lang w:val="uz-Latn-UZ"/>
        </w:rPr>
      </w:pPr>
    </w:p>
    <w:p w14:paraId="467DE4AE" w14:textId="66BAB549" w:rsidR="005C5D6C" w:rsidRPr="00A75A45" w:rsidRDefault="005C5D6C" w:rsidP="00A75A45">
      <w:pPr>
        <w:spacing w:line="276" w:lineRule="auto"/>
        <w:ind w:firstLine="567"/>
        <w:jc w:val="both"/>
        <w:rPr>
          <w:rFonts w:cs="Times New Roman"/>
          <w:sz w:val="24"/>
          <w:szCs w:val="24"/>
          <w:lang w:val="uz-Latn-UZ"/>
        </w:rPr>
      </w:pPr>
    </w:p>
    <w:p w14:paraId="23C995B3" w14:textId="0780C840" w:rsidR="005C5D6C" w:rsidRPr="00A75A45" w:rsidRDefault="005C5D6C" w:rsidP="00A75A45">
      <w:pPr>
        <w:spacing w:line="276" w:lineRule="auto"/>
        <w:ind w:firstLine="567"/>
        <w:jc w:val="both"/>
        <w:rPr>
          <w:rFonts w:cs="Times New Roman"/>
          <w:sz w:val="24"/>
          <w:szCs w:val="24"/>
          <w:lang w:val="uz-Latn-UZ"/>
        </w:rPr>
      </w:pPr>
    </w:p>
    <w:p w14:paraId="728EF904" w14:textId="71F41060" w:rsidR="005C5D6C" w:rsidRPr="00A75A45" w:rsidRDefault="005C5D6C" w:rsidP="00A75A45">
      <w:pPr>
        <w:spacing w:line="276" w:lineRule="auto"/>
        <w:ind w:firstLine="567"/>
        <w:jc w:val="both"/>
        <w:rPr>
          <w:rFonts w:cs="Times New Roman"/>
          <w:sz w:val="24"/>
          <w:szCs w:val="24"/>
          <w:lang w:val="uz-Latn-UZ"/>
        </w:rPr>
      </w:pPr>
    </w:p>
    <w:p w14:paraId="3B2531E1" w14:textId="1CF75A16" w:rsidR="005C5D6C" w:rsidRPr="00A75A45" w:rsidRDefault="005C5D6C" w:rsidP="00A75A45">
      <w:pPr>
        <w:spacing w:line="276" w:lineRule="auto"/>
        <w:ind w:firstLine="567"/>
        <w:jc w:val="both"/>
        <w:rPr>
          <w:rFonts w:cs="Times New Roman"/>
          <w:sz w:val="24"/>
          <w:szCs w:val="24"/>
          <w:lang w:val="uz-Latn-UZ"/>
        </w:rPr>
      </w:pPr>
    </w:p>
    <w:p w14:paraId="5847AD32" w14:textId="50CC41A3" w:rsidR="005C5D6C" w:rsidRPr="00A75A45" w:rsidRDefault="005C5D6C" w:rsidP="00A75A45">
      <w:pPr>
        <w:spacing w:line="276" w:lineRule="auto"/>
        <w:ind w:firstLine="567"/>
        <w:jc w:val="both"/>
        <w:rPr>
          <w:rFonts w:cs="Times New Roman"/>
          <w:sz w:val="24"/>
          <w:szCs w:val="24"/>
          <w:lang w:val="uz-Latn-UZ"/>
        </w:rPr>
      </w:pPr>
    </w:p>
    <w:p w14:paraId="46FEE853" w14:textId="3C239763" w:rsidR="005C5D6C" w:rsidRPr="00A75A45" w:rsidRDefault="005C5D6C" w:rsidP="00A75A45">
      <w:pPr>
        <w:spacing w:line="276" w:lineRule="auto"/>
        <w:ind w:firstLine="567"/>
        <w:jc w:val="both"/>
        <w:rPr>
          <w:rFonts w:cs="Times New Roman"/>
          <w:sz w:val="24"/>
          <w:szCs w:val="24"/>
          <w:lang w:val="uz-Latn-UZ"/>
        </w:rPr>
      </w:pPr>
    </w:p>
    <w:p w14:paraId="3C7385A2" w14:textId="25EC0D51" w:rsidR="005C5D6C" w:rsidRDefault="005C5D6C" w:rsidP="00A75A45">
      <w:pPr>
        <w:spacing w:line="276" w:lineRule="auto"/>
        <w:ind w:firstLine="567"/>
        <w:jc w:val="both"/>
        <w:rPr>
          <w:rFonts w:cs="Times New Roman"/>
          <w:sz w:val="24"/>
          <w:szCs w:val="24"/>
          <w:lang w:val="uz-Latn-UZ"/>
        </w:rPr>
      </w:pPr>
    </w:p>
    <w:p w14:paraId="6BC7AB79" w14:textId="660A32FF" w:rsidR="00C40205" w:rsidRDefault="00C40205" w:rsidP="00A75A45">
      <w:pPr>
        <w:spacing w:line="276" w:lineRule="auto"/>
        <w:ind w:firstLine="567"/>
        <w:jc w:val="both"/>
        <w:rPr>
          <w:rFonts w:cs="Times New Roman"/>
          <w:sz w:val="24"/>
          <w:szCs w:val="24"/>
          <w:lang w:val="uz-Latn-UZ"/>
        </w:rPr>
      </w:pPr>
    </w:p>
    <w:p w14:paraId="30534C29" w14:textId="77777777" w:rsidR="00C40205" w:rsidRPr="00A75A45" w:rsidRDefault="00C40205" w:rsidP="00A75A45">
      <w:pPr>
        <w:spacing w:line="276" w:lineRule="auto"/>
        <w:ind w:firstLine="567"/>
        <w:jc w:val="both"/>
        <w:rPr>
          <w:rFonts w:cs="Times New Roman"/>
          <w:sz w:val="24"/>
          <w:szCs w:val="24"/>
          <w:lang w:val="uz-Latn-UZ"/>
        </w:rPr>
      </w:pPr>
    </w:p>
    <w:p w14:paraId="76BE1428" w14:textId="751843A1" w:rsidR="005C5D6C" w:rsidRPr="00A75A45" w:rsidRDefault="005C5D6C" w:rsidP="00A75A45">
      <w:pPr>
        <w:spacing w:line="276" w:lineRule="auto"/>
        <w:ind w:firstLine="567"/>
        <w:jc w:val="both"/>
        <w:rPr>
          <w:rFonts w:cs="Times New Roman"/>
          <w:sz w:val="24"/>
          <w:szCs w:val="24"/>
          <w:lang w:val="uz-Latn-UZ"/>
        </w:rPr>
      </w:pPr>
    </w:p>
    <w:p w14:paraId="3EE7767E" w14:textId="50B9951E" w:rsidR="005C5D6C" w:rsidRPr="00A75A45" w:rsidRDefault="005C5D6C" w:rsidP="00A75A45">
      <w:pPr>
        <w:spacing w:line="276" w:lineRule="auto"/>
        <w:ind w:firstLine="567"/>
        <w:jc w:val="both"/>
        <w:rPr>
          <w:rFonts w:cs="Times New Roman"/>
          <w:sz w:val="24"/>
          <w:szCs w:val="24"/>
          <w:lang w:val="uz-Latn-UZ"/>
        </w:rPr>
      </w:pPr>
    </w:p>
    <w:p w14:paraId="7A9A7577" w14:textId="129940B5" w:rsidR="005C5D6C" w:rsidRPr="00A75A45" w:rsidRDefault="005C5D6C" w:rsidP="00A75A45">
      <w:pPr>
        <w:spacing w:line="276" w:lineRule="auto"/>
        <w:ind w:firstLine="567"/>
        <w:jc w:val="both"/>
        <w:rPr>
          <w:rFonts w:cs="Times New Roman"/>
          <w:sz w:val="24"/>
          <w:szCs w:val="24"/>
          <w:lang w:val="uz-Latn-UZ"/>
        </w:rPr>
      </w:pPr>
    </w:p>
    <w:p w14:paraId="1C541794" w14:textId="6119489A" w:rsidR="005C5D6C" w:rsidRDefault="005C5D6C" w:rsidP="00B53C0B">
      <w:pPr>
        <w:spacing w:line="276" w:lineRule="auto"/>
        <w:ind w:firstLine="284"/>
        <w:jc w:val="both"/>
        <w:rPr>
          <w:rFonts w:cs="Times New Roman"/>
          <w:sz w:val="24"/>
          <w:szCs w:val="24"/>
          <w:lang w:val="uz-Latn-UZ"/>
        </w:rPr>
      </w:pPr>
    </w:p>
    <w:p w14:paraId="220332DC" w14:textId="6FC2DF83" w:rsidR="005C5D6C" w:rsidRDefault="005C5D6C" w:rsidP="00B53C0B">
      <w:pPr>
        <w:spacing w:line="276" w:lineRule="auto"/>
        <w:ind w:firstLine="284"/>
        <w:jc w:val="both"/>
        <w:rPr>
          <w:rFonts w:cs="Times New Roman"/>
          <w:sz w:val="24"/>
          <w:szCs w:val="24"/>
          <w:lang w:val="uz-Latn-UZ"/>
        </w:rPr>
      </w:pPr>
    </w:p>
    <w:p w14:paraId="22058A45" w14:textId="174E5973" w:rsidR="005C5D6C" w:rsidRDefault="005C5D6C" w:rsidP="00B53C0B">
      <w:pPr>
        <w:spacing w:line="276" w:lineRule="auto"/>
        <w:ind w:firstLine="284"/>
        <w:jc w:val="both"/>
        <w:rPr>
          <w:rFonts w:cs="Times New Roman"/>
          <w:sz w:val="24"/>
          <w:szCs w:val="24"/>
          <w:lang w:val="uz-Latn-UZ"/>
        </w:rPr>
      </w:pPr>
    </w:p>
    <w:p w14:paraId="33CA41B5" w14:textId="714787AE" w:rsidR="000A2B5C" w:rsidRDefault="000A2B5C" w:rsidP="00B53C0B">
      <w:pPr>
        <w:spacing w:line="276" w:lineRule="auto"/>
        <w:ind w:firstLine="284"/>
        <w:jc w:val="both"/>
        <w:rPr>
          <w:rFonts w:cs="Times New Roman"/>
          <w:sz w:val="24"/>
          <w:szCs w:val="24"/>
          <w:lang w:val="uz-Latn-UZ"/>
        </w:rPr>
      </w:pPr>
    </w:p>
    <w:p w14:paraId="602D10A0" w14:textId="3BE3B20D" w:rsidR="000A2B5C" w:rsidRDefault="000A2B5C" w:rsidP="00B53C0B">
      <w:pPr>
        <w:spacing w:line="276" w:lineRule="auto"/>
        <w:ind w:firstLine="284"/>
        <w:jc w:val="both"/>
        <w:rPr>
          <w:rFonts w:cs="Times New Roman"/>
          <w:sz w:val="24"/>
          <w:szCs w:val="24"/>
          <w:lang w:val="uz-Latn-UZ"/>
        </w:rPr>
      </w:pPr>
    </w:p>
    <w:p w14:paraId="29327417" w14:textId="0F9C6841" w:rsidR="000A2B5C" w:rsidRDefault="000A2B5C" w:rsidP="00B53C0B">
      <w:pPr>
        <w:spacing w:line="276" w:lineRule="auto"/>
        <w:ind w:firstLine="284"/>
        <w:jc w:val="both"/>
        <w:rPr>
          <w:rFonts w:cs="Times New Roman"/>
          <w:sz w:val="24"/>
          <w:szCs w:val="24"/>
          <w:lang w:val="uz-Latn-UZ"/>
        </w:rPr>
      </w:pPr>
    </w:p>
    <w:p w14:paraId="7E584D8A" w14:textId="1CA3B5B9" w:rsidR="000A2B5C" w:rsidRDefault="000A2B5C" w:rsidP="00B53C0B">
      <w:pPr>
        <w:spacing w:line="276" w:lineRule="auto"/>
        <w:ind w:firstLine="284"/>
        <w:jc w:val="both"/>
        <w:rPr>
          <w:rFonts w:cs="Times New Roman"/>
          <w:sz w:val="24"/>
          <w:szCs w:val="24"/>
          <w:lang w:val="uz-Latn-UZ"/>
        </w:rPr>
      </w:pPr>
    </w:p>
    <w:p w14:paraId="4F7F4728" w14:textId="60D9B846" w:rsidR="000A2B5C" w:rsidRDefault="000A2B5C" w:rsidP="00B53C0B">
      <w:pPr>
        <w:spacing w:line="276" w:lineRule="auto"/>
        <w:ind w:firstLine="284"/>
        <w:jc w:val="both"/>
        <w:rPr>
          <w:rFonts w:cs="Times New Roman"/>
          <w:sz w:val="24"/>
          <w:szCs w:val="24"/>
          <w:lang w:val="uz-Latn-UZ"/>
        </w:rPr>
      </w:pPr>
    </w:p>
    <w:p w14:paraId="1B7F411B" w14:textId="7BF15CF5" w:rsidR="000A2B5C" w:rsidRDefault="000A2B5C" w:rsidP="00B53C0B">
      <w:pPr>
        <w:spacing w:line="276" w:lineRule="auto"/>
        <w:ind w:firstLine="284"/>
        <w:jc w:val="both"/>
        <w:rPr>
          <w:rFonts w:cs="Times New Roman"/>
          <w:sz w:val="24"/>
          <w:szCs w:val="24"/>
          <w:lang w:val="uz-Latn-UZ"/>
        </w:rPr>
      </w:pPr>
    </w:p>
    <w:p w14:paraId="75880D06" w14:textId="7F68A047" w:rsidR="000A2B5C" w:rsidRDefault="000A2B5C" w:rsidP="00B53C0B">
      <w:pPr>
        <w:spacing w:line="276" w:lineRule="auto"/>
        <w:ind w:firstLine="284"/>
        <w:jc w:val="both"/>
        <w:rPr>
          <w:rFonts w:cs="Times New Roman"/>
          <w:sz w:val="24"/>
          <w:szCs w:val="24"/>
          <w:lang w:val="uz-Latn-UZ"/>
        </w:rPr>
      </w:pPr>
    </w:p>
    <w:p w14:paraId="6BD9C2CB" w14:textId="1C12E175" w:rsidR="000A2B5C" w:rsidRDefault="000A2B5C" w:rsidP="00B53C0B">
      <w:pPr>
        <w:spacing w:line="276" w:lineRule="auto"/>
        <w:ind w:firstLine="284"/>
        <w:jc w:val="both"/>
        <w:rPr>
          <w:rFonts w:cs="Times New Roman"/>
          <w:sz w:val="24"/>
          <w:szCs w:val="24"/>
          <w:lang w:val="uz-Latn-UZ"/>
        </w:rPr>
      </w:pPr>
    </w:p>
    <w:p w14:paraId="1B5FF4C9" w14:textId="4B3E8E19" w:rsidR="000A2B5C" w:rsidRDefault="000A2B5C" w:rsidP="00B53C0B">
      <w:pPr>
        <w:spacing w:line="276" w:lineRule="auto"/>
        <w:ind w:firstLine="284"/>
        <w:jc w:val="both"/>
        <w:rPr>
          <w:rFonts w:cs="Times New Roman"/>
          <w:sz w:val="24"/>
          <w:szCs w:val="24"/>
          <w:lang w:val="uz-Latn-UZ"/>
        </w:rPr>
      </w:pPr>
    </w:p>
    <w:p w14:paraId="488C73F4" w14:textId="42649FD6" w:rsidR="000A2B5C" w:rsidRPr="00D27CEF" w:rsidRDefault="000A2B5C" w:rsidP="00B53C0B">
      <w:pPr>
        <w:spacing w:line="276" w:lineRule="auto"/>
        <w:ind w:firstLine="284"/>
        <w:jc w:val="both"/>
        <w:rPr>
          <w:rFonts w:cs="Times New Roman"/>
          <w:sz w:val="24"/>
          <w:szCs w:val="24"/>
        </w:rPr>
      </w:pPr>
    </w:p>
    <w:p w14:paraId="2954AD62" w14:textId="77777777" w:rsidR="00C40205" w:rsidRPr="00D27CEF" w:rsidRDefault="00C40205" w:rsidP="00B53C0B">
      <w:pPr>
        <w:spacing w:line="276" w:lineRule="auto"/>
        <w:ind w:firstLine="284"/>
        <w:jc w:val="both"/>
        <w:rPr>
          <w:rFonts w:cs="Times New Roman"/>
          <w:sz w:val="24"/>
          <w:szCs w:val="24"/>
        </w:rPr>
      </w:pPr>
    </w:p>
    <w:p w14:paraId="445B401C" w14:textId="7BB73B4C" w:rsidR="000A2B5C" w:rsidRDefault="000A2B5C" w:rsidP="00B53C0B">
      <w:pPr>
        <w:spacing w:line="276" w:lineRule="auto"/>
        <w:ind w:firstLine="284"/>
        <w:jc w:val="both"/>
        <w:rPr>
          <w:rFonts w:cs="Times New Roman"/>
          <w:sz w:val="24"/>
          <w:szCs w:val="24"/>
          <w:lang w:val="uz-Latn-UZ"/>
        </w:rPr>
      </w:pPr>
    </w:p>
    <w:p w14:paraId="3F6ADD9A" w14:textId="01C434B1" w:rsidR="000A2B5C" w:rsidRDefault="000A2B5C" w:rsidP="00B53C0B">
      <w:pPr>
        <w:spacing w:line="276" w:lineRule="auto"/>
        <w:ind w:firstLine="284"/>
        <w:jc w:val="both"/>
        <w:rPr>
          <w:rFonts w:cs="Times New Roman"/>
          <w:sz w:val="24"/>
          <w:szCs w:val="24"/>
          <w:lang w:val="uz-Latn-UZ"/>
        </w:rPr>
      </w:pPr>
    </w:p>
    <w:p w14:paraId="5F261250" w14:textId="529960C1" w:rsidR="000A2B5C" w:rsidRDefault="000A2B5C" w:rsidP="00B53C0B">
      <w:pPr>
        <w:spacing w:line="276" w:lineRule="auto"/>
        <w:ind w:firstLine="284"/>
        <w:jc w:val="both"/>
        <w:rPr>
          <w:rFonts w:cs="Times New Roman"/>
          <w:sz w:val="24"/>
          <w:szCs w:val="24"/>
          <w:lang w:val="uz-Latn-UZ"/>
        </w:rPr>
      </w:pPr>
    </w:p>
    <w:p w14:paraId="6121A6DA" w14:textId="630AD1C2" w:rsidR="000A2B5C" w:rsidRDefault="000A2B5C" w:rsidP="00B53C0B">
      <w:pPr>
        <w:spacing w:line="276" w:lineRule="auto"/>
        <w:ind w:firstLine="284"/>
        <w:jc w:val="both"/>
        <w:rPr>
          <w:rFonts w:cs="Times New Roman"/>
          <w:sz w:val="24"/>
          <w:szCs w:val="24"/>
          <w:lang w:val="uz-Latn-UZ"/>
        </w:rPr>
      </w:pPr>
    </w:p>
    <w:p w14:paraId="311DF424" w14:textId="652BDBCC" w:rsidR="000A2B5C" w:rsidRDefault="000A2B5C" w:rsidP="00B53C0B">
      <w:pPr>
        <w:spacing w:line="276" w:lineRule="auto"/>
        <w:ind w:firstLine="284"/>
        <w:jc w:val="both"/>
        <w:rPr>
          <w:rFonts w:cs="Times New Roman"/>
          <w:sz w:val="24"/>
          <w:szCs w:val="24"/>
          <w:lang w:val="uz-Latn-UZ"/>
        </w:rPr>
      </w:pPr>
    </w:p>
    <w:p w14:paraId="5E9C0F54" w14:textId="2404EAC6" w:rsidR="000A2B5C" w:rsidRDefault="000A2B5C" w:rsidP="00B53C0B">
      <w:pPr>
        <w:spacing w:line="276" w:lineRule="auto"/>
        <w:ind w:firstLine="284"/>
        <w:jc w:val="both"/>
        <w:rPr>
          <w:rFonts w:cs="Times New Roman"/>
          <w:sz w:val="24"/>
          <w:szCs w:val="24"/>
          <w:lang w:val="uz-Latn-UZ"/>
        </w:rPr>
      </w:pPr>
    </w:p>
    <w:p w14:paraId="6BAF7EED" w14:textId="46A53180" w:rsidR="000A2B5C" w:rsidRDefault="000A2B5C" w:rsidP="00B53C0B">
      <w:pPr>
        <w:spacing w:line="276" w:lineRule="auto"/>
        <w:ind w:firstLine="284"/>
        <w:jc w:val="both"/>
        <w:rPr>
          <w:rFonts w:cs="Times New Roman"/>
          <w:sz w:val="24"/>
          <w:szCs w:val="24"/>
          <w:lang w:val="uz-Latn-UZ"/>
        </w:rPr>
      </w:pPr>
    </w:p>
    <w:p w14:paraId="4D2191AD" w14:textId="30E15983" w:rsidR="000A2B5C" w:rsidRDefault="000A2B5C" w:rsidP="00752EAA">
      <w:pPr>
        <w:pStyle w:val="1"/>
      </w:pPr>
      <w:bookmarkStart w:id="26" w:name="_Toc104745745"/>
      <w:bookmarkStart w:id="27" w:name="OLE_LINK15"/>
      <w:bookmarkStart w:id="28" w:name="OLE_LINK56"/>
      <w:r w:rsidRPr="000A2B5C">
        <w:lastRenderedPageBreak/>
        <w:t>PECULIARITIES OF THE DEVELOPMENT OF OXALATE NEPHROPATHY IN CHILDREN IN THE ARAL SEA REGION AND THE REGIONAL APPROACH TO TREATMENT</w:t>
      </w:r>
      <w:bookmarkEnd w:id="26"/>
    </w:p>
    <w:p w14:paraId="5033D36D" w14:textId="77777777" w:rsidR="0014482A" w:rsidRPr="000A2B5C" w:rsidRDefault="0014482A" w:rsidP="000A2B5C">
      <w:pPr>
        <w:tabs>
          <w:tab w:val="left" w:pos="560"/>
        </w:tabs>
        <w:spacing w:line="276" w:lineRule="auto"/>
        <w:jc w:val="both"/>
        <w:rPr>
          <w:rFonts w:eastAsia="Times New Roman" w:cs="Times New Roman"/>
          <w:b/>
          <w:sz w:val="24"/>
          <w:szCs w:val="24"/>
          <w:lang w:val="uz-Cyrl-UZ" w:eastAsia="ru-RU"/>
        </w:rPr>
      </w:pPr>
    </w:p>
    <w:p w14:paraId="11624136" w14:textId="56B6ABD9" w:rsidR="0014482A" w:rsidRPr="0014482A" w:rsidRDefault="000A2B5C" w:rsidP="0014482A">
      <w:pPr>
        <w:tabs>
          <w:tab w:val="left" w:pos="1260"/>
        </w:tabs>
        <w:spacing w:line="276" w:lineRule="auto"/>
        <w:jc w:val="center"/>
        <w:rPr>
          <w:rFonts w:eastAsia="Calibri" w:cs="Times New Roman"/>
          <w:b/>
          <w:sz w:val="24"/>
          <w:szCs w:val="24"/>
          <w:lang w:val="uz-Cyrl-UZ"/>
        </w:rPr>
      </w:pPr>
      <w:r w:rsidRPr="000A2B5C">
        <w:rPr>
          <w:rFonts w:eastAsia="Calibri" w:cs="Times New Roman"/>
          <w:b/>
          <w:sz w:val="24"/>
          <w:szCs w:val="24"/>
          <w:lang w:val="uz-Cyrl-UZ"/>
        </w:rPr>
        <w:t>Tajieva Zebo Baxodirovna</w:t>
      </w:r>
      <w:r w:rsidR="0014482A" w:rsidRPr="0014482A">
        <w:rPr>
          <w:rFonts w:eastAsia="Calibri" w:cs="Times New Roman"/>
          <w:b/>
          <w:sz w:val="24"/>
          <w:szCs w:val="24"/>
        </w:rPr>
        <w:t>,</w:t>
      </w:r>
      <w:r w:rsidRPr="000A2B5C">
        <w:rPr>
          <w:rFonts w:eastAsia="Calibri" w:cs="Times New Roman"/>
          <w:b/>
          <w:color w:val="0000FF"/>
          <w:sz w:val="24"/>
          <w:szCs w:val="24"/>
          <w:lang w:val="uz-Cyrl-UZ"/>
        </w:rPr>
        <w:t xml:space="preserve"> </w:t>
      </w:r>
      <w:bookmarkEnd w:id="27"/>
      <w:r w:rsidRPr="000A2B5C">
        <w:rPr>
          <w:rFonts w:eastAsia="Calibri" w:cs="Times New Roman"/>
          <w:b/>
          <w:sz w:val="24"/>
          <w:szCs w:val="24"/>
        </w:rPr>
        <w:t>Ph</w:t>
      </w:r>
      <w:r w:rsidR="0014482A" w:rsidRPr="0014482A">
        <w:rPr>
          <w:rFonts w:eastAsia="Calibri" w:cs="Times New Roman"/>
          <w:b/>
          <w:sz w:val="24"/>
          <w:szCs w:val="24"/>
        </w:rPr>
        <w:t>D</w:t>
      </w:r>
      <w:r w:rsidRPr="000A2B5C">
        <w:rPr>
          <w:rFonts w:eastAsia="Calibri" w:cs="Times New Roman"/>
          <w:b/>
          <w:sz w:val="24"/>
          <w:szCs w:val="24"/>
          <w:lang w:val="uz-Cyrl-UZ"/>
        </w:rPr>
        <w:t>. Senior Lecturer</w:t>
      </w:r>
    </w:p>
    <w:p w14:paraId="04E264EE" w14:textId="3FF12CAD" w:rsidR="0014482A" w:rsidRDefault="000A2B5C" w:rsidP="0014482A">
      <w:pPr>
        <w:tabs>
          <w:tab w:val="left" w:pos="1260"/>
        </w:tabs>
        <w:spacing w:line="276" w:lineRule="auto"/>
        <w:jc w:val="center"/>
        <w:rPr>
          <w:rFonts w:eastAsia="Calibri" w:cs="Times New Roman"/>
          <w:sz w:val="24"/>
          <w:szCs w:val="24"/>
          <w:lang w:val="uz-Cyrl-UZ"/>
        </w:rPr>
      </w:pPr>
      <w:r w:rsidRPr="000A2B5C">
        <w:rPr>
          <w:rFonts w:eastAsia="Calibri" w:cs="Times New Roman"/>
          <w:sz w:val="24"/>
          <w:szCs w:val="24"/>
          <w:lang w:val="uz-Cyrl-UZ"/>
        </w:rPr>
        <w:t>Department of Pediatric Disease Propedeutics, Pediatrics and Higher Nursing</w:t>
      </w:r>
    </w:p>
    <w:p w14:paraId="1BDE806D" w14:textId="224BD0A0" w:rsidR="000A2B5C" w:rsidRPr="000A2B5C" w:rsidRDefault="000A2B5C" w:rsidP="0014482A">
      <w:pPr>
        <w:tabs>
          <w:tab w:val="left" w:pos="1260"/>
        </w:tabs>
        <w:spacing w:line="276" w:lineRule="auto"/>
        <w:jc w:val="center"/>
        <w:rPr>
          <w:rFonts w:eastAsia="Calibri" w:cs="Times New Roman"/>
          <w:sz w:val="24"/>
          <w:szCs w:val="24"/>
          <w:lang w:val="uz-Cyrl-UZ"/>
        </w:rPr>
      </w:pPr>
      <w:r w:rsidRPr="000A2B5C">
        <w:rPr>
          <w:rFonts w:eastAsia="Calibri" w:cs="Times New Roman"/>
          <w:sz w:val="24"/>
          <w:szCs w:val="24"/>
          <w:lang w:val="uz-Cyrl-UZ"/>
        </w:rPr>
        <w:t>Urgen branch of the Tashkent Medical Academy</w:t>
      </w:r>
    </w:p>
    <w:p w14:paraId="028548BB" w14:textId="77777777" w:rsidR="0014482A" w:rsidRDefault="0014482A" w:rsidP="0014482A">
      <w:pPr>
        <w:tabs>
          <w:tab w:val="left" w:pos="1260"/>
        </w:tabs>
        <w:spacing w:line="276" w:lineRule="auto"/>
        <w:jc w:val="center"/>
        <w:rPr>
          <w:rFonts w:eastAsia="Calibri" w:cs="Times New Roman"/>
          <w:b/>
          <w:sz w:val="24"/>
          <w:szCs w:val="24"/>
          <w:lang w:val="uz-Cyrl-UZ"/>
        </w:rPr>
      </w:pPr>
    </w:p>
    <w:p w14:paraId="24008E45" w14:textId="0DE33EDD" w:rsidR="0014482A" w:rsidRPr="0014482A" w:rsidRDefault="000A2B5C" w:rsidP="0014482A">
      <w:pPr>
        <w:tabs>
          <w:tab w:val="left" w:pos="1260"/>
        </w:tabs>
        <w:spacing w:line="276" w:lineRule="auto"/>
        <w:jc w:val="center"/>
        <w:rPr>
          <w:rFonts w:eastAsia="Calibri" w:cs="Times New Roman"/>
          <w:b/>
          <w:sz w:val="24"/>
          <w:szCs w:val="24"/>
        </w:rPr>
      </w:pPr>
      <w:r w:rsidRPr="000A2B5C">
        <w:rPr>
          <w:rFonts w:eastAsia="Calibri" w:cs="Times New Roman"/>
          <w:b/>
          <w:sz w:val="24"/>
          <w:szCs w:val="24"/>
          <w:lang w:val="uz-Cyrl-UZ"/>
        </w:rPr>
        <w:t>Shaykhova Guli Islamovna</w:t>
      </w:r>
      <w:r w:rsidR="0014482A">
        <w:rPr>
          <w:rFonts w:eastAsia="Calibri" w:cs="Times New Roman"/>
          <w:b/>
          <w:sz w:val="24"/>
          <w:szCs w:val="24"/>
        </w:rPr>
        <w:t>,</w:t>
      </w:r>
      <w:r w:rsidRPr="000A2B5C">
        <w:rPr>
          <w:rFonts w:eastAsia="Calibri" w:cs="Times New Roman"/>
          <w:b/>
          <w:sz w:val="24"/>
          <w:szCs w:val="24"/>
          <w:lang w:val="uz-Cyrl-UZ"/>
        </w:rPr>
        <w:t xml:space="preserve"> </w:t>
      </w:r>
      <w:r w:rsidRPr="000A2B5C">
        <w:rPr>
          <w:rFonts w:eastAsia="Calibri" w:cs="Times New Roman"/>
          <w:b/>
          <w:sz w:val="24"/>
          <w:szCs w:val="24"/>
        </w:rPr>
        <w:t>Professor</w:t>
      </w:r>
    </w:p>
    <w:p w14:paraId="695E2075" w14:textId="1AE6D185" w:rsidR="0014482A" w:rsidRDefault="000A2B5C" w:rsidP="0014482A">
      <w:pPr>
        <w:tabs>
          <w:tab w:val="left" w:pos="1260"/>
        </w:tabs>
        <w:spacing w:line="276" w:lineRule="auto"/>
        <w:jc w:val="center"/>
        <w:rPr>
          <w:rFonts w:eastAsia="Calibri" w:cs="Times New Roman"/>
          <w:sz w:val="24"/>
          <w:szCs w:val="24"/>
        </w:rPr>
      </w:pPr>
      <w:r w:rsidRPr="000A2B5C">
        <w:rPr>
          <w:rFonts w:eastAsia="Calibri" w:cs="Times New Roman"/>
          <w:sz w:val="24"/>
          <w:szCs w:val="24"/>
        </w:rPr>
        <w:t>Department of Children, Adolescents and Food Hygiene,</w:t>
      </w:r>
    </w:p>
    <w:p w14:paraId="41F1A2A0" w14:textId="5E65258B" w:rsidR="000A2B5C" w:rsidRPr="000A2B5C" w:rsidRDefault="000A2B5C" w:rsidP="0014482A">
      <w:pPr>
        <w:tabs>
          <w:tab w:val="left" w:pos="1260"/>
        </w:tabs>
        <w:spacing w:line="276" w:lineRule="auto"/>
        <w:jc w:val="center"/>
        <w:rPr>
          <w:rFonts w:eastAsia="Calibri" w:cs="Times New Roman"/>
          <w:sz w:val="24"/>
          <w:szCs w:val="24"/>
        </w:rPr>
      </w:pPr>
      <w:r w:rsidRPr="000A2B5C">
        <w:rPr>
          <w:rFonts w:eastAsia="Calibri" w:cs="Times New Roman"/>
          <w:sz w:val="24"/>
          <w:szCs w:val="24"/>
        </w:rPr>
        <w:t>Tashkent Medical Academy, Tashkent, Uzbekistan.</w:t>
      </w:r>
    </w:p>
    <w:p w14:paraId="1A5F8B06" w14:textId="77777777" w:rsidR="0014482A" w:rsidRDefault="0014482A" w:rsidP="000A2B5C">
      <w:pPr>
        <w:tabs>
          <w:tab w:val="left" w:pos="6520"/>
          <w:tab w:val="left" w:pos="8500"/>
        </w:tabs>
        <w:spacing w:line="276" w:lineRule="auto"/>
        <w:ind w:firstLine="567"/>
        <w:jc w:val="both"/>
        <w:rPr>
          <w:rFonts w:eastAsia="Calibri" w:cs="Times New Roman"/>
          <w:b/>
          <w:i/>
          <w:color w:val="202124"/>
          <w:sz w:val="24"/>
          <w:szCs w:val="24"/>
        </w:rPr>
      </w:pPr>
    </w:p>
    <w:p w14:paraId="6DF8A379" w14:textId="4E43CEC0" w:rsidR="000A2B5C" w:rsidRPr="000A2B5C" w:rsidRDefault="000A2B5C" w:rsidP="000A2B5C">
      <w:pPr>
        <w:tabs>
          <w:tab w:val="left" w:pos="6520"/>
          <w:tab w:val="left" w:pos="8500"/>
        </w:tabs>
        <w:spacing w:line="276" w:lineRule="auto"/>
        <w:ind w:firstLine="567"/>
        <w:jc w:val="both"/>
        <w:rPr>
          <w:rFonts w:eastAsia="Calibri" w:cs="Times New Roman"/>
          <w:i/>
          <w:sz w:val="24"/>
          <w:szCs w:val="24"/>
        </w:rPr>
      </w:pPr>
      <w:r w:rsidRPr="000A2B5C">
        <w:rPr>
          <w:rFonts w:eastAsia="Calibri" w:cs="Times New Roman"/>
          <w:b/>
          <w:i/>
          <w:color w:val="202124"/>
          <w:sz w:val="24"/>
          <w:szCs w:val="24"/>
        </w:rPr>
        <w:t xml:space="preserve">Abstract. </w:t>
      </w:r>
      <w:r w:rsidRPr="000A2B5C">
        <w:rPr>
          <w:rFonts w:eastAsia="Calibri" w:cs="Times New Roman"/>
          <w:i/>
          <w:color w:val="202124"/>
          <w:sz w:val="24"/>
          <w:szCs w:val="24"/>
          <w:lang w:val="uz-Cyrl-UZ"/>
        </w:rPr>
        <w:t>In the complex treatment of acute and chronic kidney diseases in children, diet therapy plays an important role. High requirements are imposed on therapeutic nutrition, since the kidney is the main organ for the excretion of metabolic products that come with food and are formed as a result of the breakdown of body tissues, as well as the organ responsible for maintaining the constancy of the internal environment. Under certain conditions, it becomes necessary to correct in the diet of nutrients such as animal protein, gluten, oxalates, urates, phosphates, the metabolic products of which are excreted through the kidneys and affect not only the pathogenetic mechanisms of the development of the disease, but also participate in the formation of non-immune processes of progression disease to the stage of renal failure.</w:t>
      </w:r>
    </w:p>
    <w:p w14:paraId="76A44081" w14:textId="77777777" w:rsidR="000A2B5C" w:rsidRPr="000A2B5C" w:rsidRDefault="000A2B5C" w:rsidP="000A2B5C">
      <w:pPr>
        <w:spacing w:line="276" w:lineRule="auto"/>
        <w:ind w:firstLine="567"/>
        <w:jc w:val="both"/>
        <w:rPr>
          <w:rFonts w:eastAsia="Calibri" w:cs="Times New Roman"/>
          <w:bCs/>
          <w:i/>
          <w:sz w:val="24"/>
          <w:szCs w:val="24"/>
          <w:lang w:val="uz-Cyrl-UZ"/>
        </w:rPr>
      </w:pPr>
      <w:r w:rsidRPr="000A2B5C">
        <w:rPr>
          <w:rFonts w:eastAsia="Calibri" w:cs="Times New Roman"/>
          <w:b/>
          <w:i/>
          <w:sz w:val="24"/>
          <w:szCs w:val="24"/>
          <w:lang w:val="uz-Cyrl-UZ"/>
        </w:rPr>
        <w:t xml:space="preserve">Key words: </w:t>
      </w:r>
      <w:r w:rsidRPr="000A2B5C">
        <w:rPr>
          <w:rFonts w:eastAsia="Calibri" w:cs="Times New Roman"/>
          <w:bCs/>
          <w:i/>
          <w:sz w:val="24"/>
          <w:szCs w:val="24"/>
          <w:lang w:val="uz-Cyrl-UZ"/>
        </w:rPr>
        <w:t>children, dysmetabolic nephropathy, crystalluria, oxalaturia.</w:t>
      </w:r>
    </w:p>
    <w:p w14:paraId="164B9644" w14:textId="77777777" w:rsidR="000A2B5C" w:rsidRPr="000A2B5C" w:rsidRDefault="000A2B5C" w:rsidP="000A2B5C">
      <w:pPr>
        <w:spacing w:line="276" w:lineRule="auto"/>
        <w:ind w:firstLine="567"/>
        <w:jc w:val="both"/>
        <w:rPr>
          <w:rFonts w:eastAsia="Calibri" w:cs="Times New Roman"/>
          <w:i/>
          <w:sz w:val="24"/>
          <w:szCs w:val="24"/>
          <w:lang w:val="uz-Cyrl-UZ"/>
        </w:rPr>
      </w:pPr>
    </w:p>
    <w:p w14:paraId="37CCD114" w14:textId="77777777" w:rsidR="0014482A" w:rsidRDefault="0014482A" w:rsidP="0014482A">
      <w:pPr>
        <w:spacing w:line="276" w:lineRule="auto"/>
        <w:jc w:val="both"/>
        <w:rPr>
          <w:rFonts w:eastAsia="Calibri" w:cs="Times New Roman"/>
          <w:b/>
          <w:sz w:val="24"/>
          <w:szCs w:val="24"/>
          <w:lang w:val="uz-Cyrl-UZ"/>
        </w:rPr>
      </w:pPr>
      <w:bookmarkStart w:id="29" w:name="OLE_LINK58"/>
    </w:p>
    <w:p w14:paraId="6CD07CDA" w14:textId="477DC6B4" w:rsidR="000A2B5C" w:rsidRDefault="000A2B5C" w:rsidP="0014482A">
      <w:pPr>
        <w:spacing w:line="276" w:lineRule="auto"/>
        <w:jc w:val="center"/>
        <w:rPr>
          <w:rFonts w:eastAsia="Calibri" w:cs="Times New Roman"/>
          <w:b/>
          <w:sz w:val="24"/>
          <w:szCs w:val="24"/>
          <w:lang w:val="uz-Cyrl-UZ"/>
        </w:rPr>
      </w:pPr>
      <w:r w:rsidRPr="000A2B5C">
        <w:rPr>
          <w:rFonts w:eastAsia="Calibri" w:cs="Times New Roman"/>
          <w:b/>
          <w:sz w:val="24"/>
          <w:szCs w:val="24"/>
          <w:lang w:val="uz-Cyrl-UZ"/>
        </w:rPr>
        <w:t>ОСОБЕННОСТИ РАЗВИТИЯ ОКСАЛАТНОЙ НЕФРОПАТИИ У ДЕТЕЙ В РЕГИОНЕ ПРИАРАЛЬЯ И РЕГИОНАЛЬНЫЙ ПОДХОД К ЛЕЧЕНИЮ</w:t>
      </w:r>
    </w:p>
    <w:p w14:paraId="3F3CCA72" w14:textId="77777777" w:rsidR="0014482A" w:rsidRPr="000A2B5C" w:rsidRDefault="0014482A" w:rsidP="0014482A">
      <w:pPr>
        <w:spacing w:line="276" w:lineRule="auto"/>
        <w:jc w:val="both"/>
        <w:rPr>
          <w:rFonts w:eastAsia="Calibri" w:cs="Times New Roman"/>
          <w:b/>
          <w:sz w:val="24"/>
          <w:szCs w:val="24"/>
          <w:lang w:val="uz-Cyrl-UZ"/>
        </w:rPr>
      </w:pPr>
    </w:p>
    <w:p w14:paraId="2ED44741" w14:textId="70A31799" w:rsidR="0014482A" w:rsidRPr="0014482A" w:rsidRDefault="000A2B5C" w:rsidP="0014482A">
      <w:pPr>
        <w:spacing w:line="276" w:lineRule="auto"/>
        <w:jc w:val="center"/>
        <w:rPr>
          <w:rFonts w:eastAsia="Calibri" w:cs="Times New Roman"/>
          <w:b/>
          <w:sz w:val="24"/>
          <w:szCs w:val="24"/>
          <w:lang w:val="uz-Cyrl-UZ"/>
        </w:rPr>
      </w:pPr>
      <w:r w:rsidRPr="000A2B5C">
        <w:rPr>
          <w:rFonts w:eastAsia="Calibri" w:cs="Times New Roman"/>
          <w:b/>
          <w:sz w:val="24"/>
          <w:szCs w:val="24"/>
          <w:lang w:val="uz-Cyrl-UZ"/>
        </w:rPr>
        <w:t>Тажиева Зебо Бахадировна</w:t>
      </w:r>
      <w:r w:rsidR="0014482A" w:rsidRPr="0014482A">
        <w:rPr>
          <w:rFonts w:eastAsia="Calibri" w:cs="Times New Roman"/>
          <w:b/>
          <w:sz w:val="24"/>
          <w:szCs w:val="24"/>
          <w:lang w:val="ru-RU"/>
        </w:rPr>
        <w:t>,</w:t>
      </w:r>
      <w:r w:rsidRPr="000A2B5C">
        <w:rPr>
          <w:rFonts w:eastAsia="Calibri" w:cs="Times New Roman"/>
          <w:b/>
          <w:sz w:val="24"/>
          <w:szCs w:val="24"/>
          <w:lang w:val="uz-Cyrl-UZ"/>
        </w:rPr>
        <w:t xml:space="preserve"> </w:t>
      </w:r>
      <w:r w:rsidR="0014482A" w:rsidRPr="000A2B5C">
        <w:rPr>
          <w:rFonts w:eastAsia="Calibri" w:cs="Times New Roman"/>
          <w:b/>
          <w:sz w:val="24"/>
          <w:szCs w:val="24"/>
          <w:lang w:val="uz-Cyrl-UZ"/>
        </w:rPr>
        <w:t>старший преподаватель</w:t>
      </w:r>
      <w:r w:rsidR="0014482A" w:rsidRPr="0014482A">
        <w:rPr>
          <w:rFonts w:eastAsia="Calibri" w:cs="Times New Roman"/>
          <w:b/>
          <w:sz w:val="24"/>
          <w:szCs w:val="24"/>
          <w:lang w:val="ru-RU"/>
        </w:rPr>
        <w:t xml:space="preserve">, </w:t>
      </w:r>
      <w:r w:rsidRPr="000A2B5C">
        <w:rPr>
          <w:rFonts w:eastAsia="Calibri" w:cs="Times New Roman"/>
          <w:b/>
          <w:sz w:val="24"/>
          <w:szCs w:val="24"/>
        </w:rPr>
        <w:t>Ph</w:t>
      </w:r>
      <w:r w:rsidR="0014482A" w:rsidRPr="0014482A">
        <w:rPr>
          <w:rFonts w:eastAsia="Calibri" w:cs="Times New Roman"/>
          <w:b/>
          <w:sz w:val="24"/>
          <w:szCs w:val="24"/>
        </w:rPr>
        <w:t>D</w:t>
      </w:r>
    </w:p>
    <w:p w14:paraId="550423C6" w14:textId="29E673ED" w:rsidR="0014482A" w:rsidRDefault="000A2B5C" w:rsidP="0014482A">
      <w:pPr>
        <w:spacing w:line="276" w:lineRule="auto"/>
        <w:jc w:val="center"/>
        <w:rPr>
          <w:rFonts w:eastAsia="Calibri" w:cs="Times New Roman"/>
          <w:sz w:val="24"/>
          <w:szCs w:val="24"/>
          <w:lang w:val="uz-Cyrl-UZ"/>
        </w:rPr>
      </w:pPr>
      <w:r w:rsidRPr="000A2B5C">
        <w:rPr>
          <w:rFonts w:eastAsia="Calibri" w:cs="Times New Roman"/>
          <w:sz w:val="24"/>
          <w:szCs w:val="24"/>
          <w:lang w:val="uz-Cyrl-UZ"/>
        </w:rPr>
        <w:t>кафедр</w:t>
      </w:r>
      <w:r w:rsidR="0014482A">
        <w:rPr>
          <w:rFonts w:eastAsia="Calibri" w:cs="Times New Roman"/>
          <w:sz w:val="24"/>
          <w:szCs w:val="24"/>
          <w:lang w:val="uz-Cyrl-UZ"/>
        </w:rPr>
        <w:t>а</w:t>
      </w:r>
      <w:r w:rsidRPr="000A2B5C">
        <w:rPr>
          <w:rFonts w:eastAsia="Calibri" w:cs="Times New Roman"/>
          <w:sz w:val="24"/>
          <w:szCs w:val="24"/>
          <w:lang w:val="uz-Cyrl-UZ"/>
        </w:rPr>
        <w:t xml:space="preserve"> “Пропедевтика детских болезней, педиатрия и высшего сестринского дела”</w:t>
      </w:r>
    </w:p>
    <w:p w14:paraId="1552A259" w14:textId="3BCD49E9" w:rsidR="000A2B5C" w:rsidRPr="000A2B5C" w:rsidRDefault="000A2B5C" w:rsidP="0014482A">
      <w:pPr>
        <w:spacing w:line="276" w:lineRule="auto"/>
        <w:jc w:val="center"/>
        <w:rPr>
          <w:rFonts w:eastAsia="Calibri" w:cs="Times New Roman"/>
          <w:sz w:val="24"/>
          <w:szCs w:val="24"/>
          <w:lang w:val="uz-Cyrl-UZ"/>
        </w:rPr>
      </w:pPr>
      <w:r w:rsidRPr="000A2B5C">
        <w:rPr>
          <w:rFonts w:eastAsia="Calibri" w:cs="Times New Roman"/>
          <w:sz w:val="24"/>
          <w:szCs w:val="24"/>
          <w:lang w:val="uz-Cyrl-UZ"/>
        </w:rPr>
        <w:t>Ургенск</w:t>
      </w:r>
      <w:r w:rsidR="0014482A">
        <w:rPr>
          <w:rFonts w:eastAsia="Calibri" w:cs="Times New Roman"/>
          <w:sz w:val="24"/>
          <w:szCs w:val="24"/>
          <w:lang w:val="uz-Cyrl-UZ"/>
        </w:rPr>
        <w:t>ий</w:t>
      </w:r>
      <w:r w:rsidRPr="000A2B5C">
        <w:rPr>
          <w:rFonts w:eastAsia="Calibri" w:cs="Times New Roman"/>
          <w:sz w:val="24"/>
          <w:szCs w:val="24"/>
          <w:lang w:val="uz-Cyrl-UZ"/>
        </w:rPr>
        <w:t xml:space="preserve"> филиала Ташкентской медицинской академии</w:t>
      </w:r>
    </w:p>
    <w:p w14:paraId="335D2FA8" w14:textId="77777777" w:rsidR="0014482A" w:rsidRDefault="0014482A" w:rsidP="000A2B5C">
      <w:pPr>
        <w:spacing w:line="276" w:lineRule="auto"/>
        <w:ind w:firstLine="567"/>
        <w:jc w:val="both"/>
        <w:rPr>
          <w:rFonts w:eastAsia="Calibri" w:cs="Times New Roman"/>
          <w:b/>
          <w:sz w:val="24"/>
          <w:szCs w:val="24"/>
          <w:lang w:val="uz-Cyrl-UZ"/>
        </w:rPr>
      </w:pPr>
    </w:p>
    <w:p w14:paraId="4ADAD8BC" w14:textId="795E03BD" w:rsidR="0014482A" w:rsidRPr="0014482A" w:rsidRDefault="000A2B5C" w:rsidP="0014482A">
      <w:pPr>
        <w:spacing w:line="276" w:lineRule="auto"/>
        <w:jc w:val="center"/>
        <w:rPr>
          <w:rFonts w:eastAsia="Calibri" w:cs="Times New Roman"/>
          <w:b/>
          <w:sz w:val="24"/>
          <w:szCs w:val="24"/>
          <w:lang w:val="ru-RU"/>
        </w:rPr>
      </w:pPr>
      <w:r w:rsidRPr="000A2B5C">
        <w:rPr>
          <w:rFonts w:eastAsia="Calibri" w:cs="Times New Roman"/>
          <w:b/>
          <w:sz w:val="24"/>
          <w:szCs w:val="24"/>
          <w:lang w:val="uz-Cyrl-UZ"/>
        </w:rPr>
        <w:t>Шайхова Гули Исламовна</w:t>
      </w:r>
      <w:r w:rsidR="0014482A" w:rsidRPr="0014482A">
        <w:rPr>
          <w:rFonts w:eastAsia="Calibri" w:cs="Times New Roman"/>
          <w:b/>
          <w:sz w:val="24"/>
          <w:szCs w:val="24"/>
          <w:lang w:val="ru-RU"/>
        </w:rPr>
        <w:t>,</w:t>
      </w:r>
      <w:r w:rsidRPr="000A2B5C">
        <w:rPr>
          <w:rFonts w:eastAsia="Calibri" w:cs="Times New Roman"/>
          <w:b/>
          <w:sz w:val="24"/>
          <w:szCs w:val="24"/>
          <w:lang w:val="uz-Cyrl-UZ"/>
        </w:rPr>
        <w:t xml:space="preserve"> </w:t>
      </w:r>
      <w:r w:rsidR="0014482A" w:rsidRPr="0014482A">
        <w:rPr>
          <w:rFonts w:eastAsia="Calibri" w:cs="Times New Roman"/>
          <w:b/>
          <w:sz w:val="24"/>
          <w:szCs w:val="24"/>
          <w:lang w:val="ru-RU"/>
        </w:rPr>
        <w:t xml:space="preserve">доктор </w:t>
      </w:r>
      <w:r w:rsidRPr="000A2B5C">
        <w:rPr>
          <w:rFonts w:eastAsia="Calibri" w:cs="Times New Roman"/>
          <w:b/>
          <w:sz w:val="24"/>
          <w:szCs w:val="24"/>
          <w:lang w:val="ru-RU"/>
        </w:rPr>
        <w:t>медицинских наук, профессор</w:t>
      </w:r>
    </w:p>
    <w:p w14:paraId="078FFD8D" w14:textId="26C2625F" w:rsidR="0014482A" w:rsidRDefault="000A2B5C" w:rsidP="0014482A">
      <w:pPr>
        <w:spacing w:line="276" w:lineRule="auto"/>
        <w:jc w:val="center"/>
        <w:rPr>
          <w:rFonts w:eastAsia="Calibri" w:cs="Times New Roman"/>
          <w:sz w:val="24"/>
          <w:szCs w:val="24"/>
          <w:lang w:val="ru-RU"/>
        </w:rPr>
      </w:pPr>
      <w:r w:rsidRPr="000A2B5C">
        <w:rPr>
          <w:rFonts w:eastAsia="Calibri" w:cs="Times New Roman"/>
          <w:sz w:val="24"/>
          <w:szCs w:val="24"/>
          <w:lang w:val="ru-RU"/>
        </w:rPr>
        <w:t xml:space="preserve">кафедры </w:t>
      </w:r>
      <w:r w:rsidRPr="000A2B5C">
        <w:rPr>
          <w:rFonts w:eastAsia="Calibri" w:cs="Times New Roman"/>
          <w:sz w:val="24"/>
          <w:szCs w:val="24"/>
          <w:lang w:val="uz-Cyrl-UZ"/>
        </w:rPr>
        <w:t>“</w:t>
      </w:r>
      <w:r w:rsidRPr="000A2B5C">
        <w:rPr>
          <w:rFonts w:eastAsia="Calibri" w:cs="Times New Roman"/>
          <w:sz w:val="24"/>
          <w:szCs w:val="24"/>
          <w:lang w:val="ru-RU"/>
        </w:rPr>
        <w:t xml:space="preserve">Гигиены детей, </w:t>
      </w:r>
      <w:r w:rsidR="0014482A" w:rsidRPr="000A2B5C">
        <w:rPr>
          <w:rFonts w:eastAsia="Calibri" w:cs="Times New Roman"/>
          <w:sz w:val="24"/>
          <w:szCs w:val="24"/>
          <w:lang w:val="ru-RU"/>
        </w:rPr>
        <w:t>подростков</w:t>
      </w:r>
      <w:r w:rsidRPr="000A2B5C">
        <w:rPr>
          <w:rFonts w:eastAsia="Calibri" w:cs="Times New Roman"/>
          <w:sz w:val="24"/>
          <w:szCs w:val="24"/>
          <w:lang w:val="ru-RU"/>
        </w:rPr>
        <w:t xml:space="preserve"> и питания</w:t>
      </w:r>
      <w:r w:rsidRPr="000A2B5C">
        <w:rPr>
          <w:rFonts w:eastAsia="Calibri" w:cs="Times New Roman"/>
          <w:sz w:val="24"/>
          <w:szCs w:val="24"/>
          <w:lang w:val="uz-Cyrl-UZ"/>
        </w:rPr>
        <w:t>”</w:t>
      </w:r>
    </w:p>
    <w:p w14:paraId="1E2ADA38" w14:textId="5E87AFE0" w:rsidR="000A2B5C" w:rsidRPr="000A2B5C" w:rsidRDefault="000A2B5C" w:rsidP="0014482A">
      <w:pPr>
        <w:spacing w:line="276" w:lineRule="auto"/>
        <w:jc w:val="center"/>
        <w:rPr>
          <w:rFonts w:eastAsia="Calibri" w:cs="Times New Roman"/>
          <w:b/>
          <w:i/>
          <w:iCs/>
          <w:sz w:val="24"/>
          <w:szCs w:val="24"/>
          <w:lang w:val="ru-RU"/>
        </w:rPr>
      </w:pPr>
      <w:r w:rsidRPr="000A2B5C">
        <w:rPr>
          <w:rFonts w:eastAsia="Calibri" w:cs="Times New Roman"/>
          <w:sz w:val="24"/>
          <w:szCs w:val="24"/>
          <w:lang w:val="ru-RU"/>
        </w:rPr>
        <w:t>Ташкентской медицинской академии</w:t>
      </w:r>
      <w:r w:rsidR="0014482A" w:rsidRPr="0014482A">
        <w:rPr>
          <w:rFonts w:eastAsia="Calibri" w:cs="Times New Roman"/>
          <w:sz w:val="24"/>
          <w:szCs w:val="24"/>
          <w:lang w:val="ru-RU"/>
        </w:rPr>
        <w:t>, Ташкент, Узбекистан</w:t>
      </w:r>
    </w:p>
    <w:p w14:paraId="09DC0BCC" w14:textId="77777777" w:rsidR="0014482A" w:rsidRDefault="0014482A" w:rsidP="000A2B5C">
      <w:pPr>
        <w:spacing w:line="276" w:lineRule="auto"/>
        <w:ind w:firstLine="567"/>
        <w:jc w:val="both"/>
        <w:rPr>
          <w:rFonts w:eastAsia="Calibri" w:cs="Times New Roman"/>
          <w:b/>
          <w:bCs/>
          <w:i/>
          <w:iCs/>
          <w:sz w:val="24"/>
          <w:szCs w:val="24"/>
          <w:lang w:val="ru-RU"/>
        </w:rPr>
      </w:pPr>
      <w:bookmarkStart w:id="30" w:name="OLE_LINK57"/>
      <w:bookmarkEnd w:id="29"/>
    </w:p>
    <w:p w14:paraId="6D025E6C" w14:textId="4D9936E7" w:rsidR="000A2B5C" w:rsidRPr="000A2B5C" w:rsidRDefault="000A2B5C" w:rsidP="000A2B5C">
      <w:pPr>
        <w:spacing w:line="276" w:lineRule="auto"/>
        <w:ind w:firstLine="567"/>
        <w:jc w:val="both"/>
        <w:rPr>
          <w:rFonts w:eastAsia="Calibri" w:cs="Times New Roman"/>
          <w:i/>
          <w:sz w:val="24"/>
          <w:szCs w:val="24"/>
          <w:lang w:val="uz-Cyrl-UZ"/>
        </w:rPr>
      </w:pPr>
      <w:r w:rsidRPr="000A2B5C">
        <w:rPr>
          <w:rFonts w:eastAsia="Calibri" w:cs="Times New Roman"/>
          <w:b/>
          <w:bCs/>
          <w:i/>
          <w:iCs/>
          <w:sz w:val="24"/>
          <w:szCs w:val="24"/>
          <w:lang w:val="ru-RU"/>
        </w:rPr>
        <w:t>Резюме</w:t>
      </w:r>
      <w:r w:rsidRPr="000A2B5C">
        <w:rPr>
          <w:rFonts w:eastAsia="Calibri" w:cs="Times New Roman"/>
          <w:b/>
          <w:i/>
          <w:sz w:val="24"/>
          <w:szCs w:val="24"/>
          <w:lang w:val="uz-Cyrl-UZ"/>
        </w:rPr>
        <w:t xml:space="preserve">. </w:t>
      </w:r>
      <w:r w:rsidRPr="000A2B5C">
        <w:rPr>
          <w:rFonts w:eastAsia="Calibri" w:cs="Times New Roman"/>
          <w:i/>
          <w:sz w:val="24"/>
          <w:szCs w:val="24"/>
          <w:lang w:val="uz-Cyrl-UZ"/>
        </w:rPr>
        <w:t>В комплексном лечении острых и хронических заболеваний почек у детей важную роль играет диетотерапия. К лечебному питанию предъявляются высокие требования, так как почки являются основным органом выведения продуктов обмена, поступающих с пищей и образующихся в результате распада тканей организма, а также органом, отвечающим за поддержание постоянства внутренняя обстановка. При определенных условиях возникает необходимость коррекции в рационе таких пищевых веществ, как животный белок, глютен, оксалаты, ураты, фосфаты, продукты метаболизма которых выводятся через почки и влияют не только на патогенетические механизмы развития заболевания, но и участвуют в формировании неиммунных процессов прогрессирования заболевания до стадии почечной недостаточности.</w:t>
      </w:r>
    </w:p>
    <w:p w14:paraId="0EED4B66" w14:textId="77777777" w:rsidR="000A2B5C" w:rsidRPr="000A2B5C" w:rsidRDefault="000A2B5C" w:rsidP="000A2B5C">
      <w:pPr>
        <w:spacing w:line="276" w:lineRule="auto"/>
        <w:ind w:firstLine="567"/>
        <w:jc w:val="both"/>
        <w:rPr>
          <w:rFonts w:eastAsia="Calibri" w:cs="Times New Roman"/>
          <w:i/>
          <w:iCs/>
          <w:sz w:val="24"/>
          <w:szCs w:val="24"/>
          <w:lang w:val="ru-RU"/>
        </w:rPr>
      </w:pPr>
      <w:r w:rsidRPr="000A2B5C">
        <w:rPr>
          <w:rFonts w:eastAsia="Calibri" w:cs="Times New Roman"/>
          <w:b/>
          <w:i/>
          <w:sz w:val="24"/>
          <w:szCs w:val="24"/>
          <w:lang w:val="uz-Cyrl-UZ"/>
        </w:rPr>
        <w:lastRenderedPageBreak/>
        <w:t xml:space="preserve">Ключевые слова: </w:t>
      </w:r>
      <w:bookmarkEnd w:id="28"/>
      <w:r w:rsidRPr="000A2B5C">
        <w:rPr>
          <w:rFonts w:eastAsia="Calibri" w:cs="Times New Roman"/>
          <w:i/>
          <w:iCs/>
          <w:sz w:val="24"/>
          <w:szCs w:val="24"/>
          <w:lang w:val="ru-RU"/>
        </w:rPr>
        <w:t>дисметаболическая нефропатия у детей, диетотерапия, кристаллурия,</w:t>
      </w:r>
      <w:r w:rsidRPr="000A2B5C">
        <w:rPr>
          <w:rFonts w:eastAsia="Calibri" w:cs="Times New Roman"/>
          <w:i/>
          <w:sz w:val="24"/>
          <w:szCs w:val="24"/>
          <w:lang w:val="ru-RU"/>
        </w:rPr>
        <w:t xml:space="preserve"> </w:t>
      </w:r>
      <w:r w:rsidRPr="000A2B5C">
        <w:rPr>
          <w:rFonts w:eastAsia="Calibri" w:cs="Times New Roman"/>
          <w:i/>
          <w:iCs/>
          <w:sz w:val="24"/>
          <w:szCs w:val="24"/>
          <w:lang w:val="ru-RU"/>
        </w:rPr>
        <w:t>оксалурия.</w:t>
      </w:r>
    </w:p>
    <w:bookmarkEnd w:id="30"/>
    <w:p w14:paraId="07451A8F" w14:textId="77777777" w:rsidR="0014482A" w:rsidRDefault="0014482A" w:rsidP="0014482A">
      <w:pPr>
        <w:spacing w:line="276" w:lineRule="auto"/>
        <w:jc w:val="both"/>
        <w:rPr>
          <w:rFonts w:eastAsia="Calibri" w:cs="Times New Roman"/>
          <w:b/>
          <w:bCs/>
          <w:i/>
          <w:iCs/>
          <w:sz w:val="24"/>
          <w:szCs w:val="24"/>
          <w:lang w:val="ru-RU"/>
        </w:rPr>
      </w:pPr>
    </w:p>
    <w:p w14:paraId="26865227" w14:textId="77777777" w:rsidR="0014482A" w:rsidRDefault="0014482A" w:rsidP="0014482A">
      <w:pPr>
        <w:spacing w:line="276" w:lineRule="auto"/>
        <w:jc w:val="both"/>
        <w:rPr>
          <w:rFonts w:eastAsia="Calibri" w:cs="Times New Roman"/>
          <w:b/>
          <w:bCs/>
          <w:i/>
          <w:iCs/>
          <w:sz w:val="24"/>
          <w:szCs w:val="24"/>
          <w:lang w:val="ru-RU"/>
        </w:rPr>
      </w:pPr>
    </w:p>
    <w:p w14:paraId="7BF7C454" w14:textId="4ABAEA26" w:rsidR="000A2B5C" w:rsidRDefault="000A2B5C" w:rsidP="0014482A">
      <w:pPr>
        <w:spacing w:line="276" w:lineRule="auto"/>
        <w:jc w:val="center"/>
        <w:rPr>
          <w:rFonts w:eastAsia="Calibri" w:cs="Times New Roman"/>
          <w:b/>
          <w:bCs/>
          <w:iCs/>
          <w:sz w:val="24"/>
          <w:szCs w:val="24"/>
          <w:lang w:val="uz-Cyrl-UZ"/>
        </w:rPr>
      </w:pPr>
      <w:r w:rsidRPr="000A2B5C">
        <w:rPr>
          <w:rFonts w:eastAsia="Calibri" w:cs="Times New Roman"/>
          <w:b/>
          <w:bCs/>
          <w:iCs/>
          <w:sz w:val="24"/>
          <w:szCs w:val="24"/>
        </w:rPr>
        <w:t>OROL</w:t>
      </w:r>
      <w:r w:rsidRPr="000A2B5C">
        <w:rPr>
          <w:rFonts w:eastAsia="Calibri" w:cs="Times New Roman"/>
          <w:b/>
          <w:bCs/>
          <w:iCs/>
          <w:sz w:val="24"/>
          <w:szCs w:val="24"/>
          <w:lang w:val="ru-RU"/>
        </w:rPr>
        <w:t xml:space="preserve"> </w:t>
      </w:r>
      <w:r w:rsidRPr="000A2B5C">
        <w:rPr>
          <w:rFonts w:eastAsia="Calibri" w:cs="Times New Roman"/>
          <w:b/>
          <w:bCs/>
          <w:iCs/>
          <w:sz w:val="24"/>
          <w:szCs w:val="24"/>
        </w:rPr>
        <w:t>BO</w:t>
      </w:r>
      <w:r w:rsidRPr="000A2B5C">
        <w:rPr>
          <w:rFonts w:eastAsia="Calibri" w:cs="Times New Roman"/>
          <w:b/>
          <w:bCs/>
          <w:iCs/>
          <w:sz w:val="24"/>
          <w:szCs w:val="24"/>
          <w:lang w:val="ru-RU"/>
        </w:rPr>
        <w:t>ʼ</w:t>
      </w:r>
      <w:r w:rsidRPr="000A2B5C">
        <w:rPr>
          <w:rFonts w:eastAsia="Calibri" w:cs="Times New Roman"/>
          <w:b/>
          <w:bCs/>
          <w:iCs/>
          <w:sz w:val="24"/>
          <w:szCs w:val="24"/>
        </w:rPr>
        <w:t>YI</w:t>
      </w:r>
      <w:r w:rsidRPr="000A2B5C">
        <w:rPr>
          <w:rFonts w:eastAsia="Calibri" w:cs="Times New Roman"/>
          <w:b/>
          <w:bCs/>
          <w:iCs/>
          <w:sz w:val="24"/>
          <w:szCs w:val="24"/>
          <w:lang w:val="ru-RU"/>
        </w:rPr>
        <w:t xml:space="preserve"> </w:t>
      </w:r>
      <w:r w:rsidRPr="000A2B5C">
        <w:rPr>
          <w:rFonts w:eastAsia="Calibri" w:cs="Times New Roman"/>
          <w:b/>
          <w:bCs/>
          <w:iCs/>
          <w:sz w:val="24"/>
          <w:szCs w:val="24"/>
        </w:rPr>
        <w:t>HUDUDIDAGI</w:t>
      </w:r>
      <w:r w:rsidRPr="000A2B5C">
        <w:rPr>
          <w:rFonts w:eastAsia="Calibri" w:cs="Times New Roman"/>
          <w:b/>
          <w:bCs/>
          <w:iCs/>
          <w:sz w:val="24"/>
          <w:szCs w:val="24"/>
          <w:lang w:val="ru-RU"/>
        </w:rPr>
        <w:t xml:space="preserve"> </w:t>
      </w:r>
      <w:r w:rsidRPr="000A2B5C">
        <w:rPr>
          <w:rFonts w:eastAsia="Calibri" w:cs="Times New Roman"/>
          <w:b/>
          <w:bCs/>
          <w:iCs/>
          <w:sz w:val="24"/>
          <w:szCs w:val="24"/>
        </w:rPr>
        <w:t>BOLALARDA</w:t>
      </w:r>
      <w:r w:rsidRPr="000A2B5C">
        <w:rPr>
          <w:rFonts w:eastAsia="Calibri" w:cs="Times New Roman"/>
          <w:b/>
          <w:bCs/>
          <w:iCs/>
          <w:sz w:val="24"/>
          <w:szCs w:val="24"/>
          <w:lang w:val="ru-RU"/>
        </w:rPr>
        <w:t xml:space="preserve"> </w:t>
      </w:r>
      <w:r w:rsidRPr="000A2B5C">
        <w:rPr>
          <w:rFonts w:eastAsia="Calibri" w:cs="Times New Roman"/>
          <w:b/>
          <w:bCs/>
          <w:iCs/>
          <w:sz w:val="24"/>
          <w:szCs w:val="24"/>
        </w:rPr>
        <w:t>OKSALATLI</w:t>
      </w:r>
      <w:r w:rsidRPr="000A2B5C">
        <w:rPr>
          <w:rFonts w:eastAsia="Calibri" w:cs="Times New Roman"/>
          <w:b/>
          <w:bCs/>
          <w:iCs/>
          <w:sz w:val="24"/>
          <w:szCs w:val="24"/>
          <w:lang w:val="ru-RU"/>
        </w:rPr>
        <w:t xml:space="preserve"> </w:t>
      </w:r>
      <w:r w:rsidRPr="000A2B5C">
        <w:rPr>
          <w:rFonts w:eastAsia="Calibri" w:cs="Times New Roman"/>
          <w:b/>
          <w:bCs/>
          <w:iCs/>
          <w:sz w:val="24"/>
          <w:szCs w:val="24"/>
        </w:rPr>
        <w:t>NEFROPATIYANING</w:t>
      </w:r>
      <w:r w:rsidRPr="000A2B5C">
        <w:rPr>
          <w:rFonts w:eastAsia="Calibri" w:cs="Times New Roman"/>
          <w:b/>
          <w:bCs/>
          <w:iCs/>
          <w:sz w:val="24"/>
          <w:szCs w:val="24"/>
          <w:lang w:val="ru-RU"/>
        </w:rPr>
        <w:t xml:space="preserve"> </w:t>
      </w:r>
      <w:r w:rsidRPr="000A2B5C">
        <w:rPr>
          <w:rFonts w:eastAsia="Calibri" w:cs="Times New Roman"/>
          <w:b/>
          <w:bCs/>
          <w:iCs/>
          <w:sz w:val="24"/>
          <w:szCs w:val="24"/>
        </w:rPr>
        <w:t>RAVOJLANISH</w:t>
      </w:r>
      <w:r w:rsidRPr="000A2B5C">
        <w:rPr>
          <w:rFonts w:eastAsia="Calibri" w:cs="Times New Roman"/>
          <w:b/>
          <w:bCs/>
          <w:iCs/>
          <w:sz w:val="24"/>
          <w:szCs w:val="24"/>
          <w:lang w:val="ru-RU"/>
        </w:rPr>
        <w:t xml:space="preserve"> </w:t>
      </w:r>
      <w:r w:rsidRPr="000A2B5C">
        <w:rPr>
          <w:rFonts w:eastAsia="Calibri" w:cs="Times New Roman"/>
          <w:b/>
          <w:bCs/>
          <w:iCs/>
          <w:sz w:val="24"/>
          <w:szCs w:val="24"/>
        </w:rPr>
        <w:t>DARAJASINING</w:t>
      </w:r>
      <w:r w:rsidRPr="000A2B5C">
        <w:rPr>
          <w:rFonts w:eastAsia="Calibri" w:cs="Times New Roman"/>
          <w:b/>
          <w:bCs/>
          <w:iCs/>
          <w:sz w:val="24"/>
          <w:szCs w:val="24"/>
          <w:lang w:val="ru-RU"/>
        </w:rPr>
        <w:t xml:space="preserve"> </w:t>
      </w:r>
      <w:r w:rsidRPr="000A2B5C">
        <w:rPr>
          <w:rFonts w:eastAsia="Calibri" w:cs="Times New Roman"/>
          <w:b/>
          <w:bCs/>
          <w:iCs/>
          <w:sz w:val="24"/>
          <w:szCs w:val="24"/>
        </w:rPr>
        <w:t>O</w:t>
      </w:r>
      <w:r w:rsidRPr="000A2B5C">
        <w:rPr>
          <w:rFonts w:eastAsia="Calibri" w:cs="Times New Roman"/>
          <w:b/>
          <w:bCs/>
          <w:iCs/>
          <w:sz w:val="24"/>
          <w:szCs w:val="24"/>
          <w:lang w:val="ru-RU"/>
        </w:rPr>
        <w:t>ʼ</w:t>
      </w:r>
      <w:r w:rsidRPr="000A2B5C">
        <w:rPr>
          <w:rFonts w:eastAsia="Calibri" w:cs="Times New Roman"/>
          <w:b/>
          <w:bCs/>
          <w:iCs/>
          <w:sz w:val="24"/>
          <w:szCs w:val="24"/>
        </w:rPr>
        <w:t>ZIGA</w:t>
      </w:r>
      <w:r w:rsidRPr="000A2B5C">
        <w:rPr>
          <w:rFonts w:eastAsia="Calibri" w:cs="Times New Roman"/>
          <w:b/>
          <w:bCs/>
          <w:iCs/>
          <w:sz w:val="24"/>
          <w:szCs w:val="24"/>
          <w:lang w:val="ru-RU"/>
        </w:rPr>
        <w:t xml:space="preserve"> </w:t>
      </w:r>
      <w:r w:rsidRPr="000A2B5C">
        <w:rPr>
          <w:rFonts w:eastAsia="Calibri" w:cs="Times New Roman"/>
          <w:b/>
          <w:bCs/>
          <w:iCs/>
          <w:sz w:val="24"/>
          <w:szCs w:val="24"/>
        </w:rPr>
        <w:t>XOS</w:t>
      </w:r>
      <w:r w:rsidRPr="000A2B5C">
        <w:rPr>
          <w:rFonts w:eastAsia="Calibri" w:cs="Times New Roman"/>
          <w:b/>
          <w:bCs/>
          <w:iCs/>
          <w:sz w:val="24"/>
          <w:szCs w:val="24"/>
          <w:lang w:val="ru-RU"/>
        </w:rPr>
        <w:t xml:space="preserve"> </w:t>
      </w:r>
      <w:r w:rsidRPr="000A2B5C">
        <w:rPr>
          <w:rFonts w:eastAsia="Calibri" w:cs="Times New Roman"/>
          <w:b/>
          <w:bCs/>
          <w:iCs/>
          <w:sz w:val="24"/>
          <w:szCs w:val="24"/>
        </w:rPr>
        <w:t>XUSUSIYATLARI</w:t>
      </w:r>
      <w:r w:rsidRPr="000A2B5C">
        <w:rPr>
          <w:rFonts w:eastAsia="Calibri" w:cs="Times New Roman"/>
          <w:b/>
          <w:bCs/>
          <w:iCs/>
          <w:sz w:val="24"/>
          <w:szCs w:val="24"/>
          <w:lang w:val="ru-RU"/>
        </w:rPr>
        <w:t xml:space="preserve"> </w:t>
      </w:r>
      <w:r w:rsidRPr="000A2B5C">
        <w:rPr>
          <w:rFonts w:eastAsia="Calibri" w:cs="Times New Roman"/>
          <w:b/>
          <w:bCs/>
          <w:iCs/>
          <w:sz w:val="24"/>
          <w:szCs w:val="24"/>
        </w:rPr>
        <w:t>VA</w:t>
      </w:r>
      <w:r w:rsidRPr="000A2B5C">
        <w:rPr>
          <w:rFonts w:eastAsia="Calibri" w:cs="Times New Roman"/>
          <w:b/>
          <w:bCs/>
          <w:iCs/>
          <w:sz w:val="24"/>
          <w:szCs w:val="24"/>
          <w:lang w:val="ru-RU"/>
        </w:rPr>
        <w:t xml:space="preserve"> </w:t>
      </w:r>
      <w:r w:rsidRPr="000A2B5C">
        <w:rPr>
          <w:rFonts w:eastAsia="Calibri" w:cs="Times New Roman"/>
          <w:b/>
          <w:bCs/>
          <w:iCs/>
          <w:sz w:val="24"/>
          <w:szCs w:val="24"/>
        </w:rPr>
        <w:t>DAVOLASHDA</w:t>
      </w:r>
      <w:r w:rsidRPr="000A2B5C">
        <w:rPr>
          <w:rFonts w:eastAsia="Calibri" w:cs="Times New Roman"/>
          <w:b/>
          <w:bCs/>
          <w:iCs/>
          <w:sz w:val="24"/>
          <w:szCs w:val="24"/>
          <w:lang w:val="ru-RU"/>
        </w:rPr>
        <w:t xml:space="preserve"> </w:t>
      </w:r>
      <w:r w:rsidRPr="000A2B5C">
        <w:rPr>
          <w:rFonts w:eastAsia="Calibri" w:cs="Times New Roman"/>
          <w:b/>
          <w:bCs/>
          <w:iCs/>
          <w:sz w:val="24"/>
          <w:szCs w:val="24"/>
        </w:rPr>
        <w:t>MINTAQAVIY</w:t>
      </w:r>
      <w:r w:rsidRPr="000A2B5C">
        <w:rPr>
          <w:rFonts w:eastAsia="Calibri" w:cs="Times New Roman"/>
          <w:b/>
          <w:bCs/>
          <w:iCs/>
          <w:sz w:val="24"/>
          <w:szCs w:val="24"/>
          <w:lang w:val="ru-RU"/>
        </w:rPr>
        <w:t xml:space="preserve"> </w:t>
      </w:r>
      <w:r w:rsidRPr="000A2B5C">
        <w:rPr>
          <w:rFonts w:eastAsia="Calibri" w:cs="Times New Roman"/>
          <w:b/>
          <w:bCs/>
          <w:iCs/>
          <w:sz w:val="24"/>
          <w:szCs w:val="24"/>
        </w:rPr>
        <w:t>YONDASHISH</w:t>
      </w:r>
    </w:p>
    <w:p w14:paraId="7FB584C3" w14:textId="6994B299" w:rsidR="0014482A" w:rsidRPr="000A2B5C" w:rsidRDefault="0014482A" w:rsidP="0014482A">
      <w:pPr>
        <w:spacing w:line="276" w:lineRule="auto"/>
        <w:jc w:val="both"/>
        <w:rPr>
          <w:rFonts w:eastAsia="Calibri" w:cs="Times New Roman"/>
          <w:b/>
          <w:bCs/>
          <w:iCs/>
          <w:sz w:val="24"/>
          <w:szCs w:val="24"/>
          <w:lang w:val="uz-Cyrl-UZ"/>
        </w:rPr>
      </w:pPr>
    </w:p>
    <w:p w14:paraId="7E922828" w14:textId="67ECF7A6" w:rsidR="00D40313" w:rsidRPr="00D40313" w:rsidRDefault="000A2B5C" w:rsidP="00D40313">
      <w:pPr>
        <w:spacing w:line="276" w:lineRule="auto"/>
        <w:jc w:val="center"/>
        <w:rPr>
          <w:rFonts w:eastAsia="Calibri" w:cs="Times New Roman"/>
          <w:b/>
          <w:bCs/>
          <w:iCs/>
          <w:sz w:val="24"/>
          <w:szCs w:val="24"/>
          <w:lang w:val="uz-Cyrl-UZ"/>
        </w:rPr>
      </w:pPr>
      <w:r w:rsidRPr="000A2B5C">
        <w:rPr>
          <w:rFonts w:eastAsia="Calibri" w:cs="Times New Roman"/>
          <w:b/>
          <w:bCs/>
          <w:iCs/>
          <w:sz w:val="24"/>
          <w:szCs w:val="24"/>
          <w:lang w:val="uz-Cyrl-UZ"/>
        </w:rPr>
        <w:t>Tajiyeva Zebo Bahadirovna</w:t>
      </w:r>
      <w:r w:rsidR="00D40313" w:rsidRPr="00D40313">
        <w:rPr>
          <w:rFonts w:eastAsia="Calibri" w:cs="Times New Roman"/>
          <w:b/>
          <w:bCs/>
          <w:iCs/>
          <w:sz w:val="24"/>
          <w:szCs w:val="24"/>
          <w:lang w:val="uz-Cyrl-UZ"/>
        </w:rPr>
        <w:t>,</w:t>
      </w:r>
      <w:r w:rsidRPr="000A2B5C">
        <w:rPr>
          <w:rFonts w:eastAsia="Calibri" w:cs="Times New Roman"/>
          <w:b/>
          <w:bCs/>
          <w:iCs/>
          <w:sz w:val="24"/>
          <w:szCs w:val="24"/>
          <w:lang w:val="uz-Cyrl-UZ"/>
        </w:rPr>
        <w:t xml:space="preserve"> Ph</w:t>
      </w:r>
      <w:r w:rsidR="0014482A" w:rsidRPr="00D40313">
        <w:rPr>
          <w:rFonts w:eastAsia="Calibri" w:cs="Times New Roman"/>
          <w:b/>
          <w:bCs/>
          <w:iCs/>
          <w:sz w:val="24"/>
          <w:szCs w:val="24"/>
          <w:lang w:val="uz-Cyrl-UZ"/>
        </w:rPr>
        <w:t>D</w:t>
      </w:r>
      <w:r w:rsidR="00D40313" w:rsidRPr="00D40313">
        <w:rPr>
          <w:rFonts w:eastAsia="Calibri" w:cs="Times New Roman"/>
          <w:b/>
          <w:bCs/>
          <w:iCs/>
          <w:sz w:val="24"/>
          <w:szCs w:val="24"/>
          <w:lang w:val="uz-Cyrl-UZ"/>
        </w:rPr>
        <w:t>,</w:t>
      </w:r>
      <w:r w:rsidRPr="000A2B5C">
        <w:rPr>
          <w:rFonts w:eastAsia="Calibri" w:cs="Times New Roman"/>
          <w:b/>
          <w:bCs/>
          <w:iCs/>
          <w:sz w:val="24"/>
          <w:szCs w:val="24"/>
          <w:lang w:val="uz-Cyrl-UZ"/>
        </w:rPr>
        <w:t xml:space="preserve"> </w:t>
      </w:r>
      <w:r w:rsidR="00D40313" w:rsidRPr="000A2B5C">
        <w:rPr>
          <w:rFonts w:eastAsia="Calibri" w:cs="Times New Roman"/>
          <w:b/>
          <w:bCs/>
          <w:iCs/>
          <w:sz w:val="24"/>
          <w:szCs w:val="24"/>
          <w:lang w:val="uz-Cyrl-UZ"/>
        </w:rPr>
        <w:t>katta o‘qituvchisi</w:t>
      </w:r>
    </w:p>
    <w:p w14:paraId="6B33D581" w14:textId="08E57C57" w:rsidR="000A2B5C" w:rsidRPr="000A2B5C" w:rsidRDefault="000A2B5C" w:rsidP="00D40313">
      <w:pPr>
        <w:spacing w:line="276" w:lineRule="auto"/>
        <w:jc w:val="center"/>
        <w:rPr>
          <w:rFonts w:eastAsia="Calibri" w:cs="Times New Roman"/>
          <w:bCs/>
          <w:iCs/>
          <w:sz w:val="24"/>
          <w:szCs w:val="24"/>
          <w:lang w:val="uz-Cyrl-UZ"/>
        </w:rPr>
      </w:pPr>
      <w:r w:rsidRPr="000A2B5C">
        <w:rPr>
          <w:rFonts w:eastAsia="Calibri" w:cs="Times New Roman"/>
          <w:bCs/>
          <w:iCs/>
          <w:sz w:val="24"/>
          <w:szCs w:val="24"/>
          <w:lang w:val="uz-Cyrl-UZ"/>
        </w:rPr>
        <w:t>Toshkent tibbiyot akademiyasi Urganch filiali Bolalar kasalliklari propedevtikasi, pediatriya va oliy hamshiralik ishi kafedrasi</w:t>
      </w:r>
    </w:p>
    <w:p w14:paraId="3A08291E" w14:textId="77777777" w:rsidR="00D40313" w:rsidRDefault="00D40313" w:rsidP="00D40313">
      <w:pPr>
        <w:spacing w:line="276" w:lineRule="auto"/>
        <w:jc w:val="both"/>
        <w:rPr>
          <w:rFonts w:eastAsia="Calibri" w:cs="Times New Roman"/>
          <w:b/>
          <w:bCs/>
          <w:iCs/>
          <w:sz w:val="24"/>
          <w:szCs w:val="24"/>
          <w:lang w:val="uz-Cyrl-UZ"/>
        </w:rPr>
      </w:pPr>
    </w:p>
    <w:p w14:paraId="3143A313" w14:textId="77777777" w:rsidR="00D40313" w:rsidRPr="00D40313" w:rsidRDefault="000A2B5C" w:rsidP="00D40313">
      <w:pPr>
        <w:spacing w:line="276" w:lineRule="auto"/>
        <w:jc w:val="center"/>
        <w:rPr>
          <w:rFonts w:eastAsia="Calibri" w:cs="Times New Roman"/>
          <w:b/>
          <w:bCs/>
          <w:iCs/>
          <w:sz w:val="24"/>
          <w:szCs w:val="24"/>
          <w:lang w:val="uz-Cyrl-UZ"/>
        </w:rPr>
      </w:pPr>
      <w:r w:rsidRPr="000A2B5C">
        <w:rPr>
          <w:rFonts w:eastAsia="Calibri" w:cs="Times New Roman"/>
          <w:b/>
          <w:bCs/>
          <w:iCs/>
          <w:sz w:val="24"/>
          <w:szCs w:val="24"/>
          <w:lang w:val="uz-Cyrl-UZ"/>
        </w:rPr>
        <w:t>Shayxova Guli Islomovna</w:t>
      </w:r>
      <w:r w:rsidR="00D40313" w:rsidRPr="00D40313">
        <w:rPr>
          <w:rFonts w:eastAsia="Calibri" w:cs="Times New Roman"/>
          <w:b/>
          <w:bCs/>
          <w:iCs/>
          <w:sz w:val="24"/>
          <w:szCs w:val="24"/>
          <w:lang w:val="uz-Cyrl-UZ"/>
        </w:rPr>
        <w:t>,</w:t>
      </w:r>
      <w:r w:rsidRPr="000A2B5C">
        <w:rPr>
          <w:rFonts w:eastAsia="Calibri" w:cs="Times New Roman"/>
          <w:b/>
          <w:bCs/>
          <w:i/>
          <w:iCs/>
          <w:sz w:val="24"/>
          <w:szCs w:val="24"/>
          <w:lang w:val="uz-Cyrl-UZ"/>
        </w:rPr>
        <w:t xml:space="preserve"> </w:t>
      </w:r>
      <w:r w:rsidR="00D40313" w:rsidRPr="000A2B5C">
        <w:rPr>
          <w:rFonts w:eastAsia="Calibri" w:cs="Times New Roman"/>
          <w:b/>
          <w:bCs/>
          <w:iCs/>
          <w:sz w:val="24"/>
          <w:szCs w:val="24"/>
          <w:lang w:val="uz-Cyrl-UZ"/>
        </w:rPr>
        <w:t>professor</w:t>
      </w:r>
      <w:r w:rsidR="00D40313" w:rsidRPr="00D40313">
        <w:rPr>
          <w:rFonts w:eastAsia="Calibri" w:cs="Times New Roman"/>
          <w:b/>
          <w:bCs/>
          <w:iCs/>
          <w:sz w:val="24"/>
          <w:szCs w:val="24"/>
          <w:lang w:val="uz-Cyrl-UZ"/>
        </w:rPr>
        <w:t xml:space="preserve">, </w:t>
      </w:r>
      <w:r w:rsidRPr="000A2B5C">
        <w:rPr>
          <w:rFonts w:eastAsia="Calibri" w:cs="Times New Roman"/>
          <w:b/>
          <w:bCs/>
          <w:iCs/>
          <w:sz w:val="24"/>
          <w:szCs w:val="24"/>
          <w:lang w:val="uz-Cyrl-UZ"/>
        </w:rPr>
        <w:t>Tibbiyot fanlari doktori</w:t>
      </w:r>
    </w:p>
    <w:p w14:paraId="506D530E" w14:textId="71D25D51" w:rsidR="00D40313" w:rsidRDefault="00D40313" w:rsidP="00D40313">
      <w:pPr>
        <w:spacing w:line="276" w:lineRule="auto"/>
        <w:jc w:val="center"/>
        <w:rPr>
          <w:rFonts w:eastAsia="Calibri" w:cs="Times New Roman"/>
          <w:bCs/>
          <w:iCs/>
          <w:sz w:val="24"/>
          <w:szCs w:val="24"/>
          <w:lang w:val="uz-Cyrl-UZ"/>
        </w:rPr>
      </w:pPr>
      <w:r w:rsidRPr="000A2B5C">
        <w:rPr>
          <w:rFonts w:eastAsia="Calibri" w:cs="Times New Roman"/>
          <w:bCs/>
          <w:iCs/>
          <w:sz w:val="24"/>
          <w:szCs w:val="24"/>
          <w:lang w:val="uz-Cyrl-UZ"/>
        </w:rPr>
        <w:t>Bolalar</w:t>
      </w:r>
      <w:r w:rsidR="000A2B5C" w:rsidRPr="000A2B5C">
        <w:rPr>
          <w:rFonts w:eastAsia="Calibri" w:cs="Times New Roman"/>
          <w:bCs/>
          <w:iCs/>
          <w:sz w:val="24"/>
          <w:szCs w:val="24"/>
          <w:lang w:val="uz-Cyrl-UZ"/>
        </w:rPr>
        <w:t>, o‘smirlar va ovqatlanish gigiyenasi kafedrasi</w:t>
      </w:r>
      <w:r w:rsidRPr="00D40313">
        <w:rPr>
          <w:rFonts w:eastAsia="Calibri" w:cs="Times New Roman"/>
          <w:bCs/>
          <w:iCs/>
          <w:sz w:val="24"/>
          <w:szCs w:val="24"/>
          <w:lang w:val="uz-Cyrl-UZ"/>
        </w:rPr>
        <w:t xml:space="preserve"> </w:t>
      </w:r>
    </w:p>
    <w:p w14:paraId="3E92B3F8" w14:textId="6606E6CD" w:rsidR="000A2B5C" w:rsidRPr="00D40313" w:rsidRDefault="00D40313" w:rsidP="00D40313">
      <w:pPr>
        <w:spacing w:line="276" w:lineRule="auto"/>
        <w:jc w:val="center"/>
        <w:rPr>
          <w:rFonts w:eastAsia="Calibri" w:cs="Times New Roman"/>
          <w:bCs/>
          <w:iCs/>
          <w:sz w:val="24"/>
          <w:szCs w:val="24"/>
          <w:lang w:val="uz-Cyrl-UZ"/>
        </w:rPr>
      </w:pPr>
      <w:r w:rsidRPr="000A2B5C">
        <w:rPr>
          <w:rFonts w:eastAsia="Calibri" w:cs="Times New Roman"/>
          <w:bCs/>
          <w:iCs/>
          <w:sz w:val="24"/>
          <w:szCs w:val="24"/>
          <w:lang w:val="uz-Cyrl-UZ"/>
        </w:rPr>
        <w:t>Toshkent tibbiyot akademiyasi</w:t>
      </w:r>
      <w:r w:rsidRPr="00D40313">
        <w:rPr>
          <w:rFonts w:eastAsia="Calibri" w:cs="Times New Roman"/>
          <w:bCs/>
          <w:iCs/>
          <w:sz w:val="24"/>
          <w:szCs w:val="24"/>
          <w:lang w:val="uz-Cyrl-UZ"/>
        </w:rPr>
        <w:t>, Toshkent, Oʻzbekiston</w:t>
      </w:r>
    </w:p>
    <w:p w14:paraId="2D50BA15" w14:textId="77777777" w:rsidR="00D40313" w:rsidRPr="000A2B5C" w:rsidRDefault="00D40313" w:rsidP="00D40313">
      <w:pPr>
        <w:spacing w:line="276" w:lineRule="auto"/>
        <w:jc w:val="both"/>
        <w:rPr>
          <w:rFonts w:eastAsia="Calibri" w:cs="Times New Roman"/>
          <w:bCs/>
          <w:iCs/>
          <w:sz w:val="24"/>
          <w:szCs w:val="24"/>
          <w:lang w:val="uz-Cyrl-UZ"/>
        </w:rPr>
      </w:pPr>
    </w:p>
    <w:p w14:paraId="1D0EFF8C" w14:textId="77777777" w:rsidR="000A2B5C" w:rsidRPr="000A2B5C" w:rsidRDefault="000A2B5C" w:rsidP="000A2B5C">
      <w:pPr>
        <w:spacing w:line="276" w:lineRule="auto"/>
        <w:ind w:firstLine="567"/>
        <w:jc w:val="both"/>
        <w:rPr>
          <w:rFonts w:eastAsia="Calibri" w:cs="Times New Roman"/>
          <w:bCs/>
          <w:i/>
          <w:iCs/>
          <w:sz w:val="24"/>
          <w:szCs w:val="24"/>
          <w:lang w:val="uz-Cyrl-UZ"/>
        </w:rPr>
      </w:pPr>
      <w:r w:rsidRPr="000A2B5C">
        <w:rPr>
          <w:rFonts w:eastAsia="Calibri" w:cs="Times New Roman"/>
          <w:b/>
          <w:bCs/>
          <w:i/>
          <w:iCs/>
          <w:sz w:val="24"/>
          <w:szCs w:val="24"/>
          <w:lang w:val="uz-Cyrl-UZ"/>
        </w:rPr>
        <w:t xml:space="preserve">Rezyume. </w:t>
      </w:r>
      <w:r w:rsidRPr="000A2B5C">
        <w:rPr>
          <w:rFonts w:eastAsia="Calibri" w:cs="Times New Roman"/>
          <w:bCs/>
          <w:i/>
          <w:iCs/>
          <w:sz w:val="24"/>
          <w:szCs w:val="24"/>
          <w:lang w:val="uz-Cyrl-UZ"/>
        </w:rPr>
        <w:t>Bolalarda o'tkir va surunkali buyrak kasalliklarini kompleks davolashda dietoterapiya muhim rol o'ynaydi. Terapevtik ovqatlanishga yuqori talablar qo'yiladi, chunki buyraklar oziq-ovqat bilan birga keladigan va tana to'qimalarining parchalanishi natijasida hosil bo'lgan metabolik mahsulotlarni chiqarib yuborishning asosiy organi, shuningdek, organizmning doimiyligini ta'minlash uchun mas'ul organdir. ichki muhit. Muayyan sharoitlarda hayvonlarning oqsillari, kleykovina, oksalatlar, uratlar, fosfatlar kabi ozuqaviy moddalarni ratsionda tuzatish zarur bo'ladi, ularning metabolik mahsulotlari buyraklar orqali chiqariladi va nafaqat kasallikning rivojlanishining patogenetik mexanizmlariga ta'sir qiladi. , balki kasallikning buyrak etishmovchiligi bosqichlariga o'tishining immun bo'lmagan jarayonlarini shakllantirishda ham ishtirok etadi.</w:t>
      </w:r>
    </w:p>
    <w:p w14:paraId="636E5827" w14:textId="77777777" w:rsidR="000A2B5C" w:rsidRPr="000A2B5C" w:rsidRDefault="000A2B5C" w:rsidP="000A2B5C">
      <w:pPr>
        <w:spacing w:line="276" w:lineRule="auto"/>
        <w:ind w:firstLine="567"/>
        <w:jc w:val="both"/>
        <w:rPr>
          <w:rFonts w:eastAsia="Calibri" w:cs="Times New Roman"/>
          <w:b/>
          <w:bCs/>
          <w:i/>
          <w:iCs/>
          <w:sz w:val="24"/>
          <w:szCs w:val="24"/>
          <w:lang w:val="uz-Cyrl-UZ"/>
        </w:rPr>
      </w:pPr>
      <w:r w:rsidRPr="000A2B5C">
        <w:rPr>
          <w:rFonts w:eastAsia="Calibri" w:cs="Times New Roman"/>
          <w:b/>
          <w:bCs/>
          <w:i/>
          <w:iCs/>
          <w:sz w:val="24"/>
          <w:szCs w:val="24"/>
          <w:lang w:val="uz-Cyrl-UZ"/>
        </w:rPr>
        <w:t>Kalit so'zlar:</w:t>
      </w:r>
      <w:r w:rsidRPr="000A2B5C">
        <w:rPr>
          <w:rFonts w:eastAsia="Calibri" w:cs="Times New Roman"/>
          <w:i/>
          <w:iCs/>
          <w:sz w:val="24"/>
          <w:szCs w:val="24"/>
          <w:lang w:val="uz-Cyrl-UZ"/>
        </w:rPr>
        <w:t xml:space="preserve"> bolalarda dismetabolik nefropatiya, dietoterapiya, kristalluriya, oksaluriya.</w:t>
      </w:r>
    </w:p>
    <w:p w14:paraId="69B08B72" w14:textId="4202F81F" w:rsidR="000A2B5C" w:rsidRPr="000A2B5C" w:rsidRDefault="000A2B5C" w:rsidP="000A2B5C">
      <w:pPr>
        <w:spacing w:line="276" w:lineRule="auto"/>
        <w:ind w:firstLine="567"/>
        <w:jc w:val="both"/>
        <w:rPr>
          <w:rFonts w:eastAsia="Calibri" w:cs="Times New Roman"/>
          <w:b/>
          <w:sz w:val="24"/>
          <w:szCs w:val="24"/>
          <w:lang w:val="uz-Cyrl-UZ"/>
        </w:rPr>
      </w:pPr>
      <w:r w:rsidRPr="000A2B5C">
        <w:rPr>
          <w:rFonts w:eastAsia="Calibri" w:cs="Times New Roman"/>
          <w:b/>
          <w:sz w:val="24"/>
          <w:szCs w:val="24"/>
          <w:lang w:val="uz-Cyrl-UZ"/>
        </w:rPr>
        <w:t xml:space="preserve"> </w:t>
      </w:r>
    </w:p>
    <w:p w14:paraId="590B2AAB" w14:textId="77777777" w:rsidR="00D40313" w:rsidRPr="00D40313" w:rsidRDefault="00D40313" w:rsidP="000A2B5C">
      <w:pPr>
        <w:spacing w:line="276" w:lineRule="auto"/>
        <w:ind w:firstLine="567"/>
        <w:jc w:val="both"/>
        <w:rPr>
          <w:rFonts w:eastAsia="Calibri" w:cs="Times New Roman"/>
          <w:sz w:val="24"/>
          <w:szCs w:val="24"/>
          <w:lang w:val="uz-Cyrl-UZ"/>
        </w:rPr>
        <w:sectPr w:rsidR="00D40313" w:rsidRPr="00D40313" w:rsidSect="00995DC2">
          <w:type w:val="continuous"/>
          <w:pgSz w:w="11907" w:h="16840" w:code="9"/>
          <w:pgMar w:top="1418" w:right="1134" w:bottom="1134" w:left="1134" w:header="907" w:footer="794" w:gutter="0"/>
          <w:cols w:space="708"/>
          <w:docGrid w:linePitch="381"/>
        </w:sectPr>
      </w:pPr>
    </w:p>
    <w:p w14:paraId="710ADE7C" w14:textId="60D4B1F5"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Diseases of the urinary system are be</w:t>
      </w:r>
      <w:r w:rsidR="00D40313">
        <w:rPr>
          <w:rFonts w:eastAsia="Calibri" w:cs="Times New Roman"/>
          <w:sz w:val="24"/>
          <w:szCs w:val="24"/>
        </w:rPr>
        <w:softHyphen/>
      </w:r>
      <w:r w:rsidRPr="000A2B5C">
        <w:rPr>
          <w:rFonts w:eastAsia="Calibri" w:cs="Times New Roman"/>
          <w:sz w:val="24"/>
          <w:szCs w:val="24"/>
        </w:rPr>
        <w:t>coming one of the most pressing problems among children around the world. According to the World Health Organization, complica</w:t>
      </w:r>
      <w:r w:rsidR="00D40313">
        <w:rPr>
          <w:rFonts w:eastAsia="Calibri" w:cs="Times New Roman"/>
          <w:sz w:val="24"/>
          <w:szCs w:val="24"/>
        </w:rPr>
        <w:softHyphen/>
      </w:r>
      <w:r w:rsidRPr="000A2B5C">
        <w:rPr>
          <w:rFonts w:eastAsia="Calibri" w:cs="Times New Roman"/>
          <w:sz w:val="24"/>
          <w:szCs w:val="24"/>
        </w:rPr>
        <w:t>tions of kidney disease are important for the public health system in all countries, depend</w:t>
      </w:r>
      <w:r w:rsidR="00D40313">
        <w:rPr>
          <w:rFonts w:eastAsia="Calibri" w:cs="Times New Roman"/>
          <w:sz w:val="24"/>
          <w:szCs w:val="24"/>
        </w:rPr>
        <w:softHyphen/>
      </w:r>
      <w:r w:rsidRPr="000A2B5C">
        <w:rPr>
          <w:rFonts w:eastAsia="Calibri" w:cs="Times New Roman"/>
          <w:sz w:val="24"/>
          <w:szCs w:val="24"/>
        </w:rPr>
        <w:t>ing on the living place, lifestyle, gender, age, nutritional status of the population, the risk of life-threatening children and adults under the influence of environmental factors. Despite ad</w:t>
      </w:r>
      <w:r w:rsidR="00D40313">
        <w:rPr>
          <w:rFonts w:eastAsia="Calibri" w:cs="Times New Roman"/>
          <w:sz w:val="24"/>
          <w:szCs w:val="24"/>
        </w:rPr>
        <w:softHyphen/>
      </w:r>
      <w:r w:rsidRPr="000A2B5C">
        <w:rPr>
          <w:rFonts w:eastAsia="Calibri" w:cs="Times New Roman"/>
          <w:sz w:val="24"/>
          <w:szCs w:val="24"/>
        </w:rPr>
        <w:t>vances in the treatment of dysmetabolic nephropathy (DMN) in children, it remains one of the most pressing problems in applied med</w:t>
      </w:r>
      <w:r w:rsidR="00D40313">
        <w:rPr>
          <w:rFonts w:eastAsia="Calibri" w:cs="Times New Roman"/>
          <w:sz w:val="24"/>
          <w:szCs w:val="24"/>
        </w:rPr>
        <w:softHyphen/>
      </w:r>
      <w:r w:rsidRPr="000A2B5C">
        <w:rPr>
          <w:rFonts w:eastAsia="Calibri" w:cs="Times New Roman"/>
          <w:sz w:val="24"/>
          <w:szCs w:val="24"/>
        </w:rPr>
        <w:t>icine [1,5].</w:t>
      </w:r>
    </w:p>
    <w:p w14:paraId="4906321C" w14:textId="6ED80A11"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 xml:space="preserve">Particular attention is paid to a number of targeted scientific studies on improving the clinical and pathogenetic features, diagnosis and treatment of children and adolescents with </w:t>
      </w:r>
      <w:r w:rsidRPr="000A2B5C">
        <w:rPr>
          <w:rFonts w:eastAsia="Calibri" w:cs="Times New Roman"/>
          <w:sz w:val="24"/>
          <w:szCs w:val="24"/>
        </w:rPr>
        <w:t>kidney disease living in environmentally dis</w:t>
      </w:r>
      <w:r w:rsidR="00D40313">
        <w:rPr>
          <w:rFonts w:eastAsia="Calibri" w:cs="Times New Roman"/>
          <w:sz w:val="24"/>
          <w:szCs w:val="24"/>
        </w:rPr>
        <w:softHyphen/>
      </w:r>
      <w:r w:rsidRPr="000A2B5C">
        <w:rPr>
          <w:rFonts w:eastAsia="Calibri" w:cs="Times New Roman"/>
          <w:sz w:val="24"/>
          <w:szCs w:val="24"/>
        </w:rPr>
        <w:t>advantaged areas. Despite the continuous im</w:t>
      </w:r>
      <w:r w:rsidR="00D40313">
        <w:rPr>
          <w:rFonts w:eastAsia="Calibri" w:cs="Times New Roman"/>
          <w:sz w:val="24"/>
          <w:szCs w:val="24"/>
        </w:rPr>
        <w:softHyphen/>
      </w:r>
      <w:r w:rsidRPr="000A2B5C">
        <w:rPr>
          <w:rFonts w:eastAsia="Calibri" w:cs="Times New Roman"/>
          <w:sz w:val="24"/>
          <w:szCs w:val="24"/>
        </w:rPr>
        <w:t>provement of treatment methods, the rate of disability due to urological diseases is increas</w:t>
      </w:r>
      <w:r w:rsidR="00D40313">
        <w:rPr>
          <w:rFonts w:eastAsia="Calibri" w:cs="Times New Roman"/>
          <w:sz w:val="24"/>
          <w:szCs w:val="24"/>
        </w:rPr>
        <w:softHyphen/>
      </w:r>
      <w:r w:rsidRPr="000A2B5C">
        <w:rPr>
          <w:rFonts w:eastAsia="Calibri" w:cs="Times New Roman"/>
          <w:sz w:val="24"/>
          <w:szCs w:val="24"/>
        </w:rPr>
        <w:t>ing. The largest share of inflammatory diseases in this system is urinary tract infection, pyelo</w:t>
      </w:r>
      <w:r w:rsidR="00D40313">
        <w:rPr>
          <w:rFonts w:eastAsia="Calibri" w:cs="Times New Roman"/>
          <w:sz w:val="24"/>
          <w:szCs w:val="24"/>
        </w:rPr>
        <w:softHyphen/>
      </w:r>
      <w:r w:rsidRPr="000A2B5C">
        <w:rPr>
          <w:rFonts w:eastAsia="Calibri" w:cs="Times New Roman"/>
          <w:sz w:val="24"/>
          <w:szCs w:val="24"/>
        </w:rPr>
        <w:t>nephritis, dysmetabolic nephropathy (DMN) and urinary tract, their share is 94-96% [2,3,8]. The problem of material costs for the treatment and rehabilitation of these patients, which is di</w:t>
      </w:r>
      <w:r w:rsidR="00D40313">
        <w:rPr>
          <w:rFonts w:eastAsia="Calibri" w:cs="Times New Roman"/>
          <w:sz w:val="24"/>
          <w:szCs w:val="24"/>
        </w:rPr>
        <w:softHyphen/>
      </w:r>
      <w:r w:rsidRPr="000A2B5C">
        <w:rPr>
          <w:rFonts w:eastAsia="Calibri" w:cs="Times New Roman"/>
          <w:sz w:val="24"/>
          <w:szCs w:val="24"/>
        </w:rPr>
        <w:t>rectly related to this, remains a burden for many states, especially those whose popula</w:t>
      </w:r>
      <w:r w:rsidR="00D40313">
        <w:rPr>
          <w:rFonts w:eastAsia="Calibri" w:cs="Times New Roman"/>
          <w:sz w:val="24"/>
          <w:szCs w:val="24"/>
        </w:rPr>
        <w:softHyphen/>
      </w:r>
      <w:r w:rsidRPr="000A2B5C">
        <w:rPr>
          <w:rFonts w:eastAsia="Calibri" w:cs="Times New Roman"/>
          <w:sz w:val="24"/>
          <w:szCs w:val="24"/>
        </w:rPr>
        <w:t>tions are socially protected. The specificity of these diseases is often their late detection due to incompatibility and latent symptoms, as well as the vigilance of physicians as a result of de</w:t>
      </w:r>
      <w:r w:rsidR="00D40313">
        <w:rPr>
          <w:rFonts w:eastAsia="Calibri" w:cs="Times New Roman"/>
          <w:sz w:val="24"/>
          <w:szCs w:val="24"/>
        </w:rPr>
        <w:softHyphen/>
      </w:r>
      <w:r w:rsidRPr="000A2B5C">
        <w:rPr>
          <w:rFonts w:eastAsia="Calibri" w:cs="Times New Roman"/>
          <w:sz w:val="24"/>
          <w:szCs w:val="24"/>
        </w:rPr>
        <w:t xml:space="preserve">layed treatment, requiring great attention by </w:t>
      </w:r>
      <w:r w:rsidRPr="000A2B5C">
        <w:rPr>
          <w:rFonts w:eastAsia="Calibri" w:cs="Times New Roman"/>
          <w:sz w:val="24"/>
          <w:szCs w:val="24"/>
        </w:rPr>
        <w:lastRenderedPageBreak/>
        <w:t>both physician and patient, long-term rehabili</w:t>
      </w:r>
      <w:r w:rsidR="00D40313">
        <w:rPr>
          <w:rFonts w:eastAsia="Calibri" w:cs="Times New Roman"/>
          <w:sz w:val="24"/>
          <w:szCs w:val="24"/>
        </w:rPr>
        <w:softHyphen/>
      </w:r>
      <w:r w:rsidRPr="000A2B5C">
        <w:rPr>
          <w:rFonts w:eastAsia="Calibri" w:cs="Times New Roman"/>
          <w:sz w:val="24"/>
          <w:szCs w:val="24"/>
        </w:rPr>
        <w:t>tation and large material costs.</w:t>
      </w:r>
    </w:p>
    <w:p w14:paraId="0DBD27C7" w14:textId="7A25FAC9"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Addressing these issues is inextricably linked to identifying and eliminating (minimiz</w:t>
      </w:r>
      <w:r w:rsidR="00D40313">
        <w:rPr>
          <w:rFonts w:eastAsia="Calibri" w:cs="Times New Roman"/>
          <w:sz w:val="24"/>
          <w:szCs w:val="24"/>
        </w:rPr>
        <w:softHyphen/>
      </w:r>
      <w:r w:rsidRPr="000A2B5C">
        <w:rPr>
          <w:rFonts w:eastAsia="Calibri" w:cs="Times New Roman"/>
          <w:sz w:val="24"/>
          <w:szCs w:val="24"/>
        </w:rPr>
        <w:t>ing the impact) of environmental risk factors that contribute to the emergence and develop</w:t>
      </w:r>
      <w:r w:rsidR="00D40313">
        <w:rPr>
          <w:rFonts w:eastAsia="Calibri" w:cs="Times New Roman"/>
          <w:sz w:val="24"/>
          <w:szCs w:val="24"/>
        </w:rPr>
        <w:softHyphen/>
      </w:r>
      <w:r w:rsidRPr="000A2B5C">
        <w:rPr>
          <w:rFonts w:eastAsia="Calibri" w:cs="Times New Roman"/>
          <w:sz w:val="24"/>
          <w:szCs w:val="24"/>
        </w:rPr>
        <w:t>ment of disease, as all therapeutic and prophy</w:t>
      </w:r>
      <w:r w:rsidR="00D40313">
        <w:rPr>
          <w:rFonts w:eastAsia="Calibri" w:cs="Times New Roman"/>
          <w:sz w:val="24"/>
          <w:szCs w:val="24"/>
        </w:rPr>
        <w:softHyphen/>
      </w:r>
      <w:r w:rsidRPr="000A2B5C">
        <w:rPr>
          <w:rFonts w:eastAsia="Calibri" w:cs="Times New Roman"/>
          <w:sz w:val="24"/>
          <w:szCs w:val="24"/>
        </w:rPr>
        <w:t>lactic measures that ignore this are, as a rule, ineffective or insignificant and short-lived. This is also important in this study, as we pro</w:t>
      </w:r>
      <w:r w:rsidR="00D40313">
        <w:rPr>
          <w:rFonts w:eastAsia="Calibri" w:cs="Times New Roman"/>
          <w:sz w:val="24"/>
          <w:szCs w:val="24"/>
        </w:rPr>
        <w:softHyphen/>
      </w:r>
      <w:r w:rsidRPr="000A2B5C">
        <w:rPr>
          <w:rFonts w:eastAsia="Calibri" w:cs="Times New Roman"/>
          <w:sz w:val="24"/>
          <w:szCs w:val="24"/>
        </w:rPr>
        <w:t>vide information about a survey conducted by the population of Khorezm region - an environ</w:t>
      </w:r>
      <w:r w:rsidR="00D40313">
        <w:rPr>
          <w:rFonts w:eastAsia="Calibri" w:cs="Times New Roman"/>
          <w:sz w:val="24"/>
          <w:szCs w:val="24"/>
        </w:rPr>
        <w:softHyphen/>
      </w:r>
      <w:r w:rsidRPr="000A2B5C">
        <w:rPr>
          <w:rFonts w:eastAsia="Calibri" w:cs="Times New Roman"/>
          <w:sz w:val="24"/>
          <w:szCs w:val="24"/>
        </w:rPr>
        <w:t>mentally unfavorable region, whose natural state is negatively affected by the drying up of the Aral Sea. The most important task in this region was to study the prevalence of oxalate nephropathy, as well as their desire to deter</w:t>
      </w:r>
      <w:r w:rsidR="00D40313">
        <w:rPr>
          <w:rFonts w:eastAsia="Calibri" w:cs="Times New Roman"/>
          <w:sz w:val="24"/>
          <w:szCs w:val="24"/>
        </w:rPr>
        <w:softHyphen/>
      </w:r>
      <w:r w:rsidRPr="000A2B5C">
        <w:rPr>
          <w:rFonts w:eastAsia="Calibri" w:cs="Times New Roman"/>
          <w:sz w:val="24"/>
          <w:szCs w:val="24"/>
        </w:rPr>
        <w:t>mine the effectiveness of prophylactic treat</w:t>
      </w:r>
      <w:r w:rsidR="00D40313">
        <w:rPr>
          <w:rFonts w:eastAsia="Calibri" w:cs="Times New Roman"/>
          <w:sz w:val="24"/>
          <w:szCs w:val="24"/>
        </w:rPr>
        <w:softHyphen/>
      </w:r>
      <w:r w:rsidRPr="000A2B5C">
        <w:rPr>
          <w:rFonts w:eastAsia="Calibri" w:cs="Times New Roman"/>
          <w:sz w:val="24"/>
          <w:szCs w:val="24"/>
        </w:rPr>
        <w:t>ment or prophylactic measures, their appropri</w:t>
      </w:r>
      <w:r w:rsidR="00D40313">
        <w:rPr>
          <w:rFonts w:eastAsia="Calibri" w:cs="Times New Roman"/>
          <w:sz w:val="24"/>
          <w:szCs w:val="24"/>
        </w:rPr>
        <w:softHyphen/>
      </w:r>
      <w:r w:rsidRPr="000A2B5C">
        <w:rPr>
          <w:rFonts w:eastAsia="Calibri" w:cs="Times New Roman"/>
          <w:sz w:val="24"/>
          <w:szCs w:val="24"/>
        </w:rPr>
        <w:t>ateness, which became the basis for this un</w:t>
      </w:r>
      <w:r w:rsidR="00D40313">
        <w:rPr>
          <w:rFonts w:eastAsia="Calibri" w:cs="Times New Roman"/>
          <w:sz w:val="24"/>
          <w:szCs w:val="24"/>
        </w:rPr>
        <w:softHyphen/>
      </w:r>
      <w:r w:rsidRPr="000A2B5C">
        <w:rPr>
          <w:rFonts w:eastAsia="Calibri" w:cs="Times New Roman"/>
          <w:sz w:val="24"/>
          <w:szCs w:val="24"/>
        </w:rPr>
        <w:t>precedented epidemiological study.</w:t>
      </w:r>
    </w:p>
    <w:p w14:paraId="2CABBB56" w14:textId="7B9438F6"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The purpose of the study.</w:t>
      </w:r>
      <w:r w:rsidRPr="000A2B5C">
        <w:rPr>
          <w:rFonts w:eastAsia="Calibri" w:cs="Times New Roman"/>
          <w:sz w:val="24"/>
          <w:szCs w:val="24"/>
        </w:rPr>
        <w:t xml:space="preserve"> Development of proposals and recommendations for the pre</w:t>
      </w:r>
      <w:r w:rsidR="00D40313">
        <w:rPr>
          <w:rFonts w:eastAsia="Calibri" w:cs="Times New Roman"/>
          <w:sz w:val="24"/>
          <w:szCs w:val="24"/>
        </w:rPr>
        <w:softHyphen/>
      </w:r>
      <w:r w:rsidRPr="000A2B5C">
        <w:rPr>
          <w:rFonts w:eastAsia="Calibri" w:cs="Times New Roman"/>
          <w:sz w:val="24"/>
          <w:szCs w:val="24"/>
        </w:rPr>
        <w:t>vention of dysmetabolic nephropathy among preschool and school-age children in Khorezm region.</w:t>
      </w:r>
    </w:p>
    <w:p w14:paraId="533E9501" w14:textId="2BC85AB5"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Materials and methods.</w:t>
      </w:r>
      <w:r w:rsidRPr="000A2B5C">
        <w:rPr>
          <w:rFonts w:eastAsia="Calibri" w:cs="Times New Roman"/>
          <w:b/>
          <w:sz w:val="24"/>
          <w:szCs w:val="24"/>
          <w:lang w:val="uz-Cyrl-UZ"/>
        </w:rPr>
        <w:t xml:space="preserve"> </w:t>
      </w:r>
      <w:r w:rsidRPr="000A2B5C">
        <w:rPr>
          <w:rFonts w:eastAsia="Calibri" w:cs="Times New Roman"/>
          <w:sz w:val="24"/>
          <w:szCs w:val="24"/>
        </w:rPr>
        <w:t>In order to achieve our goal, in 2017-2020, 1309 children aged 3 to 15 years in Khorezm region were sur</w:t>
      </w:r>
      <w:r w:rsidR="00D40313">
        <w:rPr>
          <w:rFonts w:eastAsia="Calibri" w:cs="Times New Roman"/>
          <w:sz w:val="24"/>
          <w:szCs w:val="24"/>
        </w:rPr>
        <w:softHyphen/>
      </w:r>
      <w:r w:rsidRPr="000A2B5C">
        <w:rPr>
          <w:rFonts w:eastAsia="Calibri" w:cs="Times New Roman"/>
          <w:sz w:val="24"/>
          <w:szCs w:val="24"/>
        </w:rPr>
        <w:t>veyed. Children who underwent medical ex</w:t>
      </w:r>
      <w:r w:rsidR="00D40313">
        <w:rPr>
          <w:rFonts w:eastAsia="Calibri" w:cs="Times New Roman"/>
          <w:sz w:val="24"/>
          <w:szCs w:val="24"/>
        </w:rPr>
        <w:softHyphen/>
      </w:r>
      <w:r w:rsidRPr="000A2B5C">
        <w:rPr>
          <w:rFonts w:eastAsia="Calibri" w:cs="Times New Roman"/>
          <w:sz w:val="24"/>
          <w:szCs w:val="24"/>
        </w:rPr>
        <w:t>aminations were divided into the following groups according to their anatomical and phys</w:t>
      </w:r>
      <w:r w:rsidR="00D40313">
        <w:rPr>
          <w:rFonts w:eastAsia="Calibri" w:cs="Times New Roman"/>
          <w:sz w:val="24"/>
          <w:szCs w:val="24"/>
        </w:rPr>
        <w:softHyphen/>
      </w:r>
      <w:r w:rsidRPr="000A2B5C">
        <w:rPr>
          <w:rFonts w:eastAsia="Calibri" w:cs="Times New Roman"/>
          <w:sz w:val="24"/>
          <w:szCs w:val="24"/>
        </w:rPr>
        <w:t>iological characteristics: preschool children aged 3-6 years - 313 (32.5%), (boys 188 - 19.5%, girls - 125 13%), school-age children 7-10 years - 321 (33.5%) (boys 156 - 19.5%, girls - 165 - 17%), and 11-15 years - 326 (boys 162) - 16%, girls - 164 people - 17%). The main group consisted of 960 children from the initial period of DMN. The control group con</w:t>
      </w:r>
      <w:r w:rsidR="00D40313">
        <w:rPr>
          <w:rFonts w:eastAsia="Calibri" w:cs="Times New Roman"/>
          <w:sz w:val="24"/>
          <w:szCs w:val="24"/>
        </w:rPr>
        <w:softHyphen/>
      </w:r>
      <w:r w:rsidRPr="000A2B5C">
        <w:rPr>
          <w:rFonts w:eastAsia="Calibri" w:cs="Times New Roman"/>
          <w:sz w:val="24"/>
          <w:szCs w:val="24"/>
        </w:rPr>
        <w:t>sisted of 40 healthy children of the same age, 52.7% boys and 47.2% girls, the first group ac</w:t>
      </w:r>
      <w:r w:rsidR="00D40313">
        <w:rPr>
          <w:rFonts w:eastAsia="Calibri" w:cs="Times New Roman"/>
          <w:sz w:val="24"/>
          <w:szCs w:val="24"/>
        </w:rPr>
        <w:softHyphen/>
      </w:r>
      <w:r w:rsidRPr="000A2B5C">
        <w:rPr>
          <w:rFonts w:eastAsia="Calibri" w:cs="Times New Roman"/>
          <w:sz w:val="24"/>
          <w:szCs w:val="24"/>
        </w:rPr>
        <w:t>cording to Grombach.</w:t>
      </w:r>
    </w:p>
    <w:p w14:paraId="22E71B23" w14:textId="77777777"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The result is observation.</w:t>
      </w:r>
      <w:r w:rsidRPr="000A2B5C">
        <w:rPr>
          <w:rFonts w:eastAsia="Calibri" w:cs="Times New Roman"/>
          <w:sz w:val="24"/>
          <w:szCs w:val="24"/>
          <w:lang w:val="uz-Cyrl-UZ"/>
        </w:rPr>
        <w:t xml:space="preserve"> </w:t>
      </w:r>
      <w:r w:rsidRPr="000A2B5C">
        <w:rPr>
          <w:rFonts w:eastAsia="Calibri" w:cs="Times New Roman"/>
          <w:sz w:val="24"/>
          <w:szCs w:val="24"/>
        </w:rPr>
        <w:t>In order to fulfill our tasks, we conducted our research in 3 stages:</w:t>
      </w:r>
    </w:p>
    <w:p w14:paraId="1708C40A" w14:textId="2E9466D9"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Phase 1.</w:t>
      </w:r>
      <w:r w:rsidRPr="000A2B5C">
        <w:rPr>
          <w:rFonts w:eastAsia="Calibri" w:cs="Times New Roman"/>
          <w:sz w:val="24"/>
          <w:szCs w:val="24"/>
        </w:rPr>
        <w:t xml:space="preserve"> The use and effectiveness of therapeutic and prophylactic measures in chil</w:t>
      </w:r>
      <w:r w:rsidR="00D40313">
        <w:rPr>
          <w:rFonts w:eastAsia="Calibri" w:cs="Times New Roman"/>
          <w:sz w:val="24"/>
          <w:szCs w:val="24"/>
        </w:rPr>
        <w:softHyphen/>
      </w:r>
      <w:r w:rsidRPr="000A2B5C">
        <w:rPr>
          <w:rFonts w:eastAsia="Calibri" w:cs="Times New Roman"/>
          <w:sz w:val="24"/>
          <w:szCs w:val="24"/>
        </w:rPr>
        <w:t>dren treated for dysmetabolic nephropathy (DMN), urinary tract infection (UTI) and other kidney diseases in an inpatient setting is based on retrospective child development history (f.112), somatic department disease history (f. 003) identification;</w:t>
      </w:r>
    </w:p>
    <w:p w14:paraId="4655818F" w14:textId="3B85FAB6"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Phase 2.</w:t>
      </w:r>
      <w:r w:rsidRPr="000A2B5C">
        <w:rPr>
          <w:rFonts w:eastAsia="Calibri" w:cs="Times New Roman"/>
          <w:sz w:val="24"/>
          <w:szCs w:val="24"/>
        </w:rPr>
        <w:t xml:space="preserve"> Given the latent clinical course of the disease in the early stages of DMN, al</w:t>
      </w:r>
      <w:r w:rsidR="00D40313">
        <w:rPr>
          <w:rFonts w:eastAsia="Calibri" w:cs="Times New Roman"/>
          <w:sz w:val="24"/>
          <w:szCs w:val="24"/>
        </w:rPr>
        <w:softHyphen/>
      </w:r>
      <w:r w:rsidRPr="000A2B5C">
        <w:rPr>
          <w:rFonts w:eastAsia="Calibri" w:cs="Times New Roman"/>
          <w:sz w:val="24"/>
          <w:szCs w:val="24"/>
        </w:rPr>
        <w:t>most no complaints in patients, and the appear</w:t>
      </w:r>
      <w:r w:rsidR="00D40313">
        <w:rPr>
          <w:rFonts w:eastAsia="Calibri" w:cs="Times New Roman"/>
          <w:sz w:val="24"/>
          <w:szCs w:val="24"/>
        </w:rPr>
        <w:softHyphen/>
      </w:r>
      <w:r w:rsidRPr="000A2B5C">
        <w:rPr>
          <w:rFonts w:eastAsia="Calibri" w:cs="Times New Roman"/>
          <w:sz w:val="24"/>
          <w:szCs w:val="24"/>
        </w:rPr>
        <w:t>ance of salt crystals in the urine, a general clin</w:t>
      </w:r>
      <w:r w:rsidR="00D40313">
        <w:rPr>
          <w:rFonts w:eastAsia="Calibri" w:cs="Times New Roman"/>
          <w:sz w:val="24"/>
          <w:szCs w:val="24"/>
        </w:rPr>
        <w:softHyphen/>
      </w:r>
      <w:r w:rsidRPr="000A2B5C">
        <w:rPr>
          <w:rFonts w:eastAsia="Calibri" w:cs="Times New Roman"/>
          <w:sz w:val="24"/>
          <w:szCs w:val="24"/>
        </w:rPr>
        <w:t>ical examination of 1,309 healthy children aged 3–15 years who did not complain of kid</w:t>
      </w:r>
      <w:r w:rsidR="00D40313">
        <w:rPr>
          <w:rFonts w:eastAsia="Calibri" w:cs="Times New Roman"/>
          <w:sz w:val="24"/>
          <w:szCs w:val="24"/>
        </w:rPr>
        <w:softHyphen/>
      </w:r>
      <w:r w:rsidRPr="000A2B5C">
        <w:rPr>
          <w:rFonts w:eastAsia="Calibri" w:cs="Times New Roman"/>
          <w:sz w:val="24"/>
          <w:szCs w:val="24"/>
        </w:rPr>
        <w:t>ney disease was performed. Daily excretion of oxalate, urates, phosphates was detected in the presence of crystalluria. (Typically, the output of oxalate is 10-40 mg per day or 1 mg / kg per day, urate - 0.6-6.0 μmol per day, phosphates - 0.01-0.04 g / kg / day). Biochemical analysis of blood and urine in children with salt crys</w:t>
      </w:r>
      <w:r w:rsidR="00D40313">
        <w:rPr>
          <w:rFonts w:eastAsia="Calibri" w:cs="Times New Roman"/>
          <w:sz w:val="24"/>
          <w:szCs w:val="24"/>
        </w:rPr>
        <w:softHyphen/>
      </w:r>
      <w:r w:rsidRPr="000A2B5C">
        <w:rPr>
          <w:rFonts w:eastAsia="Calibri" w:cs="Times New Roman"/>
          <w:sz w:val="24"/>
          <w:szCs w:val="24"/>
        </w:rPr>
        <w:t>tals, determination of renal function (calcula</w:t>
      </w:r>
      <w:r w:rsidR="00D40313">
        <w:rPr>
          <w:rFonts w:eastAsia="Calibri" w:cs="Times New Roman"/>
          <w:sz w:val="24"/>
          <w:szCs w:val="24"/>
        </w:rPr>
        <w:softHyphen/>
      </w:r>
      <w:r w:rsidRPr="000A2B5C">
        <w:rPr>
          <w:rFonts w:eastAsia="Calibri" w:cs="Times New Roman"/>
          <w:sz w:val="24"/>
          <w:szCs w:val="24"/>
        </w:rPr>
        <w:t>tion of creatinine levels, glomerular filtration rate, Zimnitsky test). Attention was paid to the performance of the tubes (glucose, ammonia, pH, etc.).</w:t>
      </w:r>
    </w:p>
    <w:p w14:paraId="59582131" w14:textId="6A6E7228"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Step 3</w:t>
      </w:r>
      <w:r w:rsidRPr="000A2B5C">
        <w:rPr>
          <w:rFonts w:eastAsia="Calibri" w:cs="Times New Roman"/>
          <w:sz w:val="24"/>
          <w:szCs w:val="24"/>
        </w:rPr>
        <w:t>. In order to correct and prevent the treatment of oxalate nephropathy in Khorezm region, taking into account the actual nutrition and drinking water, 211 children un</w:t>
      </w:r>
      <w:r w:rsidR="00D40313">
        <w:rPr>
          <w:rFonts w:eastAsia="Calibri" w:cs="Times New Roman"/>
          <w:sz w:val="24"/>
          <w:szCs w:val="24"/>
        </w:rPr>
        <w:softHyphen/>
      </w:r>
      <w:r w:rsidRPr="000A2B5C">
        <w:rPr>
          <w:rFonts w:eastAsia="Calibri" w:cs="Times New Roman"/>
          <w:sz w:val="24"/>
          <w:szCs w:val="24"/>
        </w:rPr>
        <w:t>derwent clinical examination. In DMN disease, children were divided into 4 groups to deter</w:t>
      </w:r>
      <w:r w:rsidR="00D40313">
        <w:rPr>
          <w:rFonts w:eastAsia="Calibri" w:cs="Times New Roman"/>
          <w:sz w:val="24"/>
          <w:szCs w:val="24"/>
        </w:rPr>
        <w:softHyphen/>
      </w:r>
      <w:r w:rsidRPr="000A2B5C">
        <w:rPr>
          <w:rFonts w:eastAsia="Calibri" w:cs="Times New Roman"/>
          <w:sz w:val="24"/>
          <w:szCs w:val="24"/>
        </w:rPr>
        <w:t>mine the use and effectiveness of the drug Ura</w:t>
      </w:r>
      <w:r w:rsidR="00D40313">
        <w:rPr>
          <w:rFonts w:eastAsia="Calibri" w:cs="Times New Roman"/>
          <w:sz w:val="24"/>
          <w:szCs w:val="24"/>
        </w:rPr>
        <w:softHyphen/>
      </w:r>
      <w:r w:rsidRPr="000A2B5C">
        <w:rPr>
          <w:rFonts w:eastAsia="Calibri" w:cs="Times New Roman"/>
          <w:sz w:val="24"/>
          <w:szCs w:val="24"/>
        </w:rPr>
        <w:t>lesan in combination with diet. All group chil</w:t>
      </w:r>
      <w:r w:rsidR="00D40313">
        <w:rPr>
          <w:rFonts w:eastAsia="Calibri" w:cs="Times New Roman"/>
          <w:sz w:val="24"/>
          <w:szCs w:val="24"/>
        </w:rPr>
        <w:softHyphen/>
      </w:r>
      <w:r w:rsidRPr="000A2B5C">
        <w:rPr>
          <w:rFonts w:eastAsia="Calibri" w:cs="Times New Roman"/>
          <w:sz w:val="24"/>
          <w:szCs w:val="24"/>
        </w:rPr>
        <w:t>dren were monitored in dynamics.</w:t>
      </w:r>
    </w:p>
    <w:p w14:paraId="24FE3144" w14:textId="478087C4"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In the first phase of our research, accord</w:t>
      </w:r>
      <w:r w:rsidR="00D40313">
        <w:rPr>
          <w:rFonts w:eastAsia="Calibri" w:cs="Times New Roman"/>
          <w:sz w:val="24"/>
          <w:szCs w:val="24"/>
        </w:rPr>
        <w:softHyphen/>
      </w:r>
      <w:r w:rsidRPr="000A2B5C">
        <w:rPr>
          <w:rFonts w:eastAsia="Calibri" w:cs="Times New Roman"/>
          <w:sz w:val="24"/>
          <w:szCs w:val="24"/>
        </w:rPr>
        <w:t>ing to statistics from 2012 to 2020 in Khorezm region, the incidence of diseases of the urinary system in children increased from year to year, while in 2012 the incidence of diseases of the urinary system in children in the region was 23.7%. by the year it was 46.1%.</w:t>
      </w:r>
    </w:p>
    <w:p w14:paraId="46B4B6B9" w14:textId="7C37116F"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lastRenderedPageBreak/>
        <w:t>In order to analyze the prevalence of children with DMN by physicians and to deter</w:t>
      </w:r>
      <w:r w:rsidR="00D40313">
        <w:rPr>
          <w:rFonts w:eastAsia="Calibri" w:cs="Times New Roman"/>
          <w:sz w:val="24"/>
          <w:szCs w:val="24"/>
        </w:rPr>
        <w:softHyphen/>
      </w:r>
      <w:r w:rsidRPr="000A2B5C">
        <w:rPr>
          <w:rFonts w:eastAsia="Calibri" w:cs="Times New Roman"/>
          <w:sz w:val="24"/>
          <w:szCs w:val="24"/>
        </w:rPr>
        <w:t>mine how often urological diseases are diag</w:t>
      </w:r>
      <w:r w:rsidR="00D40313">
        <w:rPr>
          <w:rFonts w:eastAsia="Calibri" w:cs="Times New Roman"/>
          <w:sz w:val="24"/>
          <w:szCs w:val="24"/>
        </w:rPr>
        <w:softHyphen/>
      </w:r>
      <w:r w:rsidRPr="000A2B5C">
        <w:rPr>
          <w:rFonts w:eastAsia="Calibri" w:cs="Times New Roman"/>
          <w:sz w:val="24"/>
          <w:szCs w:val="24"/>
        </w:rPr>
        <w:t>nosed and treated, we used a survey specifi</w:t>
      </w:r>
      <w:r w:rsidR="00D40313">
        <w:rPr>
          <w:rFonts w:eastAsia="Calibri" w:cs="Times New Roman"/>
          <w:sz w:val="24"/>
          <w:szCs w:val="24"/>
        </w:rPr>
        <w:softHyphen/>
      </w:r>
      <w:r w:rsidRPr="000A2B5C">
        <w:rPr>
          <w:rFonts w:eastAsia="Calibri" w:cs="Times New Roman"/>
          <w:sz w:val="24"/>
          <w:szCs w:val="24"/>
        </w:rPr>
        <w:t>cally designed for physicians. A retrospective review of the medical history of 2,976 sick children aged 3–15 years treated in the pediat</w:t>
      </w:r>
      <w:r w:rsidR="00D40313">
        <w:rPr>
          <w:rFonts w:eastAsia="Calibri" w:cs="Times New Roman"/>
          <w:sz w:val="24"/>
          <w:szCs w:val="24"/>
        </w:rPr>
        <w:softHyphen/>
      </w:r>
      <w:r w:rsidRPr="000A2B5C">
        <w:rPr>
          <w:rFonts w:eastAsia="Calibri" w:cs="Times New Roman"/>
          <w:sz w:val="24"/>
          <w:szCs w:val="24"/>
        </w:rPr>
        <w:t>ric ward alone in 2012–2020 found that 220 children, or 74%, had oxalate salts in their urine.</w:t>
      </w:r>
    </w:p>
    <w:p w14:paraId="1DD2B9D1" w14:textId="49B3F88C"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According to the anamnesis, these chil</w:t>
      </w:r>
      <w:r w:rsidR="00D40313">
        <w:rPr>
          <w:rFonts w:eastAsia="Calibri" w:cs="Times New Roman"/>
          <w:sz w:val="24"/>
          <w:szCs w:val="24"/>
        </w:rPr>
        <w:softHyphen/>
      </w:r>
      <w:r w:rsidRPr="000A2B5C">
        <w:rPr>
          <w:rFonts w:eastAsia="Calibri" w:cs="Times New Roman"/>
          <w:sz w:val="24"/>
          <w:szCs w:val="24"/>
        </w:rPr>
        <w:t>dren often suffer from intercurrent diseases: in</w:t>
      </w:r>
      <w:r w:rsidR="00D40313">
        <w:rPr>
          <w:rFonts w:eastAsia="Calibri" w:cs="Times New Roman"/>
          <w:sz w:val="24"/>
          <w:szCs w:val="24"/>
        </w:rPr>
        <w:softHyphen/>
      </w:r>
      <w:r w:rsidRPr="000A2B5C">
        <w:rPr>
          <w:rFonts w:eastAsia="Calibri" w:cs="Times New Roman"/>
          <w:sz w:val="24"/>
          <w:szCs w:val="24"/>
        </w:rPr>
        <w:t>fluenza - 60%, angina - 53%, acute respiratory diseases - 60%, bronchitis - 45%, pneumonia - 13%, acute intestinal infections - 36%, acute gastritis - 3 , 3%, food poisoning - 30%, hel</w:t>
      </w:r>
      <w:r w:rsidR="00D40313">
        <w:rPr>
          <w:rFonts w:eastAsia="Calibri" w:cs="Times New Roman"/>
          <w:sz w:val="24"/>
          <w:szCs w:val="24"/>
        </w:rPr>
        <w:softHyphen/>
      </w:r>
      <w:r w:rsidRPr="000A2B5C">
        <w:rPr>
          <w:rFonts w:eastAsia="Calibri" w:cs="Times New Roman"/>
          <w:sz w:val="24"/>
          <w:szCs w:val="24"/>
        </w:rPr>
        <w:t>minthiasis - 53%, cystitis - 13%, rickets - 33%, ECD - 33.3%, anemia - 46.6%, bronchial asthma - 6.6%, food allergies - 46%, drug al</w:t>
      </w:r>
      <w:r w:rsidR="00D40313">
        <w:rPr>
          <w:rFonts w:eastAsia="Calibri" w:cs="Times New Roman"/>
          <w:sz w:val="24"/>
          <w:szCs w:val="24"/>
        </w:rPr>
        <w:softHyphen/>
      </w:r>
      <w:r w:rsidRPr="000A2B5C">
        <w:rPr>
          <w:rFonts w:eastAsia="Calibri" w:cs="Times New Roman"/>
          <w:sz w:val="24"/>
          <w:szCs w:val="24"/>
        </w:rPr>
        <w:t>lergies - 6.7%, gastritis - 3%, VGA - 6%, skin diseases - 3.3%. Somatic and infectious, kid</w:t>
      </w:r>
      <w:r w:rsidR="00D40313">
        <w:rPr>
          <w:rFonts w:eastAsia="Calibri" w:cs="Times New Roman"/>
          <w:sz w:val="24"/>
          <w:szCs w:val="24"/>
        </w:rPr>
        <w:softHyphen/>
      </w:r>
      <w:r w:rsidRPr="000A2B5C">
        <w:rPr>
          <w:rFonts w:eastAsia="Calibri" w:cs="Times New Roman"/>
          <w:sz w:val="24"/>
          <w:szCs w:val="24"/>
        </w:rPr>
        <w:t>ney diseases were also observed in the parents of these children. The majority of infants in the first year of life were breastfed (84.0%). How</w:t>
      </w:r>
      <w:r w:rsidR="00D40313">
        <w:rPr>
          <w:rFonts w:eastAsia="Calibri" w:cs="Times New Roman"/>
          <w:sz w:val="24"/>
          <w:szCs w:val="24"/>
        </w:rPr>
        <w:softHyphen/>
      </w:r>
      <w:r w:rsidRPr="000A2B5C">
        <w:rPr>
          <w:rFonts w:eastAsia="Calibri" w:cs="Times New Roman"/>
          <w:sz w:val="24"/>
          <w:szCs w:val="24"/>
        </w:rPr>
        <w:t>ever, for whatever reason, a sufficient number of children were on artificial and mixed feed</w:t>
      </w:r>
      <w:r w:rsidR="00D40313">
        <w:rPr>
          <w:rFonts w:eastAsia="Calibri" w:cs="Times New Roman"/>
          <w:sz w:val="24"/>
          <w:szCs w:val="24"/>
        </w:rPr>
        <w:softHyphen/>
      </w:r>
      <w:r w:rsidRPr="000A2B5C">
        <w:rPr>
          <w:rFonts w:eastAsia="Calibri" w:cs="Times New Roman"/>
          <w:sz w:val="24"/>
          <w:szCs w:val="24"/>
        </w:rPr>
        <w:t>ing (16.0%). More than half of children with metabolic nephropathy showed vitamin and micronutrient deficiencies, such as dry skin (92%), aphthous stomatitis (16%), brittle nails and hair (58%); in one-third of physical devel</w:t>
      </w:r>
      <w:r w:rsidR="00D40313">
        <w:rPr>
          <w:rFonts w:eastAsia="Calibri" w:cs="Times New Roman"/>
          <w:sz w:val="24"/>
          <w:szCs w:val="24"/>
        </w:rPr>
        <w:softHyphen/>
      </w:r>
      <w:r w:rsidRPr="000A2B5C">
        <w:rPr>
          <w:rFonts w:eastAsia="Calibri" w:cs="Times New Roman"/>
          <w:sz w:val="24"/>
          <w:szCs w:val="24"/>
        </w:rPr>
        <w:t>opment - in the form of I-II degree protein-en</w:t>
      </w:r>
      <w:r w:rsidR="00D40313">
        <w:rPr>
          <w:rFonts w:eastAsia="Calibri" w:cs="Times New Roman"/>
          <w:sz w:val="24"/>
          <w:szCs w:val="24"/>
        </w:rPr>
        <w:softHyphen/>
      </w:r>
      <w:r w:rsidRPr="000A2B5C">
        <w:rPr>
          <w:rFonts w:eastAsia="Calibri" w:cs="Times New Roman"/>
          <w:sz w:val="24"/>
          <w:szCs w:val="24"/>
        </w:rPr>
        <w:t>ergy deficiency (37%), in rare cases (8%) in stage I-II overweight was observed.</w:t>
      </w:r>
    </w:p>
    <w:p w14:paraId="382F3BE7" w14:textId="3091840F"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According to a comparative analysis of the Khorezm region's VDSENM municipal analysis conducted in 2017-2020, water scar</w:t>
      </w:r>
      <w:r w:rsidR="00D40313">
        <w:rPr>
          <w:rFonts w:eastAsia="Calibri" w:cs="Times New Roman"/>
          <w:sz w:val="24"/>
          <w:szCs w:val="24"/>
        </w:rPr>
        <w:softHyphen/>
      </w:r>
      <w:r w:rsidRPr="000A2B5C">
        <w:rPr>
          <w:rFonts w:eastAsia="Calibri" w:cs="Times New Roman"/>
          <w:sz w:val="24"/>
          <w:szCs w:val="24"/>
        </w:rPr>
        <w:t>city has increased significantly over the past year. In 2017, the total number of trials was 19748, of which 1935 (9.7%) did not meet the trial requirement. In 2018, it was 2,170 (11.1%), and in 2020, the figure increased to 2,450 (13%). We determined the rate of occur</w:t>
      </w:r>
      <w:r w:rsidR="00D40313">
        <w:rPr>
          <w:rFonts w:eastAsia="Calibri" w:cs="Times New Roman"/>
          <w:sz w:val="24"/>
          <w:szCs w:val="24"/>
        </w:rPr>
        <w:softHyphen/>
      </w:r>
      <w:r w:rsidRPr="000A2B5C">
        <w:rPr>
          <w:rFonts w:eastAsia="Calibri" w:cs="Times New Roman"/>
          <w:sz w:val="24"/>
          <w:szCs w:val="24"/>
        </w:rPr>
        <w:t xml:space="preserve">rence of DMN in children and the statistical correlation between their habitats, which was </w:t>
      </w:r>
      <w:r w:rsidRPr="000A2B5C">
        <w:rPr>
          <w:rFonts w:eastAsia="Calibri" w:cs="Times New Roman"/>
          <w:sz w:val="24"/>
          <w:szCs w:val="24"/>
        </w:rPr>
        <w:t>confirmed by a high reliability index of oxa</w:t>
      </w:r>
      <w:r w:rsidR="00D40313">
        <w:rPr>
          <w:rFonts w:eastAsia="Calibri" w:cs="Times New Roman"/>
          <w:sz w:val="24"/>
          <w:szCs w:val="24"/>
        </w:rPr>
        <w:softHyphen/>
      </w:r>
      <w:r w:rsidRPr="000A2B5C">
        <w:rPr>
          <w:rFonts w:eastAsia="Calibri" w:cs="Times New Roman"/>
          <w:sz w:val="24"/>
          <w:szCs w:val="24"/>
        </w:rPr>
        <w:t>laturia-62% (R &lt;0.001). Water content in wa</w:t>
      </w:r>
      <w:r w:rsidR="00D40313">
        <w:rPr>
          <w:rFonts w:eastAsia="Calibri" w:cs="Times New Roman"/>
          <w:sz w:val="24"/>
          <w:szCs w:val="24"/>
        </w:rPr>
        <w:softHyphen/>
      </w:r>
      <w:r w:rsidRPr="000A2B5C">
        <w:rPr>
          <w:rFonts w:eastAsia="Calibri" w:cs="Times New Roman"/>
          <w:sz w:val="24"/>
          <w:szCs w:val="24"/>
        </w:rPr>
        <w:t>ter supply sources of all districts of Khorezm region is harmful to the organism and 2-2.5 times higher water hardness leads to the spread of ecological forms of dysmetobolic nephrop</w:t>
      </w:r>
      <w:r w:rsidR="00D40313">
        <w:rPr>
          <w:rFonts w:eastAsia="Calibri" w:cs="Times New Roman"/>
          <w:sz w:val="24"/>
          <w:szCs w:val="24"/>
        </w:rPr>
        <w:softHyphen/>
      </w:r>
      <w:r w:rsidRPr="000A2B5C">
        <w:rPr>
          <w:rFonts w:eastAsia="Calibri" w:cs="Times New Roman"/>
          <w:sz w:val="24"/>
          <w:szCs w:val="24"/>
        </w:rPr>
        <w:t>athy (nephrolithiasis), which leads to the de</w:t>
      </w:r>
      <w:r w:rsidR="00D40313">
        <w:rPr>
          <w:rFonts w:eastAsia="Calibri" w:cs="Times New Roman"/>
          <w:sz w:val="24"/>
          <w:szCs w:val="24"/>
        </w:rPr>
        <w:softHyphen/>
      </w:r>
      <w:r w:rsidRPr="000A2B5C">
        <w:rPr>
          <w:rFonts w:eastAsia="Calibri" w:cs="Times New Roman"/>
          <w:sz w:val="24"/>
          <w:szCs w:val="24"/>
        </w:rPr>
        <w:t>velopment of new and advanced technologies for treatment of natural and domestic drinking water. requires output and application.</w:t>
      </w:r>
    </w:p>
    <w:p w14:paraId="0719D082" w14:textId="6925BB60"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An assessment of the nature of nutrition in our study showed that based on the results obtained in 2017-2020, it can be said that 2255 trials were conducted for 15 different food products out of 6349 examined. Of these, 30 did not meet the medical and biological re</w:t>
      </w:r>
      <w:r w:rsidR="00D40313">
        <w:rPr>
          <w:rFonts w:eastAsia="Calibri" w:cs="Times New Roman"/>
          <w:sz w:val="24"/>
          <w:szCs w:val="24"/>
        </w:rPr>
        <w:softHyphen/>
      </w:r>
      <w:r w:rsidRPr="000A2B5C">
        <w:rPr>
          <w:rFonts w:eastAsia="Calibri" w:cs="Times New Roman"/>
          <w:sz w:val="24"/>
          <w:szCs w:val="24"/>
        </w:rPr>
        <w:t>quirements, 107 did not meet the requirements of GOST, and 2803 were found to contain toxic elements. However, the positive interac</w:t>
      </w:r>
      <w:r w:rsidR="00D40313">
        <w:rPr>
          <w:rFonts w:eastAsia="Calibri" w:cs="Times New Roman"/>
          <w:sz w:val="24"/>
          <w:szCs w:val="24"/>
        </w:rPr>
        <w:softHyphen/>
      </w:r>
      <w:r w:rsidRPr="000A2B5C">
        <w:rPr>
          <w:rFonts w:eastAsia="Calibri" w:cs="Times New Roman"/>
          <w:sz w:val="24"/>
          <w:szCs w:val="24"/>
        </w:rPr>
        <w:t>tion of toxic elements means that they not only accumulate in the body of children with this pathology, but also synergism, which nega</w:t>
      </w:r>
      <w:r w:rsidR="00D40313">
        <w:rPr>
          <w:rFonts w:eastAsia="Calibri" w:cs="Times New Roman"/>
          <w:sz w:val="24"/>
          <w:szCs w:val="24"/>
        </w:rPr>
        <w:softHyphen/>
      </w:r>
      <w:r w:rsidRPr="000A2B5C">
        <w:rPr>
          <w:rFonts w:eastAsia="Calibri" w:cs="Times New Roman"/>
          <w:sz w:val="24"/>
          <w:szCs w:val="24"/>
        </w:rPr>
        <w:t>tively affects the kidney structures and the im</w:t>
      </w:r>
      <w:r w:rsidR="00D40313">
        <w:rPr>
          <w:rFonts w:eastAsia="Calibri" w:cs="Times New Roman"/>
          <w:sz w:val="24"/>
          <w:szCs w:val="24"/>
        </w:rPr>
        <w:softHyphen/>
      </w:r>
      <w:r w:rsidRPr="000A2B5C">
        <w:rPr>
          <w:rFonts w:eastAsia="Calibri" w:cs="Times New Roman"/>
          <w:sz w:val="24"/>
          <w:szCs w:val="24"/>
        </w:rPr>
        <w:t>mune system.</w:t>
      </w:r>
    </w:p>
    <w:p w14:paraId="0460B890" w14:textId="584DE449"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When we determined the salt residues in the urine of the children, depending on the mineral properties, the urate content was 11%, crystals 16.5% and oxalates 45.6%. In chil</w:t>
      </w:r>
      <w:r w:rsidR="00D40313">
        <w:rPr>
          <w:rFonts w:eastAsia="Calibri" w:cs="Times New Roman"/>
          <w:sz w:val="24"/>
          <w:szCs w:val="24"/>
        </w:rPr>
        <w:softHyphen/>
      </w:r>
      <w:r w:rsidRPr="000A2B5C">
        <w:rPr>
          <w:rFonts w:eastAsia="Calibri" w:cs="Times New Roman"/>
          <w:sz w:val="24"/>
          <w:szCs w:val="24"/>
        </w:rPr>
        <w:t>dren, the specific symptoms of DMN disease are not clearly described. We were able to de</w:t>
      </w:r>
      <w:r w:rsidR="00D40313">
        <w:rPr>
          <w:rFonts w:eastAsia="Calibri" w:cs="Times New Roman"/>
          <w:sz w:val="24"/>
          <w:szCs w:val="24"/>
        </w:rPr>
        <w:softHyphen/>
      </w:r>
      <w:r w:rsidRPr="000A2B5C">
        <w:rPr>
          <w:rFonts w:eastAsia="Calibri" w:cs="Times New Roman"/>
          <w:sz w:val="24"/>
          <w:szCs w:val="24"/>
        </w:rPr>
        <w:t>tect early clinical and laboratory signs of dis</w:t>
      </w:r>
      <w:r w:rsidR="00D40313">
        <w:rPr>
          <w:rFonts w:eastAsia="Calibri" w:cs="Times New Roman"/>
          <w:sz w:val="24"/>
          <w:szCs w:val="24"/>
        </w:rPr>
        <w:softHyphen/>
      </w:r>
      <w:r w:rsidRPr="000A2B5C">
        <w:rPr>
          <w:rFonts w:eastAsia="Calibri" w:cs="Times New Roman"/>
          <w:sz w:val="24"/>
          <w:szCs w:val="24"/>
        </w:rPr>
        <w:t>ease in children selected by randomization. A study of children in the main group showed that 64% of preschool children had dry skin, and 77% of school-age children had thirst and low fluid intake per day, accompanied by met</w:t>
      </w:r>
      <w:r w:rsidR="00D40313">
        <w:rPr>
          <w:rFonts w:eastAsia="Calibri" w:cs="Times New Roman"/>
          <w:sz w:val="24"/>
          <w:szCs w:val="24"/>
        </w:rPr>
        <w:softHyphen/>
      </w:r>
      <w:r w:rsidRPr="000A2B5C">
        <w:rPr>
          <w:rFonts w:eastAsia="Calibri" w:cs="Times New Roman"/>
          <w:sz w:val="24"/>
          <w:szCs w:val="24"/>
        </w:rPr>
        <w:t>abolic disorders, especially water-salt metabo</w:t>
      </w:r>
      <w:r w:rsidR="00D40313">
        <w:rPr>
          <w:rFonts w:eastAsia="Calibri" w:cs="Times New Roman"/>
          <w:sz w:val="24"/>
          <w:szCs w:val="24"/>
        </w:rPr>
        <w:softHyphen/>
      </w:r>
      <w:r w:rsidRPr="000A2B5C">
        <w:rPr>
          <w:rFonts w:eastAsia="Calibri" w:cs="Times New Roman"/>
          <w:sz w:val="24"/>
          <w:szCs w:val="24"/>
        </w:rPr>
        <w:t>lism disorders. depends on the pathogenetic process.</w:t>
      </w:r>
    </w:p>
    <w:p w14:paraId="0D951BAC" w14:textId="610E73F0"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 xml:space="preserve">The incidence of persistent crystalluria and microhematuria was 27.7% in preschool children in the main group. In the main group during the school period, more than half of the respondents were found to have insignificant proteinuria, as well as occasional pain in the </w:t>
      </w:r>
      <w:r w:rsidRPr="000A2B5C">
        <w:rPr>
          <w:rFonts w:eastAsia="Calibri" w:cs="Times New Roman"/>
          <w:sz w:val="24"/>
          <w:szCs w:val="24"/>
        </w:rPr>
        <w:lastRenderedPageBreak/>
        <w:t>morning eyelids, extrarenal appearance, back lumbar region, lower abdomen. Despite the early onset of metabolic disorders, children over 10 years of age had a risk of urinary in</w:t>
      </w:r>
      <w:r w:rsidR="00D40313">
        <w:rPr>
          <w:rFonts w:eastAsia="Calibri" w:cs="Times New Roman"/>
          <w:sz w:val="24"/>
          <w:szCs w:val="24"/>
        </w:rPr>
        <w:softHyphen/>
      </w:r>
      <w:r w:rsidRPr="000A2B5C">
        <w:rPr>
          <w:rFonts w:eastAsia="Calibri" w:cs="Times New Roman"/>
          <w:sz w:val="24"/>
          <w:szCs w:val="24"/>
        </w:rPr>
        <w:t>continence (7%). Enuresis was present in up to 4.5% of preschool children, but not at all in school-age children. Physical retardation was almost the same in school-age children (11.4%) and, relatively, in preschool-age chil</w:t>
      </w:r>
      <w:r w:rsidR="00D40313">
        <w:rPr>
          <w:rFonts w:eastAsia="Calibri" w:cs="Times New Roman"/>
          <w:sz w:val="24"/>
          <w:szCs w:val="24"/>
        </w:rPr>
        <w:softHyphen/>
      </w:r>
      <w:r w:rsidRPr="000A2B5C">
        <w:rPr>
          <w:rFonts w:eastAsia="Calibri" w:cs="Times New Roman"/>
          <w:sz w:val="24"/>
          <w:szCs w:val="24"/>
        </w:rPr>
        <w:t>dren (11.1%).</w:t>
      </w:r>
    </w:p>
    <w:p w14:paraId="2C53412B" w14:textId="74DA65A5"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Our next study was to determine GFT levels in children with oxalate nephropathy, the most common (46%) in our main group, against the background of impaired phospho</w:t>
      </w:r>
      <w:r w:rsidR="00D40313">
        <w:rPr>
          <w:rFonts w:eastAsia="Calibri" w:cs="Times New Roman"/>
          <w:sz w:val="24"/>
          <w:szCs w:val="24"/>
        </w:rPr>
        <w:softHyphen/>
      </w:r>
      <w:r w:rsidRPr="000A2B5C">
        <w:rPr>
          <w:rFonts w:eastAsia="Calibri" w:cs="Times New Roman"/>
          <w:sz w:val="24"/>
          <w:szCs w:val="24"/>
        </w:rPr>
        <w:t>rus-calcium metabolism in renal function. The results of the study showed that with a signifi</w:t>
      </w:r>
      <w:r w:rsidR="00D40313">
        <w:rPr>
          <w:rFonts w:eastAsia="Calibri" w:cs="Times New Roman"/>
          <w:sz w:val="24"/>
          <w:szCs w:val="24"/>
        </w:rPr>
        <w:softHyphen/>
      </w:r>
      <w:r w:rsidRPr="000A2B5C">
        <w:rPr>
          <w:rFonts w:eastAsia="Calibri" w:cs="Times New Roman"/>
          <w:sz w:val="24"/>
          <w:szCs w:val="24"/>
        </w:rPr>
        <w:t>cant decrease in GFT levels (76.24 ± 0.95), a significant increase in serum creatinine and urea was found (R &lt;0.001). However, in pa</w:t>
      </w:r>
      <w:r w:rsidR="00D40313">
        <w:rPr>
          <w:rFonts w:eastAsia="Calibri" w:cs="Times New Roman"/>
          <w:sz w:val="24"/>
          <w:szCs w:val="24"/>
        </w:rPr>
        <w:softHyphen/>
      </w:r>
      <w:r w:rsidRPr="000A2B5C">
        <w:rPr>
          <w:rFonts w:eastAsia="Calibri" w:cs="Times New Roman"/>
          <w:sz w:val="24"/>
          <w:szCs w:val="24"/>
        </w:rPr>
        <w:t>tients with oxalate nephropathy, a significant decrease in total serum total calcium (1.98 ± 0.006) was observed with normal daily cal</w:t>
      </w:r>
      <w:r w:rsidR="00D40313">
        <w:rPr>
          <w:rFonts w:eastAsia="Calibri" w:cs="Times New Roman"/>
          <w:sz w:val="24"/>
          <w:szCs w:val="24"/>
        </w:rPr>
        <w:softHyphen/>
      </w:r>
      <w:r w:rsidRPr="000A2B5C">
        <w:rPr>
          <w:rFonts w:eastAsia="Calibri" w:cs="Times New Roman"/>
          <w:sz w:val="24"/>
          <w:szCs w:val="24"/>
        </w:rPr>
        <w:t>cium excretion, which was statistically differ</w:t>
      </w:r>
      <w:r w:rsidR="00D40313">
        <w:rPr>
          <w:rFonts w:eastAsia="Calibri" w:cs="Times New Roman"/>
          <w:sz w:val="24"/>
          <w:szCs w:val="24"/>
        </w:rPr>
        <w:softHyphen/>
      </w:r>
      <w:r w:rsidRPr="000A2B5C">
        <w:rPr>
          <w:rFonts w:eastAsia="Calibri" w:cs="Times New Roman"/>
          <w:sz w:val="24"/>
          <w:szCs w:val="24"/>
        </w:rPr>
        <w:t>ent from the control group (2.18 ± 0.018, R &lt;0.001). This may be due to the binding of cal</w:t>
      </w:r>
      <w:r w:rsidR="00D40313">
        <w:rPr>
          <w:rFonts w:eastAsia="Calibri" w:cs="Times New Roman"/>
          <w:sz w:val="24"/>
          <w:szCs w:val="24"/>
        </w:rPr>
        <w:softHyphen/>
      </w:r>
      <w:r w:rsidRPr="000A2B5C">
        <w:rPr>
          <w:rFonts w:eastAsia="Calibri" w:cs="Times New Roman"/>
          <w:sz w:val="24"/>
          <w:szCs w:val="24"/>
        </w:rPr>
        <w:t>cium to intestinal oxalates and a slight disrup</w:t>
      </w:r>
      <w:r w:rsidR="00D40313">
        <w:rPr>
          <w:rFonts w:eastAsia="Calibri" w:cs="Times New Roman"/>
          <w:sz w:val="24"/>
          <w:szCs w:val="24"/>
        </w:rPr>
        <w:softHyphen/>
      </w:r>
      <w:r w:rsidRPr="000A2B5C">
        <w:rPr>
          <w:rFonts w:eastAsia="Calibri" w:cs="Times New Roman"/>
          <w:sz w:val="24"/>
          <w:szCs w:val="24"/>
        </w:rPr>
        <w:t>tion of intestinal absorption of calcium.</w:t>
      </w:r>
    </w:p>
    <w:p w14:paraId="10F7E47E" w14:textId="77777777"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In our study, we selected 211 children aged 3 to 15 years from 960 children diagnosed with oxalate nephropathy. The children were divided into 4 groups:</w:t>
      </w:r>
    </w:p>
    <w:p w14:paraId="11056F66" w14:textId="77777777" w:rsidR="000A2B5C" w:rsidRPr="000A2B5C" w:rsidRDefault="000A2B5C" w:rsidP="000A2B5C">
      <w:pPr>
        <w:spacing w:line="276" w:lineRule="auto"/>
        <w:ind w:firstLine="567"/>
        <w:jc w:val="both"/>
        <w:rPr>
          <w:rFonts w:eastAsia="Calibri" w:cs="Times New Roman"/>
          <w:b/>
          <w:sz w:val="24"/>
          <w:szCs w:val="24"/>
        </w:rPr>
      </w:pPr>
      <w:r w:rsidRPr="000A2B5C">
        <w:rPr>
          <w:rFonts w:eastAsia="Calibri" w:cs="Times New Roman"/>
          <w:b/>
          <w:sz w:val="24"/>
          <w:szCs w:val="24"/>
        </w:rPr>
        <w:t>The children were divided into 4 groups:</w:t>
      </w:r>
    </w:p>
    <w:p w14:paraId="188F4352" w14:textId="382ED7D1"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Comparison group 1 (control)</w:t>
      </w:r>
      <w:r w:rsidRPr="000A2B5C">
        <w:rPr>
          <w:rFonts w:eastAsia="Calibri" w:cs="Times New Roman"/>
          <w:sz w:val="24"/>
          <w:szCs w:val="24"/>
        </w:rPr>
        <w:t xml:space="preserve"> - 40 children aged 3 to 15 years (20 girls and 20 boys) - treated with vitamins for 2 courses: vit</w:t>
      </w:r>
      <w:r w:rsidR="00D40313">
        <w:rPr>
          <w:rFonts w:eastAsia="Calibri" w:cs="Times New Roman"/>
          <w:sz w:val="24"/>
          <w:szCs w:val="24"/>
        </w:rPr>
        <w:softHyphen/>
      </w:r>
      <w:r w:rsidRPr="000A2B5C">
        <w:rPr>
          <w:rFonts w:eastAsia="Calibri" w:cs="Times New Roman"/>
          <w:sz w:val="24"/>
          <w:szCs w:val="24"/>
        </w:rPr>
        <w:t>amin A (1000 BR / year / 24 hours), vitamin E (1 -1.5 mg / kg once daily), vitamin V6 (1-3 mg / kg once daily) continued with a 4-week break. When their children used vitamin ther</w:t>
      </w:r>
      <w:r w:rsidR="00D40313">
        <w:rPr>
          <w:rFonts w:eastAsia="Calibri" w:cs="Times New Roman"/>
          <w:sz w:val="24"/>
          <w:szCs w:val="24"/>
        </w:rPr>
        <w:softHyphen/>
      </w:r>
      <w:r w:rsidRPr="000A2B5C">
        <w:rPr>
          <w:rFonts w:eastAsia="Calibri" w:cs="Times New Roman"/>
          <w:sz w:val="24"/>
          <w:szCs w:val="24"/>
        </w:rPr>
        <w:t>apy, the detection rate of crystalluria after 4 weeks was maintained at 68%, with a tendency to decrease uric acid excretion in the urine. Urinary excretion of leukocytes and renal epi</w:t>
      </w:r>
      <w:r w:rsidR="00D40313">
        <w:rPr>
          <w:rFonts w:eastAsia="Calibri" w:cs="Times New Roman"/>
          <w:sz w:val="24"/>
          <w:szCs w:val="24"/>
        </w:rPr>
        <w:softHyphen/>
      </w:r>
      <w:r w:rsidRPr="000A2B5C">
        <w:rPr>
          <w:rFonts w:eastAsia="Calibri" w:cs="Times New Roman"/>
          <w:sz w:val="24"/>
          <w:szCs w:val="24"/>
        </w:rPr>
        <w:t>thelium in 57.8% of children was significantly reduced.</w:t>
      </w:r>
    </w:p>
    <w:p w14:paraId="4B165B28" w14:textId="4C177D38"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On the basis of vitamin therapy, there was also a decrease in multivitamin deficiency - dry skin, hyperkeratosis, stomatitis, positive changes, as well as in urinary syndrome: mi</w:t>
      </w:r>
      <w:r w:rsidR="00D40313">
        <w:rPr>
          <w:rFonts w:eastAsia="Calibri" w:cs="Times New Roman"/>
          <w:sz w:val="24"/>
          <w:szCs w:val="24"/>
        </w:rPr>
        <w:softHyphen/>
      </w:r>
      <w:r w:rsidRPr="000A2B5C">
        <w:rPr>
          <w:rFonts w:eastAsia="Calibri" w:cs="Times New Roman"/>
          <w:sz w:val="24"/>
          <w:szCs w:val="24"/>
        </w:rPr>
        <w:t>crohematuria of patients in this group he lost 41.7% and 50% proteinuria. When treated with vitamins, a slight decrease in oxalaturia was noted, which lasted for 6 months. An important factor influencing the formation of crystals in the urine and the development of hematuria is the amount of calcium in the urine. Children in the control group were found to have the low</w:t>
      </w:r>
      <w:r w:rsidR="00D40313">
        <w:rPr>
          <w:rFonts w:eastAsia="Calibri" w:cs="Times New Roman"/>
          <w:sz w:val="24"/>
          <w:szCs w:val="24"/>
        </w:rPr>
        <w:softHyphen/>
      </w:r>
      <w:r w:rsidRPr="000A2B5C">
        <w:rPr>
          <w:rFonts w:eastAsia="Calibri" w:cs="Times New Roman"/>
          <w:sz w:val="24"/>
          <w:szCs w:val="24"/>
        </w:rPr>
        <w:t>est Ca levels, and their levels did not change during the 6-month treatment period. A com</w:t>
      </w:r>
      <w:r w:rsidR="00D40313">
        <w:rPr>
          <w:rFonts w:eastAsia="Calibri" w:cs="Times New Roman"/>
          <w:sz w:val="24"/>
          <w:szCs w:val="24"/>
        </w:rPr>
        <w:softHyphen/>
      </w:r>
      <w:r w:rsidRPr="000A2B5C">
        <w:rPr>
          <w:rFonts w:eastAsia="Calibri" w:cs="Times New Roman"/>
          <w:sz w:val="24"/>
          <w:szCs w:val="24"/>
        </w:rPr>
        <w:t>parative analysis of peripheral blood also ap</w:t>
      </w:r>
      <w:r w:rsidR="00D40313">
        <w:rPr>
          <w:rFonts w:eastAsia="Calibri" w:cs="Times New Roman"/>
          <w:sz w:val="24"/>
          <w:szCs w:val="24"/>
        </w:rPr>
        <w:softHyphen/>
      </w:r>
      <w:r w:rsidRPr="000A2B5C">
        <w:rPr>
          <w:rFonts w:eastAsia="Calibri" w:cs="Times New Roman"/>
          <w:sz w:val="24"/>
          <w:szCs w:val="24"/>
        </w:rPr>
        <w:t>proached the norm relative to age. However, the effect of treatment with a vitamin complex was temporary. In all children, blood pressure readings did not exceed the norm relative to age.</w:t>
      </w:r>
    </w:p>
    <w:p w14:paraId="33B3FA7A" w14:textId="3E5B8930"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Group 2 - a group of children receiv</w:t>
      </w:r>
      <w:r w:rsidR="00D40313">
        <w:rPr>
          <w:rFonts w:eastAsia="Calibri" w:cs="Times New Roman"/>
          <w:b/>
          <w:sz w:val="24"/>
          <w:szCs w:val="24"/>
        </w:rPr>
        <w:softHyphen/>
      </w:r>
      <w:r w:rsidRPr="000A2B5C">
        <w:rPr>
          <w:rFonts w:eastAsia="Calibri" w:cs="Times New Roman"/>
          <w:b/>
          <w:sz w:val="24"/>
          <w:szCs w:val="24"/>
        </w:rPr>
        <w:t>ing Uralesan syrup</w:t>
      </w:r>
      <w:r w:rsidRPr="000A2B5C">
        <w:rPr>
          <w:rFonts w:eastAsia="Calibri" w:cs="Times New Roman"/>
          <w:sz w:val="24"/>
          <w:szCs w:val="24"/>
        </w:rPr>
        <w:t xml:space="preserve"> - 41 children aged 3 to 15 years (22 girls and 19 boys admitted) - the amount was prescribed with a 1-month course of treatment according to age: school-age chil</w:t>
      </w:r>
      <w:r w:rsidR="00D40313">
        <w:rPr>
          <w:rFonts w:eastAsia="Calibri" w:cs="Times New Roman"/>
          <w:sz w:val="24"/>
          <w:szCs w:val="24"/>
        </w:rPr>
        <w:softHyphen/>
      </w:r>
      <w:r w:rsidRPr="000A2B5C">
        <w:rPr>
          <w:rFonts w:eastAsia="Calibri" w:cs="Times New Roman"/>
          <w:sz w:val="24"/>
          <w:szCs w:val="24"/>
        </w:rPr>
        <w:t>dren - 3 times a day 5 ml; preschool children - recommended to drink 2-4 ml 3 times a day. In this group of children, a decrease in the excre</w:t>
      </w:r>
      <w:r w:rsidR="00D40313">
        <w:rPr>
          <w:rFonts w:eastAsia="Calibri" w:cs="Times New Roman"/>
          <w:sz w:val="24"/>
          <w:szCs w:val="24"/>
        </w:rPr>
        <w:softHyphen/>
      </w:r>
      <w:r w:rsidRPr="000A2B5C">
        <w:rPr>
          <w:rFonts w:eastAsia="Calibri" w:cs="Times New Roman"/>
          <w:sz w:val="24"/>
          <w:szCs w:val="24"/>
        </w:rPr>
        <w:t>tion of salts from the urine was observed. Based on the group of patients receiving Ura</w:t>
      </w:r>
      <w:r w:rsidR="00D40313">
        <w:rPr>
          <w:rFonts w:eastAsia="Calibri" w:cs="Times New Roman"/>
          <w:sz w:val="24"/>
          <w:szCs w:val="24"/>
        </w:rPr>
        <w:softHyphen/>
      </w:r>
      <w:r w:rsidRPr="000A2B5C">
        <w:rPr>
          <w:rFonts w:eastAsia="Calibri" w:cs="Times New Roman"/>
          <w:sz w:val="24"/>
          <w:szCs w:val="24"/>
        </w:rPr>
        <w:t>lesan, GFT increased by 10%, which is an in</w:t>
      </w:r>
      <w:r w:rsidR="00D40313">
        <w:rPr>
          <w:rFonts w:eastAsia="Calibri" w:cs="Times New Roman"/>
          <w:sz w:val="24"/>
          <w:szCs w:val="24"/>
        </w:rPr>
        <w:softHyphen/>
      </w:r>
      <w:r w:rsidRPr="000A2B5C">
        <w:rPr>
          <w:rFonts w:eastAsia="Calibri" w:cs="Times New Roman"/>
          <w:sz w:val="24"/>
          <w:szCs w:val="24"/>
        </w:rPr>
        <w:t>dicator of preserved renal reserve. There was also a significant decrease in urinary excretion of 79.3% of leukocytes and renal epithelium in children. However, in 20.7% of children, these figures were maintained. In this case, the course of treatment with Uralsan should be re</w:t>
      </w:r>
      <w:r w:rsidR="00D40313">
        <w:rPr>
          <w:rFonts w:eastAsia="Calibri" w:cs="Times New Roman"/>
          <w:sz w:val="24"/>
          <w:szCs w:val="24"/>
        </w:rPr>
        <w:softHyphen/>
      </w:r>
      <w:r w:rsidRPr="000A2B5C">
        <w:rPr>
          <w:rFonts w:eastAsia="Calibri" w:cs="Times New Roman"/>
          <w:sz w:val="24"/>
          <w:szCs w:val="24"/>
        </w:rPr>
        <w:t>peated in 2-3 months. Based on biochemical analysis, attention should be paid to ALT and AST enzymes. After the course of treatment taken by Uralsan, the content of these enzymes in the blood was significantly reduced com</w:t>
      </w:r>
      <w:r w:rsidR="00D40313">
        <w:rPr>
          <w:rFonts w:eastAsia="Calibri" w:cs="Times New Roman"/>
          <w:sz w:val="24"/>
          <w:szCs w:val="24"/>
        </w:rPr>
        <w:softHyphen/>
      </w:r>
      <w:r w:rsidRPr="000A2B5C">
        <w:rPr>
          <w:rFonts w:eastAsia="Calibri" w:cs="Times New Roman"/>
          <w:sz w:val="24"/>
          <w:szCs w:val="24"/>
        </w:rPr>
        <w:t xml:space="preserve">pared to the performance of children in the </w:t>
      </w:r>
      <w:r w:rsidRPr="000A2B5C">
        <w:rPr>
          <w:rFonts w:eastAsia="Calibri" w:cs="Times New Roman"/>
          <w:sz w:val="24"/>
          <w:szCs w:val="24"/>
        </w:rPr>
        <w:lastRenderedPageBreak/>
        <w:t>control group. Free blood bilirubin was almost halved compared to the control group. Diuresis was almost doubled in the control group. Sig</w:t>
      </w:r>
      <w:r w:rsidR="00D40313">
        <w:rPr>
          <w:rFonts w:eastAsia="Calibri" w:cs="Times New Roman"/>
          <w:sz w:val="24"/>
          <w:szCs w:val="24"/>
        </w:rPr>
        <w:softHyphen/>
      </w:r>
      <w:r w:rsidRPr="000A2B5C">
        <w:rPr>
          <w:rFonts w:eastAsia="Calibri" w:cs="Times New Roman"/>
          <w:sz w:val="24"/>
          <w:szCs w:val="24"/>
        </w:rPr>
        <w:t>nificantly altered AB readings returned to nor</w:t>
      </w:r>
      <w:r w:rsidR="00D40313">
        <w:rPr>
          <w:rFonts w:eastAsia="Calibri" w:cs="Times New Roman"/>
          <w:sz w:val="24"/>
          <w:szCs w:val="24"/>
        </w:rPr>
        <w:softHyphen/>
      </w:r>
      <w:r w:rsidRPr="000A2B5C">
        <w:rPr>
          <w:rFonts w:eastAsia="Calibri" w:cs="Times New Roman"/>
          <w:sz w:val="24"/>
          <w:szCs w:val="24"/>
        </w:rPr>
        <w:t>mal as SAB and DAB in all children.</w:t>
      </w:r>
    </w:p>
    <w:p w14:paraId="1A9CF835" w14:textId="44440E86"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Group 3.</w:t>
      </w:r>
      <w:r w:rsidRPr="000A2B5C">
        <w:rPr>
          <w:rFonts w:eastAsia="Calibri" w:cs="Times New Roman"/>
          <w:sz w:val="24"/>
          <w:szCs w:val="24"/>
        </w:rPr>
        <w:t xml:space="preserve"> The only group of children for whom diet was recommended for one year was 80 children (34 girls and 46 boys) aged 3 to 15 years. Drinking plenty of fluids is a versatile treatment for any DMN as it helps to reduce the concentration of soluble substances in the urine. We advised the child to drink more nat</w:t>
      </w:r>
      <w:r w:rsidR="00D40313">
        <w:rPr>
          <w:rFonts w:eastAsia="Calibri" w:cs="Times New Roman"/>
          <w:sz w:val="24"/>
          <w:szCs w:val="24"/>
        </w:rPr>
        <w:softHyphen/>
      </w:r>
      <w:r w:rsidRPr="000A2B5C">
        <w:rPr>
          <w:rFonts w:eastAsia="Calibri" w:cs="Times New Roman"/>
          <w:sz w:val="24"/>
          <w:szCs w:val="24"/>
        </w:rPr>
        <w:t>ural, plain or mineral-enriched, bottled drink</w:t>
      </w:r>
      <w:r w:rsidR="00D40313">
        <w:rPr>
          <w:rFonts w:eastAsia="Calibri" w:cs="Times New Roman"/>
          <w:sz w:val="24"/>
          <w:szCs w:val="24"/>
        </w:rPr>
        <w:softHyphen/>
      </w:r>
      <w:r w:rsidRPr="000A2B5C">
        <w:rPr>
          <w:rFonts w:eastAsia="Calibri" w:cs="Times New Roman"/>
          <w:sz w:val="24"/>
          <w:szCs w:val="24"/>
        </w:rPr>
        <w:t>ing water throughout the day. This is because drinking plenty of fluids throughout the day helps to eliminate urine from the body by re</w:t>
      </w:r>
      <w:r w:rsidR="00D40313">
        <w:rPr>
          <w:rFonts w:eastAsia="Calibri" w:cs="Times New Roman"/>
          <w:sz w:val="24"/>
          <w:szCs w:val="24"/>
        </w:rPr>
        <w:softHyphen/>
      </w:r>
      <w:r w:rsidRPr="000A2B5C">
        <w:rPr>
          <w:rFonts w:eastAsia="Calibri" w:cs="Times New Roman"/>
          <w:sz w:val="24"/>
          <w:szCs w:val="24"/>
        </w:rPr>
        <w:t>ducing the acidic environment and reducing the amount of carbohydrates and calcium in the urine. This helps prevent the child from devel</w:t>
      </w:r>
      <w:r w:rsidR="00D40313">
        <w:rPr>
          <w:rFonts w:eastAsia="Calibri" w:cs="Times New Roman"/>
          <w:sz w:val="24"/>
          <w:szCs w:val="24"/>
        </w:rPr>
        <w:softHyphen/>
      </w:r>
      <w:r w:rsidRPr="000A2B5C">
        <w:rPr>
          <w:rFonts w:eastAsia="Calibri" w:cs="Times New Roman"/>
          <w:sz w:val="24"/>
          <w:szCs w:val="24"/>
        </w:rPr>
        <w:t>oping chronic kidney disease and stone for</w:t>
      </w:r>
      <w:r w:rsidR="00D40313">
        <w:rPr>
          <w:rFonts w:eastAsia="Calibri" w:cs="Times New Roman"/>
          <w:sz w:val="24"/>
          <w:szCs w:val="24"/>
        </w:rPr>
        <w:softHyphen/>
      </w:r>
      <w:r w:rsidRPr="000A2B5C">
        <w:rPr>
          <w:rFonts w:eastAsia="Calibri" w:cs="Times New Roman"/>
          <w:sz w:val="24"/>
          <w:szCs w:val="24"/>
        </w:rPr>
        <w:t>mation.</w:t>
      </w:r>
    </w:p>
    <w:p w14:paraId="12EAD396" w14:textId="0DD837A2"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The goal of diet therapy is to prevent cys</w:t>
      </w:r>
      <w:r w:rsidR="00D40313">
        <w:rPr>
          <w:rFonts w:eastAsia="Calibri" w:cs="Times New Roman"/>
          <w:sz w:val="24"/>
          <w:szCs w:val="24"/>
        </w:rPr>
        <w:softHyphen/>
      </w:r>
      <w:r w:rsidRPr="000A2B5C">
        <w:rPr>
          <w:rFonts w:eastAsia="Calibri" w:cs="Times New Roman"/>
          <w:sz w:val="24"/>
          <w:szCs w:val="24"/>
        </w:rPr>
        <w:t>tine from over-entering the child’s body with methionine and other sulfur-containing acids. To this end, products rich in amino acids, shavel salts, such as methionine and sulfur, such as cottage cheese, fish, eggs, meat, etc., were also excluded (or severely restricted) from the child’s diet. During such a diet, the intake of methionine in the body is reduced to 0.7 g per day. The child should consume at least 2-2.5 liters of fluid per day. This helps to increase the pH of the urine to 7.5–8.0. Treat</w:t>
      </w:r>
      <w:r w:rsidR="00D40313">
        <w:rPr>
          <w:rFonts w:eastAsia="Calibri" w:cs="Times New Roman"/>
          <w:sz w:val="24"/>
          <w:szCs w:val="24"/>
        </w:rPr>
        <w:softHyphen/>
      </w:r>
      <w:r w:rsidRPr="000A2B5C">
        <w:rPr>
          <w:rFonts w:eastAsia="Calibri" w:cs="Times New Roman"/>
          <w:sz w:val="24"/>
          <w:szCs w:val="24"/>
        </w:rPr>
        <w:t>ment courses - 1-3 months, 2 times a year, in winter (December, January) and summer. In children whose diet was recommended, oxa</w:t>
      </w:r>
      <w:r w:rsidR="00D40313">
        <w:rPr>
          <w:rFonts w:eastAsia="Calibri" w:cs="Times New Roman"/>
          <w:sz w:val="24"/>
          <w:szCs w:val="24"/>
        </w:rPr>
        <w:softHyphen/>
      </w:r>
      <w:r w:rsidRPr="000A2B5C">
        <w:rPr>
          <w:rFonts w:eastAsia="Calibri" w:cs="Times New Roman"/>
          <w:sz w:val="24"/>
          <w:szCs w:val="24"/>
        </w:rPr>
        <w:t>laturia was reduced by 70.2% compared with the control group, but crystalluria was up to 30%. In this group of patients, GFT based on dietary therapy increased by 7%. Improve</w:t>
      </w:r>
      <w:r w:rsidR="00D40313">
        <w:rPr>
          <w:rFonts w:eastAsia="Calibri" w:cs="Times New Roman"/>
          <w:sz w:val="24"/>
          <w:szCs w:val="24"/>
        </w:rPr>
        <w:softHyphen/>
      </w:r>
      <w:r w:rsidRPr="000A2B5C">
        <w:rPr>
          <w:rFonts w:eastAsia="Calibri" w:cs="Times New Roman"/>
          <w:sz w:val="24"/>
          <w:szCs w:val="24"/>
        </w:rPr>
        <w:t>ments in peripheral blood analysis and bio</w:t>
      </w:r>
      <w:r w:rsidR="00D40313">
        <w:rPr>
          <w:rFonts w:eastAsia="Calibri" w:cs="Times New Roman"/>
          <w:sz w:val="24"/>
          <w:szCs w:val="24"/>
        </w:rPr>
        <w:softHyphen/>
      </w:r>
      <w:r w:rsidRPr="000A2B5C">
        <w:rPr>
          <w:rFonts w:eastAsia="Calibri" w:cs="Times New Roman"/>
          <w:sz w:val="24"/>
          <w:szCs w:val="24"/>
        </w:rPr>
        <w:t>chemical parameters were still not significant. Decrease in stomatitis on the basis of diet ther</w:t>
      </w:r>
      <w:r w:rsidR="00D40313">
        <w:rPr>
          <w:rFonts w:eastAsia="Calibri" w:cs="Times New Roman"/>
          <w:sz w:val="24"/>
          <w:szCs w:val="24"/>
        </w:rPr>
        <w:softHyphen/>
      </w:r>
      <w:r w:rsidRPr="000A2B5C">
        <w:rPr>
          <w:rFonts w:eastAsia="Calibri" w:cs="Times New Roman"/>
          <w:sz w:val="24"/>
          <w:szCs w:val="24"/>
        </w:rPr>
        <w:t>apy was noted, positive dynamics was also ob</w:t>
      </w:r>
      <w:r w:rsidR="00D40313">
        <w:rPr>
          <w:rFonts w:eastAsia="Calibri" w:cs="Times New Roman"/>
          <w:sz w:val="24"/>
          <w:szCs w:val="24"/>
        </w:rPr>
        <w:softHyphen/>
      </w:r>
      <w:r w:rsidRPr="000A2B5C">
        <w:rPr>
          <w:rFonts w:eastAsia="Calibri" w:cs="Times New Roman"/>
          <w:sz w:val="24"/>
          <w:szCs w:val="24"/>
        </w:rPr>
        <w:t xml:space="preserve">served in urinary syndrome: microhematuria </w:t>
      </w:r>
      <w:r w:rsidRPr="000A2B5C">
        <w:rPr>
          <w:rFonts w:eastAsia="Calibri" w:cs="Times New Roman"/>
          <w:sz w:val="24"/>
          <w:szCs w:val="24"/>
        </w:rPr>
        <w:t>disappeared in 41.7%, proteinuria in 50% of patients in the main group. However, symp</w:t>
      </w:r>
      <w:r w:rsidR="00D40313">
        <w:rPr>
          <w:rFonts w:eastAsia="Calibri" w:cs="Times New Roman"/>
          <w:sz w:val="24"/>
          <w:szCs w:val="24"/>
        </w:rPr>
        <w:softHyphen/>
      </w:r>
      <w:r w:rsidRPr="000A2B5C">
        <w:rPr>
          <w:rFonts w:eastAsia="Calibri" w:cs="Times New Roman"/>
          <w:sz w:val="24"/>
          <w:szCs w:val="24"/>
        </w:rPr>
        <w:t>toms such as dry skin, hyperkeratosis per</w:t>
      </w:r>
      <w:r w:rsidR="00D40313">
        <w:rPr>
          <w:rFonts w:eastAsia="Calibri" w:cs="Times New Roman"/>
          <w:sz w:val="24"/>
          <w:szCs w:val="24"/>
        </w:rPr>
        <w:softHyphen/>
      </w:r>
      <w:r w:rsidRPr="000A2B5C">
        <w:rPr>
          <w:rFonts w:eastAsia="Calibri" w:cs="Times New Roman"/>
          <w:sz w:val="24"/>
          <w:szCs w:val="24"/>
        </w:rPr>
        <w:t>sisted. Thus, a high fluid intake regimen in di</w:t>
      </w:r>
      <w:r w:rsidR="00D40313">
        <w:rPr>
          <w:rFonts w:eastAsia="Calibri" w:cs="Times New Roman"/>
          <w:sz w:val="24"/>
          <w:szCs w:val="24"/>
        </w:rPr>
        <w:softHyphen/>
      </w:r>
      <w:r w:rsidRPr="000A2B5C">
        <w:rPr>
          <w:rFonts w:eastAsia="Calibri" w:cs="Times New Roman"/>
          <w:sz w:val="24"/>
          <w:szCs w:val="24"/>
        </w:rPr>
        <w:t>etary treatment that did not achieve the ex</w:t>
      </w:r>
      <w:r w:rsidR="00D40313">
        <w:rPr>
          <w:rFonts w:eastAsia="Calibri" w:cs="Times New Roman"/>
          <w:sz w:val="24"/>
          <w:szCs w:val="24"/>
        </w:rPr>
        <w:softHyphen/>
      </w:r>
      <w:r w:rsidRPr="000A2B5C">
        <w:rPr>
          <w:rFonts w:eastAsia="Calibri" w:cs="Times New Roman"/>
          <w:sz w:val="24"/>
          <w:szCs w:val="24"/>
        </w:rPr>
        <w:t>pected results in all children required the rec</w:t>
      </w:r>
      <w:r w:rsidR="00D40313">
        <w:rPr>
          <w:rFonts w:eastAsia="Calibri" w:cs="Times New Roman"/>
          <w:sz w:val="24"/>
          <w:szCs w:val="24"/>
        </w:rPr>
        <w:softHyphen/>
      </w:r>
      <w:r w:rsidRPr="000A2B5C">
        <w:rPr>
          <w:rFonts w:eastAsia="Calibri" w:cs="Times New Roman"/>
          <w:sz w:val="24"/>
          <w:szCs w:val="24"/>
        </w:rPr>
        <w:t>ommendation of additional membrane stabi</w:t>
      </w:r>
      <w:r w:rsidR="00D40313">
        <w:rPr>
          <w:rFonts w:eastAsia="Calibri" w:cs="Times New Roman"/>
          <w:sz w:val="24"/>
          <w:szCs w:val="24"/>
        </w:rPr>
        <w:softHyphen/>
      </w:r>
      <w:r w:rsidRPr="000A2B5C">
        <w:rPr>
          <w:rFonts w:eastAsia="Calibri" w:cs="Times New Roman"/>
          <w:sz w:val="24"/>
          <w:szCs w:val="24"/>
        </w:rPr>
        <w:t>lizers.</w:t>
      </w:r>
    </w:p>
    <w:p w14:paraId="55C3DC29" w14:textId="59C56332"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Group 4.</w:t>
      </w:r>
      <w:r w:rsidRPr="000A2B5C">
        <w:rPr>
          <w:rFonts w:eastAsia="Calibri" w:cs="Times New Roman"/>
          <w:sz w:val="24"/>
          <w:szCs w:val="24"/>
        </w:rPr>
        <w:t xml:space="preserve"> In the group of children receiv</w:t>
      </w:r>
      <w:r w:rsidR="00D40313">
        <w:rPr>
          <w:rFonts w:eastAsia="Calibri" w:cs="Times New Roman"/>
          <w:sz w:val="24"/>
          <w:szCs w:val="24"/>
        </w:rPr>
        <w:softHyphen/>
      </w:r>
      <w:r w:rsidRPr="000A2B5C">
        <w:rPr>
          <w:rFonts w:eastAsia="Calibri" w:cs="Times New Roman"/>
          <w:sz w:val="24"/>
          <w:szCs w:val="24"/>
        </w:rPr>
        <w:t>ing the Uralesan + diet, 50 children aged 3 to 15 years (27 girls and 23 boys) were selected. Undergo a course of treatment with Uralesan in an age-appropriate amount for 1 month: school-age children - 5 ml of Uralesan 3 times a day + diet for a year; preschool children - 2-4 ml of Uralesan 3 times a day and a diet for an additional year was recommended. All chil</w:t>
      </w:r>
      <w:r w:rsidR="00D40313">
        <w:rPr>
          <w:rFonts w:eastAsia="Calibri" w:cs="Times New Roman"/>
          <w:sz w:val="24"/>
          <w:szCs w:val="24"/>
        </w:rPr>
        <w:softHyphen/>
      </w:r>
      <w:r w:rsidRPr="000A2B5C">
        <w:rPr>
          <w:rFonts w:eastAsia="Calibri" w:cs="Times New Roman"/>
          <w:sz w:val="24"/>
          <w:szCs w:val="24"/>
        </w:rPr>
        <w:t>dren underwent clinical-laboratory examina</w:t>
      </w:r>
      <w:r w:rsidR="00D40313">
        <w:rPr>
          <w:rFonts w:eastAsia="Calibri" w:cs="Times New Roman"/>
          <w:sz w:val="24"/>
          <w:szCs w:val="24"/>
        </w:rPr>
        <w:softHyphen/>
      </w:r>
      <w:r w:rsidRPr="000A2B5C">
        <w:rPr>
          <w:rFonts w:eastAsia="Calibri" w:cs="Times New Roman"/>
          <w:sz w:val="24"/>
          <w:szCs w:val="24"/>
        </w:rPr>
        <w:t>tion before and after treatment. Children in groups 3 and 4 were examined every 3 months, and children in groups 1 and 2 were examined twice a year (at 6 months and 12 months).</w:t>
      </w:r>
    </w:p>
    <w:p w14:paraId="55E1F359" w14:textId="0E222340"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In children in this group, a decrease in hematuria after a course of treatment (Uralesan + diet), differences in the decrease in the amount of calcium in the urine are especially significant. There was a tendency to decrease uric acid excretion in the urine. In addition, uri</w:t>
      </w:r>
      <w:r w:rsidR="00D40313">
        <w:rPr>
          <w:rFonts w:eastAsia="Calibri" w:cs="Times New Roman"/>
          <w:sz w:val="24"/>
          <w:szCs w:val="24"/>
        </w:rPr>
        <w:softHyphen/>
      </w:r>
      <w:r w:rsidRPr="000A2B5C">
        <w:rPr>
          <w:rFonts w:eastAsia="Calibri" w:cs="Times New Roman"/>
          <w:sz w:val="24"/>
          <w:szCs w:val="24"/>
        </w:rPr>
        <w:t>nary excretion of leukocytes and renal epithe</w:t>
      </w:r>
      <w:r w:rsidR="00D40313">
        <w:rPr>
          <w:rFonts w:eastAsia="Calibri" w:cs="Times New Roman"/>
          <w:sz w:val="24"/>
          <w:szCs w:val="24"/>
        </w:rPr>
        <w:softHyphen/>
      </w:r>
      <w:r w:rsidRPr="000A2B5C">
        <w:rPr>
          <w:rFonts w:eastAsia="Calibri" w:cs="Times New Roman"/>
          <w:sz w:val="24"/>
          <w:szCs w:val="24"/>
        </w:rPr>
        <w:t>lium was reduced by 1.5 times, and excretion of phospholipids was stopped. On the basis of treatment, the appearance of dry skin, hyper</w:t>
      </w:r>
      <w:r w:rsidR="00D40313">
        <w:rPr>
          <w:rFonts w:eastAsia="Calibri" w:cs="Times New Roman"/>
          <w:sz w:val="24"/>
          <w:szCs w:val="24"/>
        </w:rPr>
        <w:softHyphen/>
      </w:r>
      <w:r w:rsidRPr="000A2B5C">
        <w:rPr>
          <w:rFonts w:eastAsia="Calibri" w:cs="Times New Roman"/>
          <w:sz w:val="24"/>
          <w:szCs w:val="24"/>
        </w:rPr>
        <w:t>keratosis and stomatitis completely disap</w:t>
      </w:r>
      <w:r w:rsidR="00D40313">
        <w:rPr>
          <w:rFonts w:eastAsia="Calibri" w:cs="Times New Roman"/>
          <w:sz w:val="24"/>
          <w:szCs w:val="24"/>
        </w:rPr>
        <w:softHyphen/>
      </w:r>
      <w:r w:rsidRPr="000A2B5C">
        <w:rPr>
          <w:rFonts w:eastAsia="Calibri" w:cs="Times New Roman"/>
          <w:sz w:val="24"/>
          <w:szCs w:val="24"/>
        </w:rPr>
        <w:t>peared, a positive dynamics was observed in urinary syndrome: the loss of microhemor</w:t>
      </w:r>
      <w:r w:rsidR="00D40313">
        <w:rPr>
          <w:rFonts w:eastAsia="Calibri" w:cs="Times New Roman"/>
          <w:sz w:val="24"/>
          <w:szCs w:val="24"/>
        </w:rPr>
        <w:softHyphen/>
      </w:r>
      <w:r w:rsidRPr="000A2B5C">
        <w:rPr>
          <w:rFonts w:eastAsia="Calibri" w:cs="Times New Roman"/>
          <w:sz w:val="24"/>
          <w:szCs w:val="24"/>
        </w:rPr>
        <w:t>rhage was 91.7%, proteinuria was 98.7%. All parameters except hemoglobin returned to nor</w:t>
      </w:r>
      <w:r w:rsidR="00D40313">
        <w:rPr>
          <w:rFonts w:eastAsia="Calibri" w:cs="Times New Roman"/>
          <w:sz w:val="24"/>
          <w:szCs w:val="24"/>
        </w:rPr>
        <w:softHyphen/>
      </w:r>
      <w:r w:rsidRPr="000A2B5C">
        <w:rPr>
          <w:rFonts w:eastAsia="Calibri" w:cs="Times New Roman"/>
          <w:sz w:val="24"/>
          <w:szCs w:val="24"/>
        </w:rPr>
        <w:t>mal by changes in peripheral blood. The fol</w:t>
      </w:r>
      <w:r w:rsidR="00D40313">
        <w:rPr>
          <w:rFonts w:eastAsia="Calibri" w:cs="Times New Roman"/>
          <w:sz w:val="24"/>
          <w:szCs w:val="24"/>
        </w:rPr>
        <w:softHyphen/>
      </w:r>
      <w:r w:rsidRPr="000A2B5C">
        <w:rPr>
          <w:rFonts w:eastAsia="Calibri" w:cs="Times New Roman"/>
          <w:sz w:val="24"/>
          <w:szCs w:val="24"/>
        </w:rPr>
        <w:t>lowing was noted during the study:</w:t>
      </w:r>
    </w:p>
    <w:p w14:paraId="58419118" w14:textId="215280D8"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 Parents of all children of school age and children of preschool age noted the conven</w:t>
      </w:r>
      <w:r w:rsidR="00D40313">
        <w:rPr>
          <w:rFonts w:eastAsia="Calibri" w:cs="Times New Roman"/>
          <w:sz w:val="24"/>
          <w:szCs w:val="24"/>
        </w:rPr>
        <w:softHyphen/>
      </w:r>
      <w:r w:rsidRPr="000A2B5C">
        <w:rPr>
          <w:rFonts w:eastAsia="Calibri" w:cs="Times New Roman"/>
          <w:sz w:val="24"/>
          <w:szCs w:val="24"/>
        </w:rPr>
        <w:t>ience of using Uralesan drugs;</w:t>
      </w:r>
    </w:p>
    <w:p w14:paraId="666837E8" w14:textId="4E63D226"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 even some parents have given up vita</w:t>
      </w:r>
      <w:r w:rsidR="00D40313">
        <w:rPr>
          <w:rFonts w:eastAsia="Calibri" w:cs="Times New Roman"/>
          <w:sz w:val="24"/>
          <w:szCs w:val="24"/>
        </w:rPr>
        <w:softHyphen/>
      </w:r>
      <w:r w:rsidRPr="000A2B5C">
        <w:rPr>
          <w:rFonts w:eastAsia="Calibri" w:cs="Times New Roman"/>
          <w:sz w:val="24"/>
          <w:szCs w:val="24"/>
        </w:rPr>
        <w:t>min complex therapy, citing the inconvenience of consuming large amounts of narcotics dur</w:t>
      </w:r>
      <w:r w:rsidR="00D40313">
        <w:rPr>
          <w:rFonts w:eastAsia="Calibri" w:cs="Times New Roman"/>
          <w:sz w:val="24"/>
          <w:szCs w:val="24"/>
        </w:rPr>
        <w:softHyphen/>
      </w:r>
      <w:r w:rsidRPr="000A2B5C">
        <w:rPr>
          <w:rFonts w:eastAsia="Calibri" w:cs="Times New Roman"/>
          <w:sz w:val="24"/>
          <w:szCs w:val="24"/>
        </w:rPr>
        <w:lastRenderedPageBreak/>
        <w:t>ing the day, and Uralesan and diet have been proven to be preferred.</w:t>
      </w:r>
    </w:p>
    <w:p w14:paraId="4735B897" w14:textId="77777777"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In our study, we also focused on oxalate crystals and daily diuresis, which are excreted in the urine of children in the treatment groups recommended for oxalate nephropathy.</w:t>
      </w:r>
    </w:p>
    <w:p w14:paraId="72F7559D" w14:textId="783DBE50"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 xml:space="preserve">The amount of daily oxalates in the urine of children in </w:t>
      </w:r>
      <w:r w:rsidRPr="000A2B5C">
        <w:rPr>
          <w:rFonts w:eastAsia="Calibri" w:cs="Times New Roman"/>
          <w:b/>
          <w:sz w:val="24"/>
          <w:szCs w:val="24"/>
        </w:rPr>
        <w:t>control group 1</w:t>
      </w:r>
      <w:r w:rsidRPr="000A2B5C">
        <w:rPr>
          <w:rFonts w:eastAsia="Calibri" w:cs="Times New Roman"/>
          <w:sz w:val="24"/>
          <w:szCs w:val="24"/>
        </w:rPr>
        <w:t xml:space="preserve"> treated with vit</w:t>
      </w:r>
      <w:r w:rsidR="00D40313">
        <w:rPr>
          <w:rFonts w:eastAsia="Calibri" w:cs="Times New Roman"/>
          <w:sz w:val="24"/>
          <w:szCs w:val="24"/>
        </w:rPr>
        <w:softHyphen/>
      </w:r>
      <w:r w:rsidRPr="000A2B5C">
        <w:rPr>
          <w:rFonts w:eastAsia="Calibri" w:cs="Times New Roman"/>
          <w:sz w:val="24"/>
          <w:szCs w:val="24"/>
        </w:rPr>
        <w:t>amins was almost indistinguishable from the pre-treatment condition in the post-treatment condition (first 1475.7 ± 63.8 μmol / day, then 1340.1 ± 61.9 μmol / day). The amount of ox</w:t>
      </w:r>
      <w:r w:rsidR="00D40313">
        <w:rPr>
          <w:rFonts w:eastAsia="Calibri" w:cs="Times New Roman"/>
          <w:sz w:val="24"/>
          <w:szCs w:val="24"/>
        </w:rPr>
        <w:softHyphen/>
      </w:r>
      <w:r w:rsidRPr="000A2B5C">
        <w:rPr>
          <w:rFonts w:eastAsia="Calibri" w:cs="Times New Roman"/>
          <w:sz w:val="24"/>
          <w:szCs w:val="24"/>
        </w:rPr>
        <w:t>alate release did not decrease to the norm. Con</w:t>
      </w:r>
      <w:r w:rsidR="00D40313">
        <w:rPr>
          <w:rFonts w:eastAsia="Calibri" w:cs="Times New Roman"/>
          <w:sz w:val="24"/>
          <w:szCs w:val="24"/>
        </w:rPr>
        <w:softHyphen/>
      </w:r>
      <w:r w:rsidRPr="000A2B5C">
        <w:rPr>
          <w:rFonts w:eastAsia="Calibri" w:cs="Times New Roman"/>
          <w:sz w:val="24"/>
          <w:szCs w:val="24"/>
        </w:rPr>
        <w:t>versely, after 6 months, it showed an increase in oxalate salts in the urine of children by 83% again. This proved once again the function of vitamins as they enhance the metabolism of all substances in the body. But it also shows that the scope of its effect on oxalaturia is relatively ineffective. The average daily urine output is also relatively low in this group of children. Even after treatment, it did not increase signif</w:t>
      </w:r>
      <w:r w:rsidR="00D40313">
        <w:rPr>
          <w:rFonts w:eastAsia="Calibri" w:cs="Times New Roman"/>
          <w:sz w:val="24"/>
          <w:szCs w:val="24"/>
        </w:rPr>
        <w:softHyphen/>
      </w:r>
      <w:r w:rsidRPr="000A2B5C">
        <w:rPr>
          <w:rFonts w:eastAsia="Calibri" w:cs="Times New Roman"/>
          <w:sz w:val="24"/>
          <w:szCs w:val="24"/>
        </w:rPr>
        <w:t>icantly (first 620.6 ± 46.2 ml / day, then 695.7 ± 49.4 ml / day R &lt;0.05).</w:t>
      </w:r>
    </w:p>
    <w:p w14:paraId="159C634C" w14:textId="5F4A11F1"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In group 2</w:t>
      </w:r>
      <w:r w:rsidRPr="000A2B5C">
        <w:rPr>
          <w:rFonts w:eastAsia="Calibri" w:cs="Times New Roman"/>
          <w:sz w:val="24"/>
          <w:szCs w:val="24"/>
        </w:rPr>
        <w:t>, where children received only Uralesan syrup, the daily amount of oxa</w:t>
      </w:r>
      <w:r w:rsidR="00D40313">
        <w:rPr>
          <w:rFonts w:eastAsia="Calibri" w:cs="Times New Roman"/>
          <w:sz w:val="24"/>
          <w:szCs w:val="24"/>
        </w:rPr>
        <w:softHyphen/>
      </w:r>
      <w:r w:rsidRPr="000A2B5C">
        <w:rPr>
          <w:rFonts w:eastAsia="Calibri" w:cs="Times New Roman"/>
          <w:sz w:val="24"/>
          <w:szCs w:val="24"/>
        </w:rPr>
        <w:t>lates in the urine was significantly different from the pre-treatment condition and the post-treatment condition (first 1751.0 ± 88.6 μmol / day, then 964.9 ± 52.8 μmol / day, R &lt;0.05). The oxalates in the urine of these children were reduced by almost 2 times (in children aged 3-15 years, the amount of oxalates in the urine may be 98-280 μmol / day). This is mainly due to the fact that the drug Uralesan has the prop</w:t>
      </w:r>
      <w:r w:rsidR="00D40313">
        <w:rPr>
          <w:rFonts w:eastAsia="Calibri" w:cs="Times New Roman"/>
          <w:sz w:val="24"/>
          <w:szCs w:val="24"/>
        </w:rPr>
        <w:softHyphen/>
      </w:r>
      <w:r w:rsidRPr="000A2B5C">
        <w:rPr>
          <w:rFonts w:eastAsia="Calibri" w:cs="Times New Roman"/>
          <w:sz w:val="24"/>
          <w:szCs w:val="24"/>
        </w:rPr>
        <w:t>erty of increasing the excretion of urea and chlorides, helping to drive small stones and sand from the bladder and kidneys. However, on the 30th day of treatment, crystalluria with oxalate was observed in 12% of this group of children, and a similar condition was re-de</w:t>
      </w:r>
      <w:r w:rsidR="00D40313">
        <w:rPr>
          <w:rFonts w:eastAsia="Calibri" w:cs="Times New Roman"/>
          <w:sz w:val="24"/>
          <w:szCs w:val="24"/>
        </w:rPr>
        <w:softHyphen/>
      </w:r>
      <w:r w:rsidRPr="000A2B5C">
        <w:rPr>
          <w:rFonts w:eastAsia="Calibri" w:cs="Times New Roman"/>
          <w:sz w:val="24"/>
          <w:szCs w:val="24"/>
        </w:rPr>
        <w:t>tected during the examination 3 months after the start of therapy. On average, the daily urine output was low in this group of children before treatment. After taking the drug Uralesan, diu</w:t>
      </w:r>
      <w:r w:rsidR="00D40313">
        <w:rPr>
          <w:rFonts w:eastAsia="Calibri" w:cs="Times New Roman"/>
          <w:sz w:val="24"/>
          <w:szCs w:val="24"/>
        </w:rPr>
        <w:softHyphen/>
      </w:r>
      <w:r w:rsidRPr="000A2B5C">
        <w:rPr>
          <w:rFonts w:eastAsia="Calibri" w:cs="Times New Roman"/>
          <w:sz w:val="24"/>
          <w:szCs w:val="24"/>
        </w:rPr>
        <w:t>resis increased significantly (first 796.3 ± 83.6 ml / day, then 1126 ± 60.5 ml / day, R &lt;0.05). In doing so, we became convinced of the diu</w:t>
      </w:r>
      <w:r w:rsidR="00D40313">
        <w:rPr>
          <w:rFonts w:eastAsia="Calibri" w:cs="Times New Roman"/>
          <w:sz w:val="24"/>
          <w:szCs w:val="24"/>
        </w:rPr>
        <w:softHyphen/>
      </w:r>
      <w:r w:rsidRPr="000A2B5C">
        <w:rPr>
          <w:rFonts w:eastAsia="Calibri" w:cs="Times New Roman"/>
          <w:sz w:val="24"/>
          <w:szCs w:val="24"/>
        </w:rPr>
        <w:t>retic function of the drug Uralesan.</w:t>
      </w:r>
    </w:p>
    <w:p w14:paraId="2B9A0672" w14:textId="4F5F0FC5"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t>Group 3</w:t>
      </w:r>
      <w:r w:rsidRPr="000A2B5C">
        <w:rPr>
          <w:rFonts w:eastAsia="Calibri" w:cs="Times New Roman"/>
          <w:sz w:val="24"/>
          <w:szCs w:val="24"/>
        </w:rPr>
        <w:t xml:space="preserve"> - in the groups that underwent dietary rehabilitation only, the amount of oxa</w:t>
      </w:r>
      <w:r w:rsidR="00D40313">
        <w:rPr>
          <w:rFonts w:eastAsia="Calibri" w:cs="Times New Roman"/>
          <w:sz w:val="24"/>
          <w:szCs w:val="24"/>
        </w:rPr>
        <w:softHyphen/>
      </w:r>
      <w:r w:rsidRPr="000A2B5C">
        <w:rPr>
          <w:rFonts w:eastAsia="Calibri" w:cs="Times New Roman"/>
          <w:sz w:val="24"/>
          <w:szCs w:val="24"/>
        </w:rPr>
        <w:t>late in the urine was significantly reduced (first 1765.6 ± 87.2 μmol / day, then 1077.5 ± 55.1 μmol / day), but did not meet the norm (nor</w:t>
      </w:r>
      <w:r w:rsidR="00D40313">
        <w:rPr>
          <w:rFonts w:eastAsia="Calibri" w:cs="Times New Roman"/>
          <w:sz w:val="24"/>
          <w:szCs w:val="24"/>
        </w:rPr>
        <w:softHyphen/>
      </w:r>
      <w:r w:rsidRPr="000A2B5C">
        <w:rPr>
          <w:rFonts w:eastAsia="Calibri" w:cs="Times New Roman"/>
          <w:sz w:val="24"/>
          <w:szCs w:val="24"/>
        </w:rPr>
        <w:t>mal) 100-200 μmol / day in children aged 3-15 years). Of course, the restriction of consump</w:t>
      </w:r>
      <w:r w:rsidR="00D40313">
        <w:rPr>
          <w:rFonts w:eastAsia="Calibri" w:cs="Times New Roman"/>
          <w:sz w:val="24"/>
          <w:szCs w:val="24"/>
        </w:rPr>
        <w:softHyphen/>
      </w:r>
      <w:r w:rsidRPr="000A2B5C">
        <w:rPr>
          <w:rFonts w:eastAsia="Calibri" w:cs="Times New Roman"/>
          <w:sz w:val="24"/>
          <w:szCs w:val="24"/>
        </w:rPr>
        <w:t>tion of foods containing oxalate salts, however, showed that the pathogenesis of secondary ox</w:t>
      </w:r>
      <w:r w:rsidR="00D40313">
        <w:rPr>
          <w:rFonts w:eastAsia="Calibri" w:cs="Times New Roman"/>
          <w:sz w:val="24"/>
          <w:szCs w:val="24"/>
        </w:rPr>
        <w:softHyphen/>
      </w:r>
      <w:r w:rsidRPr="000A2B5C">
        <w:rPr>
          <w:rFonts w:eastAsia="Calibri" w:cs="Times New Roman"/>
          <w:sz w:val="24"/>
          <w:szCs w:val="24"/>
        </w:rPr>
        <w:t>alate nephropathy is mainly alimentary factor. The appearance of oxalate in the urine may be related to hot climatic conditions when fluid intake is insufficient. As a result of dietary treatment of children, it was found that the quality of water used is low and contains oxa</w:t>
      </w:r>
      <w:r w:rsidR="00D40313">
        <w:rPr>
          <w:rFonts w:eastAsia="Calibri" w:cs="Times New Roman"/>
          <w:sz w:val="24"/>
          <w:szCs w:val="24"/>
        </w:rPr>
        <w:softHyphen/>
      </w:r>
      <w:r w:rsidRPr="000A2B5C">
        <w:rPr>
          <w:rFonts w:eastAsia="Calibri" w:cs="Times New Roman"/>
          <w:sz w:val="24"/>
          <w:szCs w:val="24"/>
        </w:rPr>
        <w:t>late salts. Hence, in the case of oxalate nephropathy, it has been shown that dietary foods alone are not sufficient to clear oxalate salts. Daily diuresis is also relatively rare in this group of children. Even after treatment, it did not change significantly, only increased to 140 ml (first 737.5 ± 82.3 ml / day, then 873.1 ± 91.1 ml / day, R &lt;0.05).</w:t>
      </w:r>
    </w:p>
    <w:p w14:paraId="4EF600DB" w14:textId="53C68573"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sz w:val="24"/>
          <w:szCs w:val="24"/>
        </w:rPr>
        <w:t>The amount of oxalates in the urine of children recommended in combination with 4-Uralesan + diet was reduced by 3 times com</w:t>
      </w:r>
      <w:r w:rsidR="00D40313">
        <w:rPr>
          <w:rFonts w:eastAsia="Calibri" w:cs="Times New Roman"/>
          <w:sz w:val="24"/>
          <w:szCs w:val="24"/>
        </w:rPr>
        <w:softHyphen/>
      </w:r>
      <w:r w:rsidRPr="000A2B5C">
        <w:rPr>
          <w:rFonts w:eastAsia="Calibri" w:cs="Times New Roman"/>
          <w:sz w:val="24"/>
          <w:szCs w:val="24"/>
        </w:rPr>
        <w:t>pared to pre-treatment levels (first 1757.0 ± 88.9 μmol / day, then 665.78 ± 49.3 μmol / day). It should be noted that the Uralesan + diet together with the elimination of the alimentary factor in the body at once, prevents the for</w:t>
      </w:r>
      <w:r w:rsidR="00D40313">
        <w:rPr>
          <w:rFonts w:eastAsia="Calibri" w:cs="Times New Roman"/>
          <w:sz w:val="24"/>
          <w:szCs w:val="24"/>
        </w:rPr>
        <w:softHyphen/>
      </w:r>
      <w:r w:rsidRPr="000A2B5C">
        <w:rPr>
          <w:rFonts w:eastAsia="Calibri" w:cs="Times New Roman"/>
          <w:sz w:val="24"/>
          <w:szCs w:val="24"/>
        </w:rPr>
        <w:t>mation of oxalates in the urine, forming a pro</w:t>
      </w:r>
      <w:r w:rsidR="00D40313">
        <w:rPr>
          <w:rFonts w:eastAsia="Calibri" w:cs="Times New Roman"/>
          <w:sz w:val="24"/>
          <w:szCs w:val="24"/>
        </w:rPr>
        <w:softHyphen/>
      </w:r>
      <w:r w:rsidRPr="000A2B5C">
        <w:rPr>
          <w:rFonts w:eastAsia="Calibri" w:cs="Times New Roman"/>
          <w:sz w:val="24"/>
          <w:szCs w:val="24"/>
        </w:rPr>
        <w:t>tective colloid. Daily diuresis was also less pronounced in this group of children before treatment. After co-administration of Uralesan +, the diuresis increased and approached the daily norm (first 828.6 ± 84.2 ml / day, then 1222.2 ± 96.8 ml / day R &lt;0.001). Here again, we are convinced that the drug Uralesan en</w:t>
      </w:r>
      <w:r w:rsidR="00D40313">
        <w:rPr>
          <w:rFonts w:eastAsia="Calibri" w:cs="Times New Roman"/>
          <w:sz w:val="24"/>
          <w:szCs w:val="24"/>
        </w:rPr>
        <w:softHyphen/>
      </w:r>
      <w:r w:rsidRPr="000A2B5C">
        <w:rPr>
          <w:rFonts w:eastAsia="Calibri" w:cs="Times New Roman"/>
          <w:sz w:val="24"/>
          <w:szCs w:val="24"/>
        </w:rPr>
        <w:t>hances diuresis.</w:t>
      </w:r>
    </w:p>
    <w:p w14:paraId="4E8BA94D" w14:textId="3D726EF6" w:rsidR="000A2B5C" w:rsidRPr="000A2B5C" w:rsidRDefault="000A2B5C" w:rsidP="000A2B5C">
      <w:pPr>
        <w:spacing w:line="276" w:lineRule="auto"/>
        <w:ind w:firstLine="567"/>
        <w:jc w:val="both"/>
        <w:rPr>
          <w:rFonts w:eastAsia="Calibri" w:cs="Times New Roman"/>
          <w:sz w:val="24"/>
          <w:szCs w:val="24"/>
        </w:rPr>
      </w:pPr>
      <w:r w:rsidRPr="000A2B5C">
        <w:rPr>
          <w:rFonts w:eastAsia="Calibri" w:cs="Times New Roman"/>
          <w:b/>
          <w:sz w:val="24"/>
          <w:szCs w:val="24"/>
        </w:rPr>
        <w:lastRenderedPageBreak/>
        <w:t>Conclusion.</w:t>
      </w:r>
      <w:r w:rsidRPr="000A2B5C">
        <w:rPr>
          <w:rFonts w:eastAsia="Calibri" w:cs="Times New Roman"/>
          <w:b/>
          <w:sz w:val="24"/>
          <w:szCs w:val="24"/>
          <w:lang w:val="uz-Cyrl-UZ"/>
        </w:rPr>
        <w:t xml:space="preserve"> </w:t>
      </w:r>
      <w:r w:rsidRPr="000A2B5C">
        <w:rPr>
          <w:rFonts w:eastAsia="Calibri" w:cs="Times New Roman"/>
          <w:sz w:val="24"/>
          <w:szCs w:val="24"/>
        </w:rPr>
        <w:t>Thus, the results of the study did not meet the expected results in the groups of children in Khorezm region who were recommended vitamin therapy and diet during the rehabilitation of preschool children and schoolchildren oxalate nephropathy. Also, during the rehabilitation period, only Uralesan-recommended children did not receive the ex</w:t>
      </w:r>
      <w:r w:rsidR="00D40313">
        <w:rPr>
          <w:rFonts w:eastAsia="Calibri" w:cs="Times New Roman"/>
          <w:sz w:val="24"/>
          <w:szCs w:val="24"/>
        </w:rPr>
        <w:softHyphen/>
      </w:r>
      <w:r w:rsidRPr="000A2B5C">
        <w:rPr>
          <w:rFonts w:eastAsia="Calibri" w:cs="Times New Roman"/>
          <w:sz w:val="24"/>
          <w:szCs w:val="24"/>
        </w:rPr>
        <w:t>pected good results, they again observed oxa</w:t>
      </w:r>
      <w:r w:rsidR="00D40313">
        <w:rPr>
          <w:rFonts w:eastAsia="Calibri" w:cs="Times New Roman"/>
          <w:sz w:val="24"/>
          <w:szCs w:val="24"/>
        </w:rPr>
        <w:softHyphen/>
      </w:r>
      <w:r w:rsidRPr="000A2B5C">
        <w:rPr>
          <w:rFonts w:eastAsia="Calibri" w:cs="Times New Roman"/>
          <w:sz w:val="24"/>
          <w:szCs w:val="24"/>
        </w:rPr>
        <w:t>laturia within 6 months after the end of the course of treatment. However, group 4 showed that Uralesan + diet was highly effective in children used concomitantly. The drug is given in combination with diet, helps to normalize metabolic processes, strengthen cytomem</w:t>
      </w:r>
      <w:r w:rsidR="00D40313">
        <w:rPr>
          <w:rFonts w:eastAsia="Calibri" w:cs="Times New Roman"/>
          <w:sz w:val="24"/>
          <w:szCs w:val="24"/>
        </w:rPr>
        <w:softHyphen/>
      </w:r>
      <w:r w:rsidRPr="000A2B5C">
        <w:rPr>
          <w:rFonts w:eastAsia="Calibri" w:cs="Times New Roman"/>
          <w:sz w:val="24"/>
          <w:szCs w:val="24"/>
        </w:rPr>
        <w:t>branes, has an anti-inflammatory effect on the renal parenchyma and improves capillary blood flow. This complex would be an indica</w:t>
      </w:r>
      <w:r w:rsidR="00D40313">
        <w:rPr>
          <w:rFonts w:eastAsia="Calibri" w:cs="Times New Roman"/>
          <w:sz w:val="24"/>
          <w:szCs w:val="24"/>
        </w:rPr>
        <w:softHyphen/>
      </w:r>
      <w:r w:rsidRPr="000A2B5C">
        <w:rPr>
          <w:rFonts w:eastAsia="Calibri" w:cs="Times New Roman"/>
          <w:sz w:val="24"/>
          <w:szCs w:val="24"/>
        </w:rPr>
        <w:t>tion for recommendation for complex treat</w:t>
      </w:r>
      <w:r w:rsidR="00D40313">
        <w:rPr>
          <w:rFonts w:eastAsia="Calibri" w:cs="Times New Roman"/>
          <w:sz w:val="24"/>
          <w:szCs w:val="24"/>
        </w:rPr>
        <w:softHyphen/>
      </w:r>
      <w:r w:rsidRPr="000A2B5C">
        <w:rPr>
          <w:rFonts w:eastAsia="Calibri" w:cs="Times New Roman"/>
          <w:sz w:val="24"/>
          <w:szCs w:val="24"/>
        </w:rPr>
        <w:t>ment of children with oxalate nephropathy.</w:t>
      </w:r>
    </w:p>
    <w:p w14:paraId="5EEABD59" w14:textId="77777777" w:rsidR="000A2B5C" w:rsidRPr="000A2B5C" w:rsidRDefault="000A2B5C" w:rsidP="000A2B5C">
      <w:pPr>
        <w:spacing w:line="276" w:lineRule="auto"/>
        <w:ind w:firstLine="567"/>
        <w:jc w:val="both"/>
        <w:rPr>
          <w:rFonts w:eastAsia="Calibri" w:cs="Times New Roman"/>
          <w:b/>
          <w:sz w:val="24"/>
          <w:szCs w:val="24"/>
        </w:rPr>
      </w:pPr>
    </w:p>
    <w:p w14:paraId="6E6ED905" w14:textId="74DCE35C" w:rsidR="000A2B5C" w:rsidRDefault="00D40313" w:rsidP="00D40313">
      <w:pPr>
        <w:spacing w:line="276" w:lineRule="auto"/>
        <w:jc w:val="center"/>
        <w:rPr>
          <w:rFonts w:eastAsia="Calibri" w:cs="Times New Roman"/>
          <w:sz w:val="24"/>
          <w:szCs w:val="24"/>
          <w:lang w:val="ru-RU"/>
        </w:rPr>
      </w:pPr>
      <w:r w:rsidRPr="000A2B5C">
        <w:rPr>
          <w:rFonts w:eastAsia="Calibri" w:cs="Times New Roman"/>
          <w:b/>
          <w:sz w:val="24"/>
          <w:szCs w:val="24"/>
          <w:lang w:val="ru-RU"/>
        </w:rPr>
        <w:t>REFERENCES</w:t>
      </w:r>
    </w:p>
    <w:p w14:paraId="14F2264C" w14:textId="77777777" w:rsidR="00D40313" w:rsidRPr="000A2B5C" w:rsidRDefault="00D40313" w:rsidP="00D40313">
      <w:pPr>
        <w:spacing w:line="276" w:lineRule="auto"/>
        <w:jc w:val="both"/>
        <w:rPr>
          <w:rFonts w:eastAsia="Calibri" w:cs="Times New Roman"/>
          <w:sz w:val="24"/>
          <w:szCs w:val="24"/>
          <w:lang w:val="ru-RU"/>
        </w:rPr>
      </w:pPr>
    </w:p>
    <w:p w14:paraId="2D887EEB" w14:textId="2EDDCAAC"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rPr>
      </w:pPr>
      <w:r w:rsidRPr="000A2B5C">
        <w:rPr>
          <w:rFonts w:eastAsia="Calibri" w:cs="Times New Roman"/>
          <w:sz w:val="24"/>
          <w:szCs w:val="24"/>
        </w:rPr>
        <w:t>Averyanova N.I., Balueva L.G. Ox</w:t>
      </w:r>
      <w:r w:rsidR="00D40313">
        <w:rPr>
          <w:rFonts w:eastAsia="Calibri" w:cs="Times New Roman"/>
          <w:sz w:val="24"/>
          <w:szCs w:val="24"/>
        </w:rPr>
        <w:softHyphen/>
      </w:r>
      <w:r w:rsidRPr="000A2B5C">
        <w:rPr>
          <w:rFonts w:eastAsia="Calibri" w:cs="Times New Roman"/>
          <w:sz w:val="24"/>
          <w:szCs w:val="24"/>
        </w:rPr>
        <w:t xml:space="preserve">alate crystal in children // International journal of applied and fundamental </w:t>
      </w:r>
      <w:r w:rsidR="00D40313" w:rsidRPr="000A2B5C">
        <w:rPr>
          <w:rFonts w:eastAsia="Calibri" w:cs="Times New Roman"/>
          <w:sz w:val="24"/>
          <w:szCs w:val="24"/>
        </w:rPr>
        <w:t>research. -</w:t>
      </w:r>
      <w:r w:rsidR="00D40313">
        <w:rPr>
          <w:rFonts w:eastAsia="Calibri" w:cs="Times New Roman"/>
          <w:sz w:val="24"/>
          <w:szCs w:val="24"/>
        </w:rPr>
        <w:t xml:space="preserve"> </w:t>
      </w:r>
      <w:r w:rsidRPr="000A2B5C">
        <w:rPr>
          <w:rFonts w:eastAsia="Calibri" w:cs="Times New Roman"/>
          <w:sz w:val="24"/>
          <w:szCs w:val="24"/>
        </w:rPr>
        <w:t>2012.-№2.-P.25-28</w:t>
      </w:r>
    </w:p>
    <w:p w14:paraId="6879B8A3" w14:textId="13DF8F4D"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Baranov A.A. co-authors., Sanato</w:t>
      </w:r>
      <w:r w:rsidR="00D40313">
        <w:rPr>
          <w:rFonts w:eastAsia="Calibri" w:cs="Times New Roman"/>
          <w:sz w:val="24"/>
          <w:szCs w:val="24"/>
        </w:rPr>
        <w:softHyphen/>
      </w:r>
      <w:r w:rsidRPr="000A2B5C">
        <w:rPr>
          <w:rFonts w:eastAsia="Calibri" w:cs="Times New Roman"/>
          <w:sz w:val="24"/>
          <w:szCs w:val="24"/>
        </w:rPr>
        <w:t xml:space="preserve">rium-resort treatment for kidney disease. </w:t>
      </w:r>
      <w:r w:rsidRPr="000A2B5C">
        <w:rPr>
          <w:rFonts w:eastAsia="Calibri" w:cs="Times New Roman"/>
          <w:sz w:val="24"/>
          <w:szCs w:val="24"/>
          <w:lang w:val="ru-RU"/>
        </w:rPr>
        <w:t>2008;</w:t>
      </w:r>
    </w:p>
    <w:p w14:paraId="20AD390E" w14:textId="77777777"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 xml:space="preserve">Starodubov V.I. co-authors., Health Reforms in Uzbekistan. </w:t>
      </w:r>
      <w:r w:rsidRPr="000A2B5C">
        <w:rPr>
          <w:rFonts w:eastAsia="Calibri" w:cs="Times New Roman"/>
          <w:sz w:val="24"/>
          <w:szCs w:val="24"/>
          <w:lang w:val="ru-RU"/>
        </w:rPr>
        <w:t>2004 № 6;</w:t>
      </w:r>
    </w:p>
    <w:p w14:paraId="3072A0E2" w14:textId="744BFBA7"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rPr>
      </w:pPr>
      <w:r w:rsidRPr="000A2B5C">
        <w:rPr>
          <w:rFonts w:eastAsia="Calibri" w:cs="Times New Roman"/>
          <w:sz w:val="24"/>
          <w:szCs w:val="24"/>
        </w:rPr>
        <w:t>Smirnova I. S., Ignatova O. A. Risk factors for the development of secondary ox</w:t>
      </w:r>
      <w:r w:rsidR="00D40313">
        <w:rPr>
          <w:rFonts w:eastAsia="Calibri" w:cs="Times New Roman"/>
          <w:sz w:val="24"/>
          <w:szCs w:val="24"/>
        </w:rPr>
        <w:softHyphen/>
      </w:r>
      <w:r w:rsidRPr="000A2B5C">
        <w:rPr>
          <w:rFonts w:eastAsia="Calibri" w:cs="Times New Roman"/>
          <w:sz w:val="24"/>
          <w:szCs w:val="24"/>
        </w:rPr>
        <w:t xml:space="preserve">aluria in children. // Ecology of </w:t>
      </w:r>
      <w:r w:rsidR="00D40313" w:rsidRPr="000A2B5C">
        <w:rPr>
          <w:rFonts w:eastAsia="Calibri" w:cs="Times New Roman"/>
          <w:sz w:val="24"/>
          <w:szCs w:val="24"/>
        </w:rPr>
        <w:t>man. -</w:t>
      </w:r>
      <w:r w:rsidRPr="000A2B5C">
        <w:rPr>
          <w:rFonts w:eastAsia="Calibri" w:cs="Times New Roman"/>
          <w:sz w:val="24"/>
          <w:szCs w:val="24"/>
        </w:rPr>
        <w:t xml:space="preserve"> 2009.-№11.-P.57-62.</w:t>
      </w:r>
    </w:p>
    <w:p w14:paraId="3892CCED" w14:textId="3042AE0F"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Kitaeva Yu.Yu. Dissertation 2011 on the topic "Epidemiology and prevention of chronic kidney disease in children and adoles</w:t>
      </w:r>
      <w:r w:rsidR="00D40313">
        <w:rPr>
          <w:rFonts w:eastAsia="Calibri" w:cs="Times New Roman"/>
          <w:sz w:val="24"/>
          <w:szCs w:val="24"/>
        </w:rPr>
        <w:softHyphen/>
      </w:r>
      <w:r w:rsidRPr="000A2B5C">
        <w:rPr>
          <w:rFonts w:eastAsia="Calibri" w:cs="Times New Roman"/>
          <w:sz w:val="24"/>
          <w:szCs w:val="24"/>
        </w:rPr>
        <w:t xml:space="preserve">cents". </w:t>
      </w:r>
      <w:r w:rsidRPr="000A2B5C">
        <w:rPr>
          <w:rFonts w:eastAsia="Calibri" w:cs="Times New Roman"/>
          <w:sz w:val="24"/>
          <w:szCs w:val="24"/>
          <w:lang w:val="ru-RU"/>
        </w:rPr>
        <w:t xml:space="preserve">Scientific library of dissertations and </w:t>
      </w:r>
      <w:r w:rsidR="00D40313" w:rsidRPr="000A2B5C">
        <w:rPr>
          <w:rFonts w:eastAsia="Calibri" w:cs="Times New Roman"/>
          <w:sz w:val="24"/>
          <w:szCs w:val="24"/>
          <w:lang w:val="ru-RU"/>
        </w:rPr>
        <w:t>abstracts 2011</w:t>
      </w:r>
    </w:p>
    <w:p w14:paraId="72CC7D3B" w14:textId="58D6975D"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Ignatova M.S. (ed.). The role of un</w:t>
      </w:r>
      <w:r w:rsidR="00D40313">
        <w:rPr>
          <w:rFonts w:eastAsia="Calibri" w:cs="Times New Roman"/>
          <w:sz w:val="24"/>
          <w:szCs w:val="24"/>
        </w:rPr>
        <w:softHyphen/>
      </w:r>
      <w:r w:rsidRPr="000A2B5C">
        <w:rPr>
          <w:rFonts w:eastAsia="Calibri" w:cs="Times New Roman"/>
          <w:sz w:val="24"/>
          <w:szCs w:val="24"/>
        </w:rPr>
        <w:t>healthy environmental factors in the develop</w:t>
      </w:r>
      <w:r w:rsidR="00D40313">
        <w:rPr>
          <w:rFonts w:eastAsia="Calibri" w:cs="Times New Roman"/>
          <w:sz w:val="24"/>
          <w:szCs w:val="24"/>
        </w:rPr>
        <w:softHyphen/>
      </w:r>
      <w:r w:rsidRPr="000A2B5C">
        <w:rPr>
          <w:rFonts w:eastAsia="Calibri" w:cs="Times New Roman"/>
          <w:sz w:val="24"/>
          <w:szCs w:val="24"/>
        </w:rPr>
        <w:t xml:space="preserve">ment of nephropathy in children. </w:t>
      </w:r>
      <w:r w:rsidRPr="000A2B5C">
        <w:rPr>
          <w:rFonts w:eastAsia="Calibri" w:cs="Times New Roman"/>
          <w:sz w:val="24"/>
          <w:szCs w:val="24"/>
          <w:lang w:val="ru-RU"/>
        </w:rPr>
        <w:t>Children's nephrology. M: MIA 2011; 75–81.</w:t>
      </w:r>
    </w:p>
    <w:p w14:paraId="29ED382C" w14:textId="0B75177F"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Ignatova M.S., Korovina N.A. "Di</w:t>
      </w:r>
      <w:r w:rsidR="00D40313">
        <w:rPr>
          <w:rFonts w:eastAsia="Calibri" w:cs="Times New Roman"/>
          <w:sz w:val="24"/>
          <w:szCs w:val="24"/>
        </w:rPr>
        <w:softHyphen/>
      </w:r>
      <w:r w:rsidRPr="000A2B5C">
        <w:rPr>
          <w:rFonts w:eastAsia="Calibri" w:cs="Times New Roman"/>
          <w:sz w:val="24"/>
          <w:szCs w:val="24"/>
        </w:rPr>
        <w:t>agnosis and treatment of nephropathy in chil</w:t>
      </w:r>
      <w:r w:rsidR="00D40313">
        <w:rPr>
          <w:rFonts w:eastAsia="Calibri" w:cs="Times New Roman"/>
          <w:sz w:val="24"/>
          <w:szCs w:val="24"/>
        </w:rPr>
        <w:softHyphen/>
      </w:r>
      <w:r w:rsidRPr="000A2B5C">
        <w:rPr>
          <w:rFonts w:eastAsia="Calibri" w:cs="Times New Roman"/>
          <w:sz w:val="24"/>
          <w:szCs w:val="24"/>
        </w:rPr>
        <w:t xml:space="preserve">dren." </w:t>
      </w:r>
      <w:r w:rsidRPr="000A2B5C">
        <w:rPr>
          <w:rFonts w:eastAsia="Calibri" w:cs="Times New Roman"/>
          <w:sz w:val="24"/>
          <w:szCs w:val="24"/>
          <w:lang w:val="ru-RU"/>
        </w:rPr>
        <w:t>Rukovodstvo dlya vrachey. 2007;</w:t>
      </w:r>
    </w:p>
    <w:p w14:paraId="0C90ADA7" w14:textId="77777777"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rPr>
      </w:pPr>
      <w:r w:rsidRPr="000A2B5C">
        <w:rPr>
          <w:rFonts w:eastAsia="Calibri" w:cs="Times New Roman"/>
          <w:sz w:val="24"/>
          <w:szCs w:val="24"/>
        </w:rPr>
        <w:t>Baranov A.A. co-authors, Voprosy sovremennoy pediatrii / 2008 / TOM 7 / № 1.;</w:t>
      </w:r>
    </w:p>
    <w:p w14:paraId="2562A5F4" w14:textId="1B6542CD"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Shaykhova G.I. Biological signifi</w:t>
      </w:r>
      <w:r w:rsidR="00D40313">
        <w:rPr>
          <w:rFonts w:eastAsia="Calibri" w:cs="Times New Roman"/>
          <w:sz w:val="24"/>
          <w:szCs w:val="24"/>
        </w:rPr>
        <w:softHyphen/>
      </w:r>
      <w:r w:rsidRPr="000A2B5C">
        <w:rPr>
          <w:rFonts w:eastAsia="Calibri" w:cs="Times New Roman"/>
          <w:sz w:val="24"/>
          <w:szCs w:val="24"/>
        </w:rPr>
        <w:t xml:space="preserve">cance of food ingredients. Healthy eating is a measure of health. </w:t>
      </w:r>
      <w:r w:rsidRPr="000A2B5C">
        <w:rPr>
          <w:rFonts w:eastAsia="Calibri" w:cs="Times New Roman"/>
          <w:sz w:val="24"/>
          <w:szCs w:val="24"/>
          <w:lang w:val="ru-RU"/>
        </w:rPr>
        <w:t>Monograph. 2015.</w:t>
      </w:r>
    </w:p>
    <w:p w14:paraId="548543A7" w14:textId="77777777"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lang w:val="es-MX"/>
        </w:rPr>
        <w:t xml:space="preserve">Unsa lA.et al. // J.Endourol, 2013. </w:t>
      </w:r>
      <w:r w:rsidRPr="000A2B5C">
        <w:rPr>
          <w:rFonts w:eastAsia="Calibri" w:cs="Times New Roman"/>
          <w:sz w:val="24"/>
          <w:szCs w:val="24"/>
        </w:rPr>
        <w:t xml:space="preserve">Standard and tubeless mini-percutaneous nephrolithotomy: a randomized controlled trial. </w:t>
      </w:r>
      <w:r w:rsidRPr="000A2B5C">
        <w:rPr>
          <w:rFonts w:eastAsia="Calibri" w:cs="Times New Roman"/>
          <w:sz w:val="24"/>
          <w:szCs w:val="24"/>
          <w:lang w:val="ru-RU"/>
        </w:rPr>
        <w:t>Arab Journal of Urology Volume 14, Issue 1, March 2013,</w:t>
      </w:r>
    </w:p>
    <w:p w14:paraId="1781387C" w14:textId="1162E4E8" w:rsidR="000A2B5C" w:rsidRPr="000A2B5C" w:rsidRDefault="000A2B5C" w:rsidP="00D40313">
      <w:pPr>
        <w:numPr>
          <w:ilvl w:val="0"/>
          <w:numId w:val="38"/>
        </w:numPr>
        <w:tabs>
          <w:tab w:val="left" w:pos="993"/>
        </w:tabs>
        <w:spacing w:line="276" w:lineRule="auto"/>
        <w:ind w:left="0" w:firstLine="567"/>
        <w:jc w:val="both"/>
        <w:rPr>
          <w:rFonts w:eastAsia="Calibri" w:cs="Times New Roman"/>
          <w:sz w:val="24"/>
          <w:szCs w:val="24"/>
          <w:lang w:val="ru-RU"/>
        </w:rPr>
      </w:pPr>
      <w:r w:rsidRPr="000A2B5C">
        <w:rPr>
          <w:rFonts w:eastAsia="Calibri" w:cs="Times New Roman"/>
          <w:sz w:val="24"/>
          <w:szCs w:val="24"/>
        </w:rPr>
        <w:t>Khudaybergenov Ulugbek Ataullaevich. Early diagnosis and prevention of common urological diseases in the condi</w:t>
      </w:r>
      <w:r w:rsidR="00D40313">
        <w:rPr>
          <w:rFonts w:eastAsia="Calibri" w:cs="Times New Roman"/>
          <w:sz w:val="24"/>
          <w:szCs w:val="24"/>
        </w:rPr>
        <w:softHyphen/>
      </w:r>
      <w:r w:rsidRPr="000A2B5C">
        <w:rPr>
          <w:rFonts w:eastAsia="Calibri" w:cs="Times New Roman"/>
          <w:sz w:val="24"/>
          <w:szCs w:val="24"/>
        </w:rPr>
        <w:t xml:space="preserve">tions of primary health care. </w:t>
      </w:r>
      <w:r w:rsidRPr="000A2B5C">
        <w:rPr>
          <w:rFonts w:eastAsia="Calibri" w:cs="Times New Roman"/>
          <w:sz w:val="24"/>
          <w:szCs w:val="24"/>
          <w:lang w:val="ru-RU"/>
        </w:rPr>
        <w:t>Dissertation work 2018.</w:t>
      </w:r>
    </w:p>
    <w:p w14:paraId="1C70D1D7" w14:textId="77777777" w:rsidR="00D40313" w:rsidRDefault="00D40313" w:rsidP="000A2B5C">
      <w:pPr>
        <w:spacing w:line="276" w:lineRule="auto"/>
        <w:ind w:firstLine="567"/>
        <w:jc w:val="both"/>
        <w:rPr>
          <w:rFonts w:eastAsia="Times New Roman" w:cs="Times New Roman"/>
          <w:sz w:val="24"/>
          <w:szCs w:val="24"/>
          <w:lang w:val="uz-Cyrl-UZ" w:eastAsia="ru-RU"/>
        </w:rPr>
        <w:sectPr w:rsidR="00D40313" w:rsidSect="00D40313">
          <w:type w:val="continuous"/>
          <w:pgSz w:w="11907" w:h="16840" w:code="9"/>
          <w:pgMar w:top="1418" w:right="1134" w:bottom="1134" w:left="1134" w:header="907" w:footer="794" w:gutter="0"/>
          <w:cols w:num="2" w:space="708"/>
          <w:docGrid w:linePitch="381"/>
        </w:sectPr>
      </w:pPr>
    </w:p>
    <w:p w14:paraId="5360A637" w14:textId="77777777" w:rsidR="000A2B5C" w:rsidRPr="000A2B5C" w:rsidRDefault="000A2B5C" w:rsidP="000A2B5C">
      <w:pPr>
        <w:spacing w:line="276" w:lineRule="auto"/>
        <w:ind w:firstLine="567"/>
        <w:jc w:val="both"/>
        <w:rPr>
          <w:rFonts w:eastAsia="Times New Roman" w:cs="Times New Roman"/>
          <w:sz w:val="24"/>
          <w:szCs w:val="24"/>
          <w:lang w:val="uz-Cyrl-UZ" w:eastAsia="ru-RU"/>
        </w:rPr>
      </w:pPr>
    </w:p>
    <w:p w14:paraId="3DD57C86" w14:textId="77777777" w:rsidR="000A2B5C" w:rsidRPr="000A2B5C" w:rsidRDefault="000A2B5C" w:rsidP="000A2B5C">
      <w:pPr>
        <w:spacing w:line="276" w:lineRule="auto"/>
        <w:ind w:firstLine="567"/>
        <w:jc w:val="both"/>
        <w:rPr>
          <w:rFonts w:eastAsia="Calibri" w:cs="Times New Roman"/>
          <w:sz w:val="24"/>
          <w:szCs w:val="24"/>
        </w:rPr>
      </w:pPr>
    </w:p>
    <w:p w14:paraId="180FC843" w14:textId="308266A4" w:rsidR="000A2B5C" w:rsidRDefault="000A2B5C" w:rsidP="00B53C0B">
      <w:pPr>
        <w:spacing w:line="276" w:lineRule="auto"/>
        <w:ind w:firstLine="284"/>
        <w:jc w:val="both"/>
        <w:rPr>
          <w:rFonts w:cs="Times New Roman"/>
          <w:sz w:val="24"/>
          <w:szCs w:val="24"/>
          <w:lang w:val="uz-Latn-UZ"/>
        </w:rPr>
      </w:pPr>
    </w:p>
    <w:p w14:paraId="15A8732E" w14:textId="7A5757C4" w:rsidR="000A2B5C" w:rsidRDefault="000A2B5C" w:rsidP="00B53C0B">
      <w:pPr>
        <w:spacing w:line="276" w:lineRule="auto"/>
        <w:ind w:firstLine="284"/>
        <w:jc w:val="both"/>
        <w:rPr>
          <w:rFonts w:cs="Times New Roman"/>
          <w:sz w:val="24"/>
          <w:szCs w:val="24"/>
          <w:lang w:val="uz-Latn-UZ"/>
        </w:rPr>
      </w:pPr>
    </w:p>
    <w:p w14:paraId="03CEF2EB" w14:textId="3549C676" w:rsidR="000A2B5C" w:rsidRDefault="000A2B5C" w:rsidP="00B53C0B">
      <w:pPr>
        <w:spacing w:line="276" w:lineRule="auto"/>
        <w:ind w:firstLine="284"/>
        <w:jc w:val="both"/>
        <w:rPr>
          <w:rFonts w:cs="Times New Roman"/>
          <w:sz w:val="24"/>
          <w:szCs w:val="24"/>
          <w:lang w:val="uz-Latn-UZ"/>
        </w:rPr>
      </w:pPr>
    </w:p>
    <w:p w14:paraId="6A4F7355" w14:textId="05087540" w:rsidR="000A2B5C" w:rsidRDefault="000A2B5C" w:rsidP="00B53C0B">
      <w:pPr>
        <w:spacing w:line="276" w:lineRule="auto"/>
        <w:ind w:firstLine="284"/>
        <w:jc w:val="both"/>
        <w:rPr>
          <w:rFonts w:cs="Times New Roman"/>
          <w:sz w:val="24"/>
          <w:szCs w:val="24"/>
          <w:lang w:val="uz-Latn-UZ"/>
        </w:rPr>
      </w:pPr>
    </w:p>
    <w:p w14:paraId="3086C4E9" w14:textId="3D3CDC03" w:rsidR="000A2B5C" w:rsidRDefault="000A2B5C" w:rsidP="00B53C0B">
      <w:pPr>
        <w:spacing w:line="276" w:lineRule="auto"/>
        <w:ind w:firstLine="284"/>
        <w:jc w:val="both"/>
        <w:rPr>
          <w:rFonts w:cs="Times New Roman"/>
          <w:sz w:val="24"/>
          <w:szCs w:val="24"/>
          <w:lang w:val="uz-Latn-UZ"/>
        </w:rPr>
      </w:pPr>
    </w:p>
    <w:p w14:paraId="62D12FDC" w14:textId="0E2603C9" w:rsidR="000A2B5C" w:rsidRDefault="000A2B5C" w:rsidP="00B53C0B">
      <w:pPr>
        <w:spacing w:line="276" w:lineRule="auto"/>
        <w:ind w:firstLine="284"/>
        <w:jc w:val="both"/>
        <w:rPr>
          <w:rFonts w:cs="Times New Roman"/>
          <w:sz w:val="24"/>
          <w:szCs w:val="24"/>
          <w:lang w:val="uz-Latn-UZ"/>
        </w:rPr>
      </w:pPr>
    </w:p>
    <w:p w14:paraId="636BE8F8" w14:textId="3DD55FB7" w:rsidR="000A2B5C" w:rsidRDefault="000A2B5C" w:rsidP="00B53C0B">
      <w:pPr>
        <w:spacing w:line="276" w:lineRule="auto"/>
        <w:ind w:firstLine="284"/>
        <w:jc w:val="both"/>
        <w:rPr>
          <w:rFonts w:cs="Times New Roman"/>
          <w:sz w:val="24"/>
          <w:szCs w:val="24"/>
          <w:lang w:val="uz-Latn-UZ"/>
        </w:rPr>
      </w:pPr>
    </w:p>
    <w:p w14:paraId="3DC5BF5B" w14:textId="664AD1A9" w:rsidR="000A2B5C" w:rsidRDefault="000A2B5C" w:rsidP="00B53C0B">
      <w:pPr>
        <w:spacing w:line="276" w:lineRule="auto"/>
        <w:ind w:firstLine="284"/>
        <w:jc w:val="both"/>
        <w:rPr>
          <w:rFonts w:cs="Times New Roman"/>
          <w:sz w:val="24"/>
          <w:szCs w:val="24"/>
          <w:lang w:val="uz-Latn-UZ"/>
        </w:rPr>
      </w:pPr>
    </w:p>
    <w:p w14:paraId="5F5A24CC" w14:textId="20428F3C" w:rsidR="000A2B5C" w:rsidRDefault="000A2B5C" w:rsidP="00B53C0B">
      <w:pPr>
        <w:spacing w:line="276" w:lineRule="auto"/>
        <w:ind w:firstLine="284"/>
        <w:jc w:val="both"/>
        <w:rPr>
          <w:rFonts w:cs="Times New Roman"/>
          <w:sz w:val="24"/>
          <w:szCs w:val="24"/>
          <w:lang w:val="uz-Latn-UZ"/>
        </w:rPr>
      </w:pPr>
    </w:p>
    <w:p w14:paraId="347DC491" w14:textId="57EACB5C" w:rsidR="000A2B5C" w:rsidRDefault="000A2B5C" w:rsidP="00B53C0B">
      <w:pPr>
        <w:spacing w:line="276" w:lineRule="auto"/>
        <w:ind w:firstLine="284"/>
        <w:jc w:val="both"/>
        <w:rPr>
          <w:rFonts w:cs="Times New Roman"/>
          <w:sz w:val="24"/>
          <w:szCs w:val="24"/>
          <w:lang w:val="uz-Latn-UZ"/>
        </w:rPr>
      </w:pPr>
    </w:p>
    <w:p w14:paraId="65887CB5" w14:textId="4025285C" w:rsidR="000A2B5C" w:rsidRDefault="000A2B5C" w:rsidP="00B53C0B">
      <w:pPr>
        <w:spacing w:line="276" w:lineRule="auto"/>
        <w:ind w:firstLine="284"/>
        <w:jc w:val="both"/>
        <w:rPr>
          <w:rFonts w:cs="Times New Roman"/>
          <w:sz w:val="24"/>
          <w:szCs w:val="24"/>
          <w:lang w:val="uz-Latn-UZ"/>
        </w:rPr>
      </w:pPr>
    </w:p>
    <w:p w14:paraId="6C8A2DE2" w14:textId="0C0F167D" w:rsidR="000A2B5C" w:rsidRDefault="000A2B5C" w:rsidP="00B53C0B">
      <w:pPr>
        <w:spacing w:line="276" w:lineRule="auto"/>
        <w:ind w:firstLine="284"/>
        <w:jc w:val="both"/>
        <w:rPr>
          <w:rFonts w:cs="Times New Roman"/>
          <w:sz w:val="24"/>
          <w:szCs w:val="24"/>
          <w:lang w:val="uz-Latn-UZ"/>
        </w:rPr>
      </w:pPr>
    </w:p>
    <w:p w14:paraId="477441AB" w14:textId="4DE69678" w:rsidR="0046301E" w:rsidRPr="0046301E" w:rsidRDefault="0046301E" w:rsidP="00C40205">
      <w:pPr>
        <w:pStyle w:val="1"/>
        <w:rPr>
          <w:rFonts w:eastAsia="Calibri"/>
        </w:rPr>
      </w:pPr>
      <w:bookmarkStart w:id="31" w:name="_Toc104745746"/>
      <w:bookmarkStart w:id="32" w:name="_Hlk102986471"/>
      <w:r w:rsidRPr="0046301E">
        <w:rPr>
          <w:rFonts w:eastAsia="Calibri"/>
        </w:rPr>
        <w:lastRenderedPageBreak/>
        <w:t>MODERN AND HYGIENIC FOUNDATIONS OF THE STRUCTURE OF MEDICAL AND PREVENTIVE INSTITUTIONS</w:t>
      </w:r>
      <w:bookmarkEnd w:id="31"/>
    </w:p>
    <w:p w14:paraId="22274892" w14:textId="77777777" w:rsidR="0046301E" w:rsidRPr="0046301E" w:rsidRDefault="0046301E" w:rsidP="00C40205">
      <w:pPr>
        <w:spacing w:line="276" w:lineRule="auto"/>
        <w:jc w:val="both"/>
        <w:rPr>
          <w:rFonts w:eastAsia="Calibri" w:cs="Times New Roman"/>
          <w:sz w:val="24"/>
          <w:szCs w:val="24"/>
        </w:rPr>
      </w:pPr>
    </w:p>
    <w:p w14:paraId="52082964" w14:textId="77777777" w:rsidR="0046301E" w:rsidRPr="0046301E" w:rsidRDefault="0046301E" w:rsidP="00C40205">
      <w:pPr>
        <w:spacing w:line="276" w:lineRule="auto"/>
        <w:jc w:val="center"/>
        <w:rPr>
          <w:rFonts w:eastAsia="Calibri" w:cs="Times New Roman"/>
          <w:b/>
          <w:bCs/>
          <w:sz w:val="24"/>
          <w:szCs w:val="24"/>
        </w:rPr>
      </w:pPr>
      <w:r w:rsidRPr="0046301E">
        <w:rPr>
          <w:rFonts w:eastAsia="Calibri" w:cs="Times New Roman"/>
          <w:b/>
          <w:bCs/>
          <w:sz w:val="24"/>
          <w:szCs w:val="24"/>
        </w:rPr>
        <w:t>Karimov A. Group 403, II-Faculty of Pediatrics and Medical Biology</w:t>
      </w:r>
    </w:p>
    <w:p w14:paraId="1E28CD3A" w14:textId="17B538BE" w:rsidR="0046301E" w:rsidRPr="0046301E" w:rsidRDefault="0046301E" w:rsidP="00C40205">
      <w:pPr>
        <w:spacing w:line="276" w:lineRule="auto"/>
        <w:jc w:val="center"/>
        <w:rPr>
          <w:rFonts w:eastAsia="Calibri" w:cs="Times New Roman"/>
          <w:b/>
          <w:bCs/>
          <w:sz w:val="24"/>
          <w:szCs w:val="24"/>
        </w:rPr>
      </w:pPr>
      <w:r w:rsidRPr="0046301E">
        <w:rPr>
          <w:rFonts w:eastAsia="Calibri" w:cs="Times New Roman"/>
          <w:b/>
          <w:bCs/>
          <w:sz w:val="24"/>
          <w:szCs w:val="24"/>
        </w:rPr>
        <w:t>Fayziyevna M.F.</w:t>
      </w:r>
      <w:r w:rsidRPr="00525787">
        <w:rPr>
          <w:rFonts w:eastAsia="Calibri" w:cs="Times New Roman"/>
          <w:b/>
          <w:bCs/>
          <w:sz w:val="24"/>
          <w:szCs w:val="24"/>
        </w:rPr>
        <w:t xml:space="preserve">, </w:t>
      </w:r>
      <w:r w:rsidRPr="0046301E">
        <w:rPr>
          <w:rFonts w:eastAsia="Calibri" w:cs="Times New Roman"/>
          <w:b/>
          <w:bCs/>
          <w:sz w:val="24"/>
          <w:szCs w:val="24"/>
        </w:rPr>
        <w:t>scientific adviser</w:t>
      </w:r>
      <w:r>
        <w:rPr>
          <w:rFonts w:eastAsia="Calibri" w:cs="Times New Roman"/>
          <w:b/>
          <w:bCs/>
          <w:sz w:val="24"/>
          <w:szCs w:val="24"/>
        </w:rPr>
        <w:t>,</w:t>
      </w:r>
      <w:r w:rsidRPr="0046301E">
        <w:rPr>
          <w:rFonts w:eastAsia="Calibri" w:cs="Times New Roman"/>
          <w:b/>
          <w:bCs/>
          <w:sz w:val="24"/>
          <w:szCs w:val="24"/>
        </w:rPr>
        <w:t xml:space="preserve"> assistant</w:t>
      </w:r>
    </w:p>
    <w:p w14:paraId="1E55F321" w14:textId="77777777" w:rsidR="0046301E" w:rsidRPr="0046301E" w:rsidRDefault="0046301E" w:rsidP="00C40205">
      <w:pPr>
        <w:spacing w:line="276" w:lineRule="auto"/>
        <w:jc w:val="center"/>
        <w:rPr>
          <w:rFonts w:eastAsia="Calibri" w:cs="Times New Roman"/>
          <w:sz w:val="24"/>
          <w:szCs w:val="24"/>
        </w:rPr>
      </w:pPr>
      <w:r w:rsidRPr="0046301E">
        <w:rPr>
          <w:rFonts w:eastAsia="Calibri" w:cs="Times New Roman"/>
          <w:sz w:val="24"/>
          <w:szCs w:val="24"/>
        </w:rPr>
        <w:t>TashPMI Public health, organization and management of health care</w:t>
      </w:r>
    </w:p>
    <w:p w14:paraId="625CF049" w14:textId="77777777" w:rsidR="0046301E" w:rsidRPr="0046301E" w:rsidRDefault="0046301E" w:rsidP="00C40205">
      <w:pPr>
        <w:spacing w:line="276" w:lineRule="auto"/>
        <w:ind w:firstLine="567"/>
        <w:jc w:val="both"/>
        <w:rPr>
          <w:rFonts w:eastAsia="Calibri" w:cs="Times New Roman"/>
          <w:b/>
          <w:bCs/>
          <w:sz w:val="24"/>
          <w:szCs w:val="24"/>
        </w:rPr>
      </w:pPr>
    </w:p>
    <w:p w14:paraId="6B969F4D" w14:textId="77777777" w:rsidR="0046301E" w:rsidRDefault="0046301E" w:rsidP="00C40205">
      <w:pPr>
        <w:spacing w:line="276" w:lineRule="auto"/>
        <w:ind w:firstLine="567"/>
        <w:jc w:val="both"/>
        <w:rPr>
          <w:rFonts w:eastAsia="Calibri" w:cs="Times New Roman"/>
          <w:b/>
          <w:bCs/>
          <w:sz w:val="24"/>
          <w:szCs w:val="24"/>
        </w:rPr>
        <w:sectPr w:rsidR="0046301E" w:rsidSect="00995DC2">
          <w:type w:val="continuous"/>
          <w:pgSz w:w="11907" w:h="16840" w:code="9"/>
          <w:pgMar w:top="1418" w:right="1134" w:bottom="1134" w:left="1134" w:header="907" w:footer="794" w:gutter="0"/>
          <w:cols w:space="708"/>
          <w:docGrid w:linePitch="381"/>
        </w:sectPr>
      </w:pPr>
    </w:p>
    <w:p w14:paraId="227AFC4F" w14:textId="14D0646C" w:rsidR="0046301E" w:rsidRPr="0046301E" w:rsidRDefault="0046301E" w:rsidP="00C40205">
      <w:pPr>
        <w:spacing w:line="276" w:lineRule="auto"/>
        <w:ind w:firstLine="567"/>
        <w:jc w:val="both"/>
        <w:rPr>
          <w:rFonts w:eastAsia="Calibri" w:cs="Times New Roman"/>
          <w:sz w:val="24"/>
          <w:szCs w:val="24"/>
        </w:rPr>
      </w:pPr>
      <w:r w:rsidRPr="0046301E">
        <w:rPr>
          <w:rFonts w:eastAsia="Calibri" w:cs="Times New Roman"/>
          <w:b/>
          <w:bCs/>
          <w:sz w:val="24"/>
          <w:szCs w:val="24"/>
        </w:rPr>
        <w:t>Actuality</w:t>
      </w:r>
      <w:r w:rsidRPr="0046301E">
        <w:rPr>
          <w:rFonts w:eastAsia="Calibri" w:cs="Times New Roman"/>
          <w:sz w:val="24"/>
          <w:szCs w:val="24"/>
        </w:rPr>
        <w:t>: Sanitary and hygienic condi</w:t>
      </w:r>
      <w:r>
        <w:rPr>
          <w:rFonts w:eastAsia="Calibri" w:cs="Times New Roman"/>
          <w:sz w:val="24"/>
          <w:szCs w:val="24"/>
        </w:rPr>
        <w:softHyphen/>
      </w:r>
      <w:r w:rsidRPr="0046301E">
        <w:rPr>
          <w:rFonts w:eastAsia="Calibri" w:cs="Times New Roman"/>
          <w:sz w:val="24"/>
          <w:szCs w:val="24"/>
        </w:rPr>
        <w:t>tions in modern DPM, location of departments and wards, safety of employees.</w:t>
      </w:r>
    </w:p>
    <w:p w14:paraId="632E29BB" w14:textId="77777777" w:rsidR="0046301E" w:rsidRPr="0046301E" w:rsidRDefault="0046301E" w:rsidP="00C40205">
      <w:pPr>
        <w:spacing w:line="276" w:lineRule="auto"/>
        <w:ind w:firstLine="567"/>
        <w:jc w:val="both"/>
        <w:rPr>
          <w:rFonts w:eastAsia="Calibri" w:cs="Times New Roman"/>
          <w:sz w:val="24"/>
          <w:szCs w:val="24"/>
        </w:rPr>
      </w:pPr>
      <w:r w:rsidRPr="0046301E">
        <w:rPr>
          <w:rFonts w:eastAsia="Calibri" w:cs="Times New Roman"/>
          <w:b/>
          <w:bCs/>
          <w:sz w:val="24"/>
          <w:szCs w:val="24"/>
        </w:rPr>
        <w:t>Purpose:</w:t>
      </w:r>
      <w:r w:rsidRPr="0046301E">
        <w:rPr>
          <w:rFonts w:eastAsia="Calibri" w:cs="Times New Roman"/>
          <w:sz w:val="24"/>
          <w:szCs w:val="24"/>
        </w:rPr>
        <w:t xml:space="preserve"> Placement of hospital hygienic treatment-and-prophylactic institutions</w:t>
      </w:r>
    </w:p>
    <w:p w14:paraId="15C024AC" w14:textId="1E4D50D2" w:rsidR="0046301E" w:rsidRPr="0046301E" w:rsidRDefault="0046301E" w:rsidP="00C40205">
      <w:pPr>
        <w:spacing w:line="276" w:lineRule="auto"/>
        <w:ind w:firstLine="567"/>
        <w:jc w:val="both"/>
        <w:rPr>
          <w:rFonts w:eastAsia="Calibri" w:cs="Times New Roman"/>
          <w:sz w:val="24"/>
          <w:szCs w:val="24"/>
        </w:rPr>
      </w:pPr>
      <w:r w:rsidRPr="0046301E">
        <w:rPr>
          <w:rFonts w:eastAsia="Calibri" w:cs="Times New Roman"/>
          <w:sz w:val="24"/>
          <w:szCs w:val="24"/>
        </w:rPr>
        <w:t>Norms and requirements for design, san</w:t>
      </w:r>
      <w:r>
        <w:rPr>
          <w:rFonts w:eastAsia="Calibri" w:cs="Times New Roman"/>
          <w:sz w:val="24"/>
          <w:szCs w:val="24"/>
        </w:rPr>
        <w:softHyphen/>
      </w:r>
      <w:r w:rsidRPr="0046301E">
        <w:rPr>
          <w:rFonts w:eastAsia="Calibri" w:cs="Times New Roman"/>
          <w:sz w:val="24"/>
          <w:szCs w:val="24"/>
        </w:rPr>
        <w:t>itary and technical support</w:t>
      </w:r>
      <w:r>
        <w:rPr>
          <w:rFonts w:eastAsia="Calibri" w:cs="Times New Roman"/>
          <w:sz w:val="24"/>
          <w:szCs w:val="24"/>
        </w:rPr>
        <w:t xml:space="preserve"> </w:t>
      </w:r>
      <w:r w:rsidRPr="0046301E">
        <w:rPr>
          <w:rFonts w:eastAsia="Calibri" w:cs="Times New Roman"/>
          <w:sz w:val="24"/>
          <w:szCs w:val="24"/>
        </w:rPr>
        <w:t>development Creat</w:t>
      </w:r>
      <w:r>
        <w:rPr>
          <w:rFonts w:eastAsia="Calibri" w:cs="Times New Roman"/>
          <w:sz w:val="24"/>
          <w:szCs w:val="24"/>
        </w:rPr>
        <w:softHyphen/>
      </w:r>
      <w:r w:rsidRPr="0046301E">
        <w:rPr>
          <w:rFonts w:eastAsia="Calibri" w:cs="Times New Roman"/>
          <w:sz w:val="24"/>
          <w:szCs w:val="24"/>
        </w:rPr>
        <w:t>ing the most suitable conditions for patients, conducting effective treatment processes and creating appropriate working conditions for medical personnel, as well as further registra</w:t>
      </w:r>
      <w:r>
        <w:rPr>
          <w:rFonts w:eastAsia="Calibri" w:cs="Times New Roman"/>
          <w:sz w:val="24"/>
          <w:szCs w:val="24"/>
        </w:rPr>
        <w:softHyphen/>
      </w:r>
      <w:r w:rsidRPr="0046301E">
        <w:rPr>
          <w:rFonts w:eastAsia="Calibri" w:cs="Times New Roman"/>
          <w:sz w:val="24"/>
          <w:szCs w:val="24"/>
        </w:rPr>
        <w:t>tion in accordance with quarantine rules.</w:t>
      </w:r>
    </w:p>
    <w:p w14:paraId="074B978E" w14:textId="77777777" w:rsidR="0046301E" w:rsidRPr="0046301E" w:rsidRDefault="0046301E" w:rsidP="00C40205">
      <w:pPr>
        <w:spacing w:line="276" w:lineRule="auto"/>
        <w:ind w:firstLine="567"/>
        <w:jc w:val="both"/>
        <w:rPr>
          <w:rFonts w:eastAsia="Calibri" w:cs="Times New Roman"/>
          <w:sz w:val="24"/>
          <w:szCs w:val="24"/>
        </w:rPr>
      </w:pPr>
      <w:r w:rsidRPr="0046301E">
        <w:rPr>
          <w:rFonts w:eastAsia="Calibri" w:cs="Times New Roman"/>
          <w:b/>
          <w:bCs/>
          <w:sz w:val="24"/>
          <w:szCs w:val="24"/>
        </w:rPr>
        <w:t>Methods of study:</w:t>
      </w:r>
      <w:r w:rsidRPr="0046301E">
        <w:rPr>
          <w:rFonts w:eastAsia="Calibri" w:cs="Times New Roman"/>
          <w:sz w:val="24"/>
          <w:szCs w:val="24"/>
        </w:rPr>
        <w:t xml:space="preserve"> Observations were carried out mainly in some family polyclinics in Tashkent and Tashkent region.</w:t>
      </w:r>
    </w:p>
    <w:p w14:paraId="7A01D77B" w14:textId="5BB7DDDC" w:rsidR="0046301E" w:rsidRPr="0046301E" w:rsidRDefault="0046301E" w:rsidP="00C4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46301E">
        <w:rPr>
          <w:rFonts w:eastAsia="Times New Roman" w:cs="Times New Roman"/>
          <w:color w:val="202124"/>
          <w:sz w:val="24"/>
          <w:szCs w:val="24"/>
          <w:lang w:eastAsia="ru-RU"/>
        </w:rPr>
        <w:t>Studies show that in some hospitals there are shortcomings in the disproportionate loca</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tion of departments and wards, the epidemio</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logical safety of medical staff, sanitary and hy</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gienic conditions, and compliance with quar</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antine rules. In some clinics, neighboring de</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partments of obstetrics, surgery and infectious diseases lead to further growth and spread of superinfections and nosocomial infections. We have seen this in the case of the COVID-19 pandemic.</w:t>
      </w:r>
    </w:p>
    <w:p w14:paraId="33B49307" w14:textId="46248560" w:rsidR="0046301E" w:rsidRPr="0046301E" w:rsidRDefault="0046301E" w:rsidP="00C4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46301E">
        <w:rPr>
          <w:rFonts w:eastAsia="Times New Roman" w:cs="Times New Roman"/>
          <w:color w:val="202124"/>
          <w:sz w:val="24"/>
          <w:szCs w:val="24"/>
          <w:lang w:eastAsia="ru-RU"/>
        </w:rPr>
        <w:t>The next observation was at Zangiata Hospital No. 2, which specializes in the treat</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ment of patients with coronavirus infection. Observations show that the departments and wards of the hospital are located in accordance with modern requirements, the hospital is di</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vided into clean and dirty corridors, convenient for communication between patients and staff, epidemiological safety of staff, full compli</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ance with sanitary and preventive rules. It was noted that the disinfection work is proceeding at the proper level, the hospital is satisfied with the quarantine rules and is fully acceptable.</w:t>
      </w:r>
    </w:p>
    <w:p w14:paraId="31794B6F" w14:textId="562F0575" w:rsidR="0046301E" w:rsidRPr="0046301E" w:rsidRDefault="0046301E" w:rsidP="00C4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46301E">
        <w:rPr>
          <w:rFonts w:eastAsia="Times New Roman" w:cs="Times New Roman"/>
          <w:color w:val="202124"/>
          <w:sz w:val="24"/>
          <w:szCs w:val="24"/>
          <w:lang w:eastAsia="ru-RU"/>
        </w:rPr>
        <w:t>In the future, the relevance of designing when organizing CSAs, taking into account COVID-19 and similar quarantine conditions: first of all, the location of departments and wards, the division of corridors into clean and unclean zones, the placement of medical insti</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tutions in separate areas or blocks, if possible, facilities should be located in buildings with 1 and 2 floors. In the future, the organization of an express laboratory in each department, spe</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cial emergency resuscitation rooms, and the or</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ganization of on-site X-ray examinations will be convenient and effective for patients and medical staff.</w:t>
      </w:r>
    </w:p>
    <w:p w14:paraId="154FBDA4" w14:textId="4C7C3796" w:rsidR="0046301E" w:rsidRPr="0046301E" w:rsidRDefault="0046301E" w:rsidP="00C4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r w:rsidRPr="0046301E">
        <w:rPr>
          <w:rFonts w:eastAsia="Times New Roman" w:cs="Times New Roman"/>
          <w:color w:val="202124"/>
          <w:sz w:val="24"/>
          <w:szCs w:val="24"/>
          <w:lang w:eastAsia="ru-RU"/>
        </w:rPr>
        <w:t>To prevent superinfection and nosocom</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ial infection, PSM will be able to build mater</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nity wards, pediatric wards, surgical and infec</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tious diseases</w:t>
      </w:r>
      <w:r w:rsidRPr="0046301E">
        <w:rPr>
          <w:rFonts w:eastAsia="Times New Roman" w:cs="Times New Roman"/>
          <w:b/>
          <w:bCs/>
          <w:color w:val="202124"/>
          <w:sz w:val="24"/>
          <w:szCs w:val="24"/>
          <w:lang w:eastAsia="ru-RU"/>
        </w:rPr>
        <w:t xml:space="preserve"> </w:t>
      </w:r>
      <w:r w:rsidRPr="0046301E">
        <w:rPr>
          <w:rFonts w:eastAsia="Times New Roman" w:cs="Times New Roman"/>
          <w:color w:val="202124"/>
          <w:sz w:val="24"/>
          <w:szCs w:val="24"/>
          <w:lang w:eastAsia="ru-RU"/>
        </w:rPr>
        <w:t>departments in separate rooms or by placing them in separate blocks.</w:t>
      </w:r>
    </w:p>
    <w:p w14:paraId="2F2AE7AA" w14:textId="55208D69" w:rsidR="0046301E" w:rsidRPr="0046301E" w:rsidRDefault="0046301E" w:rsidP="00C40205">
      <w:pPr>
        <w:spacing w:line="276" w:lineRule="auto"/>
        <w:ind w:firstLine="567"/>
        <w:jc w:val="both"/>
        <w:rPr>
          <w:rFonts w:eastAsia="Calibri" w:cs="Times New Roman"/>
          <w:sz w:val="24"/>
          <w:szCs w:val="24"/>
        </w:rPr>
      </w:pPr>
      <w:r w:rsidRPr="0046301E">
        <w:rPr>
          <w:rFonts w:eastAsia="Times New Roman" w:cs="Times New Roman"/>
          <w:b/>
          <w:bCs/>
          <w:color w:val="202124"/>
          <w:sz w:val="24"/>
          <w:szCs w:val="24"/>
          <w:lang w:eastAsia="ru-RU"/>
        </w:rPr>
        <w:t>Conclusion:</w:t>
      </w:r>
      <w:r w:rsidRPr="0046301E">
        <w:rPr>
          <w:rFonts w:eastAsia="Times New Roman" w:cs="Times New Roman"/>
          <w:color w:val="202124"/>
          <w:sz w:val="24"/>
          <w:szCs w:val="24"/>
          <w:lang w:eastAsia="ru-RU"/>
        </w:rPr>
        <w:t xml:space="preserve"> Build each hospital in sep</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arate zones or separate blocks depending on their specialization, divide corridors into clean and dirty zones, place buildings, if possible, in 1 and 2 stored buildings, divide medical insti</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tutions into separate zones or blocks depending on specialization and direction, the organiza</w:t>
      </w:r>
      <w:r>
        <w:rPr>
          <w:rFonts w:eastAsia="Times New Roman" w:cs="Times New Roman"/>
          <w:color w:val="202124"/>
          <w:sz w:val="24"/>
          <w:szCs w:val="24"/>
          <w:lang w:eastAsia="ru-RU"/>
        </w:rPr>
        <w:softHyphen/>
      </w:r>
      <w:r w:rsidRPr="0046301E">
        <w:rPr>
          <w:rFonts w:eastAsia="Times New Roman" w:cs="Times New Roman"/>
          <w:color w:val="202124"/>
          <w:sz w:val="24"/>
          <w:szCs w:val="24"/>
          <w:lang w:eastAsia="ru-RU"/>
        </w:rPr>
        <w:t>tion of disinfection work in each department is convenient for the prevention of nosocomial infections and pandemics and fully complies with modern requirements.</w:t>
      </w:r>
    </w:p>
    <w:p w14:paraId="0C6A4922" w14:textId="77777777" w:rsidR="0046301E" w:rsidRDefault="0046301E" w:rsidP="0046301E">
      <w:pPr>
        <w:ind w:firstLine="567"/>
        <w:jc w:val="both"/>
        <w:rPr>
          <w:rFonts w:eastAsia="Calibri" w:cs="Times New Roman"/>
          <w:sz w:val="24"/>
          <w:szCs w:val="24"/>
        </w:rPr>
        <w:sectPr w:rsidR="0046301E" w:rsidSect="0046301E">
          <w:type w:val="continuous"/>
          <w:pgSz w:w="11907" w:h="16840" w:code="9"/>
          <w:pgMar w:top="1418" w:right="1134" w:bottom="1134" w:left="1134" w:header="907" w:footer="794" w:gutter="0"/>
          <w:cols w:num="2" w:space="708"/>
          <w:docGrid w:linePitch="381"/>
        </w:sectPr>
      </w:pPr>
    </w:p>
    <w:p w14:paraId="1C06293F" w14:textId="77777777" w:rsidR="0046301E" w:rsidRPr="0046301E" w:rsidRDefault="0046301E" w:rsidP="0046301E">
      <w:pPr>
        <w:ind w:firstLine="567"/>
        <w:jc w:val="both"/>
        <w:rPr>
          <w:rFonts w:eastAsia="Calibri" w:cs="Times New Roman"/>
          <w:sz w:val="24"/>
          <w:szCs w:val="24"/>
        </w:rPr>
      </w:pPr>
    </w:p>
    <w:bookmarkEnd w:id="32"/>
    <w:p w14:paraId="628A0129" w14:textId="5CDDC551" w:rsidR="000A2B5C" w:rsidRDefault="000A2B5C" w:rsidP="0046301E">
      <w:pPr>
        <w:spacing w:line="276" w:lineRule="auto"/>
        <w:ind w:firstLine="567"/>
        <w:jc w:val="both"/>
        <w:rPr>
          <w:rFonts w:cs="Times New Roman"/>
          <w:sz w:val="24"/>
          <w:szCs w:val="24"/>
          <w:lang w:val="uz-Latn-UZ"/>
        </w:rPr>
      </w:pPr>
    </w:p>
    <w:p w14:paraId="42E79BE7" w14:textId="4A54C0D6" w:rsidR="0046301E" w:rsidRDefault="0046301E" w:rsidP="0046301E">
      <w:pPr>
        <w:spacing w:line="276" w:lineRule="auto"/>
        <w:ind w:firstLine="567"/>
        <w:jc w:val="both"/>
        <w:rPr>
          <w:rFonts w:cs="Times New Roman"/>
          <w:sz w:val="24"/>
          <w:szCs w:val="24"/>
          <w:lang w:val="uz-Latn-UZ"/>
        </w:rPr>
      </w:pPr>
    </w:p>
    <w:p w14:paraId="5F4E023A" w14:textId="77777777" w:rsidR="002A01E7" w:rsidRPr="002A01E7" w:rsidRDefault="002A01E7" w:rsidP="00D40FC5">
      <w:pPr>
        <w:spacing w:line="252" w:lineRule="auto"/>
        <w:jc w:val="both"/>
        <w:rPr>
          <w:rFonts w:cs="Times New Roman"/>
          <w:sz w:val="24"/>
          <w:szCs w:val="24"/>
        </w:rPr>
      </w:pPr>
      <w:r w:rsidRPr="002A01E7">
        <w:rPr>
          <w:rFonts w:cs="Times New Roman"/>
          <w:sz w:val="24"/>
          <w:szCs w:val="24"/>
        </w:rPr>
        <w:lastRenderedPageBreak/>
        <w:t>UDC: 613.2:616-003</w:t>
      </w:r>
    </w:p>
    <w:p w14:paraId="4EB8456F" w14:textId="77777777" w:rsidR="002A01E7" w:rsidRPr="002A01E7" w:rsidRDefault="002A01E7" w:rsidP="00D40FC5">
      <w:pPr>
        <w:spacing w:line="252" w:lineRule="auto"/>
        <w:ind w:firstLine="567"/>
        <w:jc w:val="both"/>
        <w:rPr>
          <w:rFonts w:cs="Times New Roman"/>
          <w:sz w:val="24"/>
          <w:szCs w:val="24"/>
        </w:rPr>
      </w:pPr>
    </w:p>
    <w:p w14:paraId="0E4C8F6A" w14:textId="32EE3A67" w:rsidR="002A01E7" w:rsidRPr="002A01E7" w:rsidRDefault="002A01E7" w:rsidP="00542F31">
      <w:pPr>
        <w:pStyle w:val="1"/>
      </w:pPr>
      <w:bookmarkStart w:id="33" w:name="_Toc104745747"/>
      <w:r w:rsidRPr="002A01E7">
        <w:t>HYGIENIC ASSESSMENT OF BOILED SAUSAGES AND SAUSAGES PRODUCED BY «ROZMETOV» (UZBEKISTAN)</w:t>
      </w:r>
      <w:bookmarkEnd w:id="33"/>
    </w:p>
    <w:p w14:paraId="78435988" w14:textId="77777777" w:rsidR="002A01E7" w:rsidRPr="002A01E7" w:rsidRDefault="002A01E7" w:rsidP="00D40FC5">
      <w:pPr>
        <w:spacing w:line="252" w:lineRule="auto"/>
        <w:jc w:val="both"/>
        <w:rPr>
          <w:rFonts w:cs="Times New Roman"/>
          <w:sz w:val="24"/>
          <w:szCs w:val="24"/>
        </w:rPr>
      </w:pPr>
    </w:p>
    <w:p w14:paraId="2A26920D" w14:textId="781C6E22" w:rsidR="002A01E7" w:rsidRDefault="002A01E7" w:rsidP="00D40FC5">
      <w:pPr>
        <w:spacing w:line="252" w:lineRule="auto"/>
        <w:jc w:val="center"/>
        <w:rPr>
          <w:rFonts w:cs="Times New Roman"/>
          <w:sz w:val="24"/>
          <w:szCs w:val="24"/>
        </w:rPr>
      </w:pPr>
      <w:r w:rsidRPr="002A01E7">
        <w:rPr>
          <w:rFonts w:cs="Times New Roman"/>
          <w:b/>
          <w:bCs/>
          <w:sz w:val="24"/>
          <w:szCs w:val="24"/>
        </w:rPr>
        <w:t>Khayitov J.B</w:t>
      </w:r>
      <w:r w:rsidRPr="002A01E7">
        <w:rPr>
          <w:rFonts w:cs="Times New Roman"/>
          <w:sz w:val="24"/>
          <w:szCs w:val="24"/>
        </w:rPr>
        <w:t>.</w:t>
      </w:r>
    </w:p>
    <w:p w14:paraId="75B9F633" w14:textId="5FEF914D" w:rsidR="002A01E7" w:rsidRPr="002A01E7" w:rsidRDefault="002A01E7" w:rsidP="00D40FC5">
      <w:pPr>
        <w:spacing w:line="252" w:lineRule="auto"/>
        <w:jc w:val="center"/>
        <w:rPr>
          <w:rFonts w:cs="Times New Roman"/>
          <w:sz w:val="24"/>
          <w:szCs w:val="24"/>
        </w:rPr>
      </w:pPr>
      <w:r w:rsidRPr="002A01E7">
        <w:rPr>
          <w:rFonts w:cs="Times New Roman"/>
          <w:sz w:val="24"/>
          <w:szCs w:val="24"/>
        </w:rPr>
        <w:t>Tashkent medical academy, Tashkent, Uzbekistan</w:t>
      </w:r>
    </w:p>
    <w:p w14:paraId="24BDCD93" w14:textId="77777777" w:rsidR="002A01E7" w:rsidRPr="002A01E7" w:rsidRDefault="002A01E7" w:rsidP="00D40FC5">
      <w:pPr>
        <w:spacing w:line="252" w:lineRule="auto"/>
        <w:ind w:firstLine="567"/>
        <w:jc w:val="both"/>
        <w:rPr>
          <w:rFonts w:cs="Times New Roman"/>
          <w:sz w:val="24"/>
          <w:szCs w:val="24"/>
        </w:rPr>
      </w:pPr>
    </w:p>
    <w:p w14:paraId="7FAD086B" w14:textId="77777777" w:rsidR="002A01E7" w:rsidRDefault="002A01E7" w:rsidP="00D40FC5">
      <w:pPr>
        <w:spacing w:line="252" w:lineRule="auto"/>
        <w:ind w:firstLine="567"/>
        <w:jc w:val="both"/>
        <w:rPr>
          <w:rFonts w:cs="Times New Roman"/>
          <w:sz w:val="24"/>
          <w:szCs w:val="24"/>
        </w:rPr>
        <w:sectPr w:rsidR="002A01E7" w:rsidSect="00995DC2">
          <w:type w:val="continuous"/>
          <w:pgSz w:w="11907" w:h="16840" w:code="9"/>
          <w:pgMar w:top="1418" w:right="1134" w:bottom="1134" w:left="1134" w:header="907" w:footer="794" w:gutter="0"/>
          <w:cols w:space="708"/>
          <w:docGrid w:linePitch="381"/>
        </w:sectPr>
      </w:pPr>
    </w:p>
    <w:p w14:paraId="20843381" w14:textId="3042D3FC"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first series of experiments was car</w:t>
      </w:r>
      <w:r>
        <w:rPr>
          <w:rFonts w:cs="Times New Roman"/>
          <w:sz w:val="24"/>
          <w:szCs w:val="24"/>
        </w:rPr>
        <w:softHyphen/>
      </w:r>
      <w:r w:rsidRPr="002A01E7">
        <w:rPr>
          <w:rFonts w:cs="Times New Roman"/>
          <w:sz w:val="24"/>
          <w:szCs w:val="24"/>
        </w:rPr>
        <w:t>ried out on 24 outbred adult rats of both sexes with an initial body weight of 122-140 g. The experimental animals were divided into 3 groups of 6 animals. The control group con</w:t>
      </w:r>
      <w:r>
        <w:rPr>
          <w:rFonts w:cs="Times New Roman"/>
          <w:sz w:val="24"/>
          <w:szCs w:val="24"/>
        </w:rPr>
        <w:softHyphen/>
      </w:r>
      <w:r w:rsidRPr="002A01E7">
        <w:rPr>
          <w:rFonts w:cs="Times New Roman"/>
          <w:sz w:val="24"/>
          <w:szCs w:val="24"/>
        </w:rPr>
        <w:t>sisted of 6 animals.</w:t>
      </w:r>
    </w:p>
    <w:p w14:paraId="0AB8B10F" w14:textId="1785D5A2"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To determine the parameters of acute toxicity, boiled sausage and sausages were given to rats in the morning on an empty stom</w:t>
      </w:r>
      <w:r>
        <w:rPr>
          <w:rFonts w:cs="Times New Roman"/>
          <w:sz w:val="24"/>
          <w:szCs w:val="24"/>
        </w:rPr>
        <w:softHyphen/>
      </w:r>
      <w:r w:rsidRPr="002A01E7">
        <w:rPr>
          <w:rFonts w:cs="Times New Roman"/>
          <w:sz w:val="24"/>
          <w:szCs w:val="24"/>
        </w:rPr>
        <w:t>ach at the rate of 2500 (group 1), 5000 (2group) and 10,000 (group 3) mg/kg.</w:t>
      </w:r>
    </w:p>
    <w:p w14:paraId="6A6D5414" w14:textId="1C4A6DD6"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second series of experiments was carried out on 6 outbred adult rats of both sexes with an initial body weight of 127-140 g. In this series of experiments, in order to obtain an extract solution per 100 g. crushed finished product was added 100 ml of 0.9% sodium chloride, the mixture was placed in a thermo</w:t>
      </w:r>
      <w:r>
        <w:rPr>
          <w:rFonts w:cs="Times New Roman"/>
          <w:sz w:val="24"/>
          <w:szCs w:val="24"/>
        </w:rPr>
        <w:softHyphen/>
      </w:r>
      <w:r w:rsidRPr="002A01E7">
        <w:rPr>
          <w:rFonts w:cs="Times New Roman"/>
          <w:sz w:val="24"/>
          <w:szCs w:val="24"/>
        </w:rPr>
        <w:t>stat at a temperature of 37°C for 24 hours. Af</w:t>
      </w:r>
      <w:r>
        <w:rPr>
          <w:rFonts w:cs="Times New Roman"/>
          <w:sz w:val="24"/>
          <w:szCs w:val="24"/>
        </w:rPr>
        <w:softHyphen/>
      </w:r>
      <w:r w:rsidRPr="002A01E7">
        <w:rPr>
          <w:rFonts w:cs="Times New Roman"/>
          <w:sz w:val="24"/>
          <w:szCs w:val="24"/>
        </w:rPr>
        <w:t>ter 24 hours, the extract solution was adminis</w:t>
      </w:r>
      <w:r>
        <w:rPr>
          <w:rFonts w:cs="Times New Roman"/>
          <w:sz w:val="24"/>
          <w:szCs w:val="24"/>
        </w:rPr>
        <w:softHyphen/>
      </w:r>
      <w:r w:rsidRPr="002A01E7">
        <w:rPr>
          <w:rFonts w:cs="Times New Roman"/>
          <w:sz w:val="24"/>
          <w:szCs w:val="24"/>
        </w:rPr>
        <w:t>tered intragastrically at the rate of 3 ml per 100 g. body weight.</w:t>
      </w:r>
    </w:p>
    <w:p w14:paraId="7F3F75FA" w14:textId="2D714F96"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Observation of experimental. animals were administered hourly for 8 hours for 14 days. Symptoms of intoxication in animals have not been identified. Experimental animals reacted adequately to external stimuli. The hairline is shiny and smooth, no foci of bald</w:t>
      </w:r>
      <w:r>
        <w:rPr>
          <w:rFonts w:cs="Times New Roman"/>
          <w:sz w:val="24"/>
          <w:szCs w:val="24"/>
        </w:rPr>
        <w:softHyphen/>
      </w:r>
      <w:r w:rsidRPr="002A01E7">
        <w:rPr>
          <w:rFonts w:cs="Times New Roman"/>
          <w:sz w:val="24"/>
          <w:szCs w:val="24"/>
        </w:rPr>
        <w:t>ness or ulcers were found. Visible mucous membranes are pale pink, unchanged. The death of animals was not detected when ex</w:t>
      </w:r>
      <w:r>
        <w:rPr>
          <w:rFonts w:cs="Times New Roman"/>
          <w:sz w:val="24"/>
          <w:szCs w:val="24"/>
        </w:rPr>
        <w:softHyphen/>
      </w:r>
      <w:r w:rsidRPr="002A01E7">
        <w:rPr>
          <w:rFonts w:cs="Times New Roman"/>
          <w:sz w:val="24"/>
          <w:szCs w:val="24"/>
        </w:rPr>
        <w:t>posed to the maximum dose of 10,000 mg/kg. Due to the absence of death of animals, it was not possible to calculate the average lethal dose (DL50).</w:t>
      </w:r>
    </w:p>
    <w:p w14:paraId="409DFB8B" w14:textId="152181A6"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 xml:space="preserve">   Thus, the acute toxicity of boiled sau</w:t>
      </w:r>
      <w:r>
        <w:rPr>
          <w:rFonts w:cs="Times New Roman"/>
          <w:sz w:val="24"/>
          <w:szCs w:val="24"/>
        </w:rPr>
        <w:softHyphen/>
      </w:r>
      <w:r w:rsidRPr="002A01E7">
        <w:rPr>
          <w:rFonts w:cs="Times New Roman"/>
          <w:sz w:val="24"/>
          <w:szCs w:val="24"/>
        </w:rPr>
        <w:t>sages and frankfurters produced by Rozmetov LLC (Uzbekistan) can be attributed to class V in terms of the degree of toxicity.</w:t>
      </w:r>
    </w:p>
    <w:p w14:paraId="07C7E9ED" w14:textId="0621843A"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toxicity of boiled sausages and frankfurters produced by Rozmetov LLC (Uz</w:t>
      </w:r>
      <w:r>
        <w:rPr>
          <w:rFonts w:cs="Times New Roman"/>
          <w:sz w:val="24"/>
          <w:szCs w:val="24"/>
        </w:rPr>
        <w:softHyphen/>
      </w:r>
      <w:r w:rsidRPr="002A01E7">
        <w:rPr>
          <w:rFonts w:cs="Times New Roman"/>
          <w:sz w:val="24"/>
          <w:szCs w:val="24"/>
        </w:rPr>
        <w:t>bekistan) was studied on 24 white rats under conditions of daily 30-day feeding of the stud</w:t>
      </w:r>
      <w:r>
        <w:rPr>
          <w:rFonts w:cs="Times New Roman"/>
          <w:sz w:val="24"/>
          <w:szCs w:val="24"/>
        </w:rPr>
        <w:softHyphen/>
      </w:r>
      <w:r w:rsidRPr="002A01E7">
        <w:rPr>
          <w:rFonts w:cs="Times New Roman"/>
          <w:sz w:val="24"/>
          <w:szCs w:val="24"/>
        </w:rPr>
        <w:t>ied products at doses of 50 (group 1), 5000 (group 2) and 10000 (group 3) mg/kg. Animals of the control group were given 10,000 mg/kg of wheat porridge.</w:t>
      </w:r>
    </w:p>
    <w:p w14:paraId="1B65E831" w14:textId="3318C9D1"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results of the studies have shown that long-term feeding of boiled sausage and sausages in the studied doses is well tolerated by experimental animals. Indicators of general condition, behavior, weight gain, hematologi</w:t>
      </w:r>
      <w:r>
        <w:rPr>
          <w:rFonts w:cs="Times New Roman"/>
          <w:sz w:val="24"/>
          <w:szCs w:val="24"/>
        </w:rPr>
        <w:softHyphen/>
      </w:r>
      <w:r w:rsidRPr="002A01E7">
        <w:rPr>
          <w:rFonts w:cs="Times New Roman"/>
          <w:sz w:val="24"/>
          <w:szCs w:val="24"/>
        </w:rPr>
        <w:t>cal and biochemical parameters of experi</w:t>
      </w:r>
      <w:r>
        <w:rPr>
          <w:rFonts w:cs="Times New Roman"/>
          <w:sz w:val="24"/>
          <w:szCs w:val="24"/>
        </w:rPr>
        <w:softHyphen/>
      </w:r>
      <w:r w:rsidRPr="002A01E7">
        <w:rPr>
          <w:rFonts w:cs="Times New Roman"/>
          <w:sz w:val="24"/>
          <w:szCs w:val="24"/>
        </w:rPr>
        <w:t>mental animals did not differ from control val</w:t>
      </w:r>
      <w:r>
        <w:rPr>
          <w:rFonts w:cs="Times New Roman"/>
          <w:sz w:val="24"/>
          <w:szCs w:val="24"/>
        </w:rPr>
        <w:softHyphen/>
      </w:r>
      <w:r w:rsidRPr="002A01E7">
        <w:rPr>
          <w:rFonts w:cs="Times New Roman"/>
          <w:sz w:val="24"/>
          <w:szCs w:val="24"/>
        </w:rPr>
        <w:t>ues. Thus, the observation of the dynamics of changes in the body weight of animals showed that with an initial body weight of 126.67 ± 2.53, after 30 days of experiments, increase in body weight up to 169.83±3.12 (in percent, the increase averages +34.07%).</w:t>
      </w:r>
    </w:p>
    <w:p w14:paraId="2F895108" w14:textId="7FC2AE3E"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study of the dynamics of hematolog</w:t>
      </w:r>
      <w:r>
        <w:rPr>
          <w:rFonts w:cs="Times New Roman"/>
          <w:sz w:val="24"/>
          <w:szCs w:val="24"/>
        </w:rPr>
        <w:softHyphen/>
      </w:r>
      <w:r w:rsidRPr="002A01E7">
        <w:rPr>
          <w:rFonts w:cs="Times New Roman"/>
          <w:sz w:val="24"/>
          <w:szCs w:val="24"/>
        </w:rPr>
        <w:t>ical parameters of peripheral blood after feed</w:t>
      </w:r>
      <w:r>
        <w:rPr>
          <w:rFonts w:cs="Times New Roman"/>
          <w:sz w:val="24"/>
          <w:szCs w:val="24"/>
        </w:rPr>
        <w:softHyphen/>
      </w:r>
      <w:r w:rsidRPr="002A01E7">
        <w:rPr>
          <w:rFonts w:cs="Times New Roman"/>
          <w:sz w:val="24"/>
          <w:szCs w:val="24"/>
        </w:rPr>
        <w:t>ing boiled sausage and sausages did not reveal statistically significant differences in animals of the experimental groups compared with control values [Table 1].</w:t>
      </w:r>
    </w:p>
    <w:p w14:paraId="41F66058" w14:textId="59F2C480"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The results of the study of biochemical parameters of blood serum of experimental and control animals after feeding with boiled sau</w:t>
      </w:r>
      <w:r>
        <w:rPr>
          <w:rFonts w:cs="Times New Roman"/>
          <w:sz w:val="24"/>
          <w:szCs w:val="24"/>
        </w:rPr>
        <w:softHyphen/>
      </w:r>
      <w:r w:rsidRPr="002A01E7">
        <w:rPr>
          <w:rFonts w:cs="Times New Roman"/>
          <w:sz w:val="24"/>
          <w:szCs w:val="24"/>
        </w:rPr>
        <w:t>sage and sausages are presented in table [2].</w:t>
      </w:r>
    </w:p>
    <w:p w14:paraId="23DAF1E7" w14:textId="77777777" w:rsidR="002A01E7" w:rsidRPr="002A01E7" w:rsidRDefault="002A01E7" w:rsidP="00D40FC5">
      <w:pPr>
        <w:spacing w:line="252" w:lineRule="auto"/>
        <w:ind w:firstLine="567"/>
        <w:jc w:val="both"/>
        <w:rPr>
          <w:rFonts w:cs="Times New Roman"/>
          <w:sz w:val="24"/>
          <w:szCs w:val="24"/>
        </w:rPr>
      </w:pPr>
      <w:r w:rsidRPr="002A01E7">
        <w:rPr>
          <w:rFonts w:cs="Times New Roman"/>
          <w:sz w:val="24"/>
          <w:szCs w:val="24"/>
        </w:rPr>
        <w:t>Analysis of the research results showed that in experimental animals, the indicators of total protein, total bilirubin, direct and indirect bilirubin, urea, cholesterol, ALT, AST, gamma glutamyl transferase (in GT) and glucose in blood serum did not differ significantly from control values.</w:t>
      </w:r>
    </w:p>
    <w:p w14:paraId="2C28F7D2" w14:textId="39E30E7B" w:rsidR="002A01E7" w:rsidRDefault="002A01E7" w:rsidP="00D40FC5">
      <w:pPr>
        <w:spacing w:line="252" w:lineRule="auto"/>
        <w:ind w:firstLine="567"/>
        <w:jc w:val="both"/>
        <w:rPr>
          <w:rFonts w:cs="Times New Roman"/>
          <w:sz w:val="24"/>
          <w:szCs w:val="24"/>
        </w:rPr>
        <w:sectPr w:rsidR="002A01E7" w:rsidSect="002A01E7">
          <w:type w:val="continuous"/>
          <w:pgSz w:w="11907" w:h="16840" w:code="9"/>
          <w:pgMar w:top="1418" w:right="1134" w:bottom="1134" w:left="1134" w:header="907" w:footer="794" w:gutter="0"/>
          <w:cols w:num="2" w:space="708"/>
          <w:docGrid w:linePitch="381"/>
        </w:sectPr>
      </w:pPr>
      <w:r w:rsidRPr="002A01E7">
        <w:rPr>
          <w:rFonts w:cs="Times New Roman"/>
          <w:sz w:val="24"/>
          <w:szCs w:val="24"/>
        </w:rPr>
        <w:t>Thus, boiled sausage and diet sausages produced by Rozmetov LLC (Uzbekistan) with long-term feeding to white rats do not have a toxic effect on the hematological and biochem</w:t>
      </w:r>
      <w:r>
        <w:rPr>
          <w:rFonts w:cs="Times New Roman"/>
          <w:sz w:val="24"/>
          <w:szCs w:val="24"/>
        </w:rPr>
        <w:softHyphen/>
      </w:r>
      <w:r w:rsidRPr="002A01E7">
        <w:rPr>
          <w:rFonts w:cs="Times New Roman"/>
          <w:sz w:val="24"/>
          <w:szCs w:val="24"/>
        </w:rPr>
        <w:t>ical parameters of experimental animals.</w:t>
      </w:r>
    </w:p>
    <w:p w14:paraId="665815A9" w14:textId="77777777" w:rsidR="00D40FC5" w:rsidRDefault="00D40FC5" w:rsidP="00D40FC5">
      <w:pPr>
        <w:spacing w:line="252" w:lineRule="auto"/>
        <w:ind w:firstLine="567"/>
        <w:jc w:val="both"/>
        <w:rPr>
          <w:rFonts w:cs="Times New Roman"/>
          <w:sz w:val="24"/>
          <w:szCs w:val="24"/>
        </w:rPr>
        <w:sectPr w:rsidR="00D40FC5" w:rsidSect="00995DC2">
          <w:type w:val="continuous"/>
          <w:pgSz w:w="11907" w:h="16840" w:code="9"/>
          <w:pgMar w:top="1418" w:right="1134" w:bottom="1134" w:left="1134" w:header="907" w:footer="794" w:gutter="0"/>
          <w:cols w:space="708"/>
          <w:docGrid w:linePitch="381"/>
        </w:sectPr>
      </w:pPr>
    </w:p>
    <w:p w14:paraId="1A1B5D15" w14:textId="217EEDE8" w:rsidR="002A01E7" w:rsidRPr="002A01E7" w:rsidRDefault="002A01E7" w:rsidP="00D40FC5">
      <w:pPr>
        <w:spacing w:line="252" w:lineRule="auto"/>
        <w:ind w:firstLine="567"/>
        <w:jc w:val="both"/>
        <w:rPr>
          <w:rFonts w:cs="Times New Roman"/>
          <w:sz w:val="24"/>
          <w:szCs w:val="24"/>
        </w:rPr>
      </w:pPr>
    </w:p>
    <w:p w14:paraId="4A52B4E6" w14:textId="77777777" w:rsidR="00D40FC5" w:rsidRPr="00D40FC5" w:rsidRDefault="00D40FC5" w:rsidP="00D40FC5">
      <w:pPr>
        <w:spacing w:line="276" w:lineRule="auto"/>
        <w:ind w:firstLine="567"/>
        <w:jc w:val="right"/>
        <w:rPr>
          <w:rFonts w:cs="Times New Roman"/>
          <w:b/>
          <w:bCs/>
          <w:i/>
          <w:iCs/>
          <w:sz w:val="24"/>
          <w:szCs w:val="24"/>
          <w:lang w:val="uz-Latn-UZ"/>
        </w:rPr>
      </w:pPr>
      <w:r w:rsidRPr="00D40FC5">
        <w:rPr>
          <w:rFonts w:cs="Times New Roman"/>
          <w:b/>
          <w:bCs/>
          <w:i/>
          <w:iCs/>
          <w:sz w:val="24"/>
          <w:szCs w:val="24"/>
          <w:lang w:val="uz-Latn-UZ"/>
        </w:rPr>
        <w:t>Table 1.</w:t>
      </w:r>
    </w:p>
    <w:p w14:paraId="645267C2" w14:textId="5952A399" w:rsidR="002A01E7" w:rsidRPr="00D40FC5" w:rsidRDefault="00D40FC5" w:rsidP="00D40FC5">
      <w:pPr>
        <w:spacing w:line="276" w:lineRule="auto"/>
        <w:jc w:val="center"/>
        <w:rPr>
          <w:rFonts w:cs="Times New Roman"/>
          <w:b/>
          <w:bCs/>
          <w:sz w:val="24"/>
          <w:szCs w:val="24"/>
          <w:lang w:val="uz-Latn-UZ"/>
        </w:rPr>
      </w:pPr>
      <w:r w:rsidRPr="00D40FC5">
        <w:rPr>
          <w:rFonts w:cs="Times New Roman"/>
          <w:b/>
          <w:bCs/>
          <w:sz w:val="24"/>
          <w:szCs w:val="24"/>
          <w:lang w:val="uz-Latn-UZ"/>
        </w:rPr>
        <w:t>Hematological parameters of the blood of rats after 30 days of feeding boiled sausages and diet sausages</w:t>
      </w:r>
      <w:r w:rsidRPr="00D40FC5">
        <w:rPr>
          <w:rFonts w:cs="Times New Roman"/>
          <w:b/>
          <w:bCs/>
          <w:sz w:val="24"/>
          <w:szCs w:val="24"/>
        </w:rPr>
        <w:t xml:space="preserve"> </w:t>
      </w:r>
      <w:r w:rsidRPr="00D40FC5">
        <w:rPr>
          <w:rFonts w:cs="Times New Roman"/>
          <w:b/>
          <w:bCs/>
          <w:sz w:val="24"/>
          <w:szCs w:val="24"/>
          <w:lang w:val="uz-Latn-UZ"/>
        </w:rPr>
        <w:t>produced by OOO</w:t>
      </w:r>
      <w:r w:rsidRPr="00D40FC5">
        <w:rPr>
          <w:rFonts w:cs="Times New Roman"/>
          <w:b/>
          <w:bCs/>
          <w:sz w:val="24"/>
          <w:szCs w:val="24"/>
        </w:rPr>
        <w:t xml:space="preserve"> </w:t>
      </w:r>
      <w:r w:rsidRPr="00D40FC5">
        <w:rPr>
          <w:rFonts w:cs="Times New Roman"/>
          <w:b/>
          <w:bCs/>
          <w:sz w:val="24"/>
          <w:szCs w:val="24"/>
          <w:lang w:val="uz-Latn-UZ"/>
        </w:rPr>
        <w:t>Rozmetov (Uzbekistan) at doses of 500, 5000 and 10000 mg/kg.</w:t>
      </w:r>
    </w:p>
    <w:p w14:paraId="281C18F3" w14:textId="58F5F2E6" w:rsidR="002A01E7" w:rsidRDefault="002A01E7" w:rsidP="0046301E">
      <w:pPr>
        <w:spacing w:line="276" w:lineRule="auto"/>
        <w:ind w:firstLine="567"/>
        <w:jc w:val="both"/>
        <w:rPr>
          <w:rFonts w:cs="Times New Roman"/>
          <w:sz w:val="24"/>
          <w:szCs w:val="24"/>
          <w:lang w:val="uz-Latn-UZ"/>
        </w:rPr>
      </w:pPr>
    </w:p>
    <w:tbl>
      <w:tblPr>
        <w:tblW w:w="144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6"/>
        <w:gridCol w:w="1417"/>
        <w:gridCol w:w="1276"/>
        <w:gridCol w:w="1276"/>
        <w:gridCol w:w="1276"/>
        <w:gridCol w:w="1275"/>
        <w:gridCol w:w="1276"/>
        <w:gridCol w:w="1322"/>
        <w:gridCol w:w="1237"/>
        <w:gridCol w:w="1487"/>
        <w:gridCol w:w="1363"/>
      </w:tblGrid>
      <w:tr w:rsidR="00275B12" w:rsidRPr="00D40FC5" w14:paraId="49F4C7AD" w14:textId="77777777" w:rsidTr="003121E9">
        <w:trPr>
          <w:cantSplit/>
          <w:trHeight w:val="3592"/>
          <w:jc w:val="center"/>
        </w:trPr>
        <w:tc>
          <w:tcPr>
            <w:tcW w:w="1276" w:type="dxa"/>
            <w:textDirection w:val="btLr"/>
            <w:vAlign w:val="center"/>
          </w:tcPr>
          <w:p w14:paraId="78B895AE" w14:textId="77777777" w:rsidR="00D40FC5" w:rsidRPr="00D40FC5" w:rsidRDefault="00D40FC5" w:rsidP="00D40FC5">
            <w:pPr>
              <w:widowControl w:val="0"/>
              <w:ind w:left="113" w:right="113"/>
              <w:jc w:val="center"/>
              <w:rPr>
                <w:rFonts w:eastAsia="Times New Roman" w:cs="Times New Roman"/>
                <w:b/>
                <w:sz w:val="24"/>
                <w:szCs w:val="24"/>
                <w:lang w:eastAsia="ru-RU"/>
              </w:rPr>
            </w:pPr>
            <w:r w:rsidRPr="00D40FC5">
              <w:rPr>
                <w:rFonts w:eastAsia="Times New Roman" w:cs="Times New Roman"/>
                <w:b/>
                <w:color w:val="080808"/>
                <w:sz w:val="24"/>
                <w:szCs w:val="24"/>
                <w:lang w:eastAsia="ru-RU"/>
              </w:rPr>
              <w:t>Groups, doses</w:t>
            </w:r>
          </w:p>
        </w:tc>
        <w:tc>
          <w:tcPr>
            <w:tcW w:w="1417" w:type="dxa"/>
            <w:textDirection w:val="btLr"/>
            <w:vAlign w:val="center"/>
          </w:tcPr>
          <w:p w14:paraId="5C53293F" w14:textId="77777777" w:rsidR="00D40FC5" w:rsidRPr="00D40FC5" w:rsidRDefault="00D40FC5" w:rsidP="00D40FC5">
            <w:pPr>
              <w:widowControl w:val="0"/>
              <w:ind w:left="113" w:right="113"/>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Leukocytes,</w:t>
            </w:r>
          </w:p>
          <w:p w14:paraId="7D624B98" w14:textId="77777777" w:rsidR="00D40FC5" w:rsidRPr="00D40FC5" w:rsidRDefault="00D40FC5" w:rsidP="00D40FC5">
            <w:pPr>
              <w:widowControl w:val="0"/>
              <w:ind w:left="113" w:right="113"/>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1 O9 /l</w:t>
            </w:r>
          </w:p>
          <w:p w14:paraId="3EFB1422" w14:textId="77777777" w:rsidR="00D40FC5" w:rsidRPr="00D40FC5" w:rsidRDefault="00D40FC5" w:rsidP="00D40FC5">
            <w:pPr>
              <w:widowControl w:val="0"/>
              <w:ind w:left="113" w:right="113"/>
              <w:jc w:val="center"/>
              <w:rPr>
                <w:rFonts w:eastAsia="Times New Roman" w:cs="Times New Roman"/>
                <w:b/>
                <w:sz w:val="24"/>
                <w:szCs w:val="24"/>
                <w:lang w:eastAsia="ru-RU"/>
              </w:rPr>
            </w:pPr>
            <w:r w:rsidRPr="00D40FC5">
              <w:rPr>
                <w:rFonts w:eastAsia="Times New Roman" w:cs="Times New Roman"/>
                <w:b/>
                <w:color w:val="080808"/>
                <w:sz w:val="24"/>
                <w:szCs w:val="24"/>
                <w:lang w:eastAsia="ru-RU"/>
              </w:rPr>
              <w:t>WBC</w:t>
            </w:r>
          </w:p>
        </w:tc>
        <w:tc>
          <w:tcPr>
            <w:tcW w:w="1276" w:type="dxa"/>
            <w:textDirection w:val="btLr"/>
            <w:vAlign w:val="center"/>
          </w:tcPr>
          <w:p w14:paraId="41403764" w14:textId="77777777" w:rsidR="00D40FC5" w:rsidRPr="00D40FC5" w:rsidRDefault="00D40FC5" w:rsidP="00D40FC5">
            <w:pPr>
              <w:widowControl w:val="0"/>
              <w:ind w:right="113" w:firstLine="9"/>
              <w:jc w:val="center"/>
              <w:rPr>
                <w:rFonts w:eastAsia="Times New Roman" w:cs="Times New Roman"/>
                <w:b/>
                <w:sz w:val="24"/>
                <w:szCs w:val="24"/>
                <w:lang w:eastAsia="ru-RU"/>
              </w:rPr>
            </w:pPr>
            <w:r w:rsidRPr="00D40FC5">
              <w:rPr>
                <w:rFonts w:eastAsia="Times New Roman" w:cs="Times New Roman"/>
                <w:b/>
                <w:color w:val="080808"/>
                <w:sz w:val="24"/>
                <w:szCs w:val="24"/>
                <w:lang w:eastAsia="ru-RU"/>
              </w:rPr>
              <w:t>Absolute content of lymphocytes, 109 /l</w:t>
            </w:r>
          </w:p>
        </w:tc>
        <w:tc>
          <w:tcPr>
            <w:tcW w:w="1276" w:type="dxa"/>
            <w:textDirection w:val="btLr"/>
            <w:vAlign w:val="center"/>
          </w:tcPr>
          <w:p w14:paraId="5799C567" w14:textId="1950E032" w:rsidR="00D40FC5" w:rsidRPr="00D40FC5" w:rsidRDefault="00D40FC5" w:rsidP="00D40FC5">
            <w:pPr>
              <w:widowControl w:val="0"/>
              <w:ind w:right="113" w:firstLine="10"/>
              <w:jc w:val="center"/>
              <w:rPr>
                <w:rFonts w:eastAsia="Times New Roman" w:cs="Times New Roman"/>
                <w:b/>
                <w:sz w:val="24"/>
                <w:szCs w:val="24"/>
                <w:lang w:eastAsia="ru-RU"/>
              </w:rPr>
            </w:pPr>
            <w:r w:rsidRPr="00D40FC5">
              <w:rPr>
                <w:rFonts w:eastAsia="Times New Roman" w:cs="Times New Roman"/>
                <w:b/>
                <w:color w:val="080808"/>
                <w:sz w:val="24"/>
                <w:szCs w:val="24"/>
                <w:lang w:eastAsia="ru-RU"/>
              </w:rPr>
              <w:t>Absolute content of a mixture of monocytes, basophils and eosonophils, 109/l</w:t>
            </w:r>
          </w:p>
        </w:tc>
        <w:tc>
          <w:tcPr>
            <w:tcW w:w="1276" w:type="dxa"/>
            <w:textDirection w:val="btLr"/>
            <w:vAlign w:val="center"/>
          </w:tcPr>
          <w:p w14:paraId="4136E499" w14:textId="44234D14" w:rsidR="00D40FC5" w:rsidRPr="00D40FC5" w:rsidRDefault="00D40FC5" w:rsidP="00D40FC5">
            <w:pPr>
              <w:widowControl w:val="0"/>
              <w:ind w:right="113" w:firstLine="15"/>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Number of granulocytes, 109/l</w:t>
            </w:r>
          </w:p>
        </w:tc>
        <w:tc>
          <w:tcPr>
            <w:tcW w:w="1275" w:type="dxa"/>
            <w:textDirection w:val="btLr"/>
            <w:vAlign w:val="center"/>
          </w:tcPr>
          <w:p w14:paraId="71EC95CC" w14:textId="77777777" w:rsidR="00D40FC5" w:rsidRPr="00D40FC5" w:rsidRDefault="00D40FC5" w:rsidP="00D40FC5">
            <w:pPr>
              <w:widowControl w:val="0"/>
              <w:ind w:left="113" w:right="113"/>
              <w:jc w:val="center"/>
              <w:rPr>
                <w:rFonts w:eastAsia="Times New Roman" w:cs="Times New Roman"/>
                <w:b/>
                <w:sz w:val="24"/>
                <w:szCs w:val="24"/>
                <w:lang w:eastAsia="ru-RU"/>
              </w:rPr>
            </w:pPr>
            <w:r w:rsidRPr="00D40FC5">
              <w:rPr>
                <w:rFonts w:eastAsia="Times New Roman" w:cs="Times New Roman"/>
                <w:b/>
                <w:color w:val="080808"/>
                <w:sz w:val="24"/>
                <w:szCs w:val="24"/>
                <w:lang w:eastAsia="ru-RU"/>
              </w:rPr>
              <w:t>Hemoglobin, g/l</w:t>
            </w:r>
          </w:p>
        </w:tc>
        <w:tc>
          <w:tcPr>
            <w:tcW w:w="1276" w:type="dxa"/>
            <w:textDirection w:val="btLr"/>
            <w:vAlign w:val="center"/>
          </w:tcPr>
          <w:p w14:paraId="1C3BB99C" w14:textId="77777777" w:rsidR="00D40FC5" w:rsidRPr="00D40FC5" w:rsidRDefault="00D40FC5" w:rsidP="00D40FC5">
            <w:pPr>
              <w:widowControl w:val="0"/>
              <w:ind w:right="113" w:hanging="6"/>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Erythrocytes, g/l</w:t>
            </w:r>
          </w:p>
          <w:p w14:paraId="3A4C4AF2" w14:textId="77777777" w:rsidR="00D40FC5" w:rsidRPr="00D40FC5" w:rsidRDefault="00D40FC5" w:rsidP="00D40FC5">
            <w:pPr>
              <w:widowControl w:val="0"/>
              <w:ind w:left="113" w:right="113"/>
              <w:jc w:val="center"/>
              <w:rPr>
                <w:rFonts w:eastAsia="Times New Roman" w:cs="Times New Roman"/>
                <w:b/>
                <w:sz w:val="24"/>
                <w:szCs w:val="24"/>
                <w:lang w:eastAsia="ru-RU"/>
              </w:rPr>
            </w:pPr>
            <w:r w:rsidRPr="00D40FC5">
              <w:rPr>
                <w:rFonts w:eastAsia="Times New Roman" w:cs="Times New Roman"/>
                <w:b/>
                <w:color w:val="080808"/>
                <w:sz w:val="24"/>
                <w:szCs w:val="24"/>
                <w:lang w:eastAsia="ru-RU"/>
              </w:rPr>
              <w:t>RBC</w:t>
            </w:r>
          </w:p>
        </w:tc>
        <w:tc>
          <w:tcPr>
            <w:tcW w:w="1322" w:type="dxa"/>
            <w:textDirection w:val="btLr"/>
            <w:vAlign w:val="center"/>
          </w:tcPr>
          <w:p w14:paraId="1BE40560" w14:textId="77777777" w:rsidR="00D40FC5" w:rsidRPr="00D40FC5" w:rsidRDefault="00D40FC5" w:rsidP="00D40FC5">
            <w:pPr>
              <w:widowControl w:val="0"/>
              <w:ind w:right="113" w:firstLine="5"/>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Hematocrit, % No</w:t>
            </w:r>
          </w:p>
        </w:tc>
        <w:tc>
          <w:tcPr>
            <w:tcW w:w="1237" w:type="dxa"/>
            <w:textDirection w:val="btLr"/>
            <w:vAlign w:val="center"/>
          </w:tcPr>
          <w:p w14:paraId="15AEF717" w14:textId="77777777" w:rsidR="00D40FC5" w:rsidRPr="00D40FC5" w:rsidRDefault="00D40FC5" w:rsidP="00D40FC5">
            <w:pPr>
              <w:widowControl w:val="0"/>
              <w:ind w:right="113" w:hanging="5"/>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The average concentration of hemoglobin in the erythrocyte</w:t>
            </w:r>
          </w:p>
          <w:p w14:paraId="50DE8194" w14:textId="4268EE72" w:rsidR="00D40FC5" w:rsidRPr="00D40FC5" w:rsidRDefault="00D40FC5" w:rsidP="00275B12">
            <w:pPr>
              <w:widowControl w:val="0"/>
              <w:ind w:right="113" w:hanging="5"/>
              <w:jc w:val="center"/>
              <w:rPr>
                <w:rFonts w:eastAsia="Times New Roman" w:cs="Times New Roman"/>
                <w:b/>
                <w:sz w:val="24"/>
                <w:szCs w:val="24"/>
                <w:lang w:eastAsia="ru-RU"/>
              </w:rPr>
            </w:pPr>
            <w:r w:rsidRPr="00D40FC5">
              <w:rPr>
                <w:rFonts w:eastAsia="Times New Roman" w:cs="Times New Roman"/>
                <w:b/>
                <w:color w:val="080808"/>
                <w:sz w:val="24"/>
                <w:szCs w:val="24"/>
                <w:lang w:eastAsia="ru-RU"/>
              </w:rPr>
              <w:t>g/l</w:t>
            </w:r>
            <w:r w:rsidR="00275B12">
              <w:rPr>
                <w:rFonts w:eastAsia="Times New Roman" w:cs="Times New Roman"/>
                <w:b/>
                <w:color w:val="080808"/>
                <w:sz w:val="24"/>
                <w:szCs w:val="24"/>
                <w:lang w:val="ru-RU" w:eastAsia="ru-RU"/>
              </w:rPr>
              <w:t xml:space="preserve"> </w:t>
            </w:r>
            <w:r w:rsidRPr="00D40FC5">
              <w:rPr>
                <w:rFonts w:eastAsia="Times New Roman" w:cs="Times New Roman"/>
                <w:b/>
                <w:color w:val="080808"/>
                <w:sz w:val="24"/>
                <w:szCs w:val="24"/>
                <w:lang w:eastAsia="ru-RU"/>
              </w:rPr>
              <w:t>less</w:t>
            </w:r>
          </w:p>
        </w:tc>
        <w:tc>
          <w:tcPr>
            <w:tcW w:w="1487" w:type="dxa"/>
            <w:textDirection w:val="btLr"/>
            <w:vAlign w:val="center"/>
          </w:tcPr>
          <w:p w14:paraId="031DDB05" w14:textId="77777777" w:rsidR="00D40FC5" w:rsidRPr="00D40FC5" w:rsidRDefault="00D40FC5" w:rsidP="00D40FC5">
            <w:pPr>
              <w:widowControl w:val="0"/>
              <w:ind w:right="113" w:hanging="8"/>
              <w:jc w:val="center"/>
              <w:rPr>
                <w:rFonts w:eastAsia="Times New Roman" w:cs="Times New Roman"/>
                <w:b/>
                <w:sz w:val="24"/>
                <w:szCs w:val="24"/>
                <w:lang w:eastAsia="ru-RU"/>
              </w:rPr>
            </w:pPr>
            <w:r w:rsidRPr="00D40FC5">
              <w:rPr>
                <w:rFonts w:eastAsia="Times New Roman" w:cs="Times New Roman"/>
                <w:b/>
                <w:color w:val="080808"/>
                <w:sz w:val="24"/>
                <w:szCs w:val="24"/>
                <w:lang w:eastAsia="ru-RU"/>
              </w:rPr>
              <w:t>Platelets in absolute numbers, 109/L PLT</w:t>
            </w:r>
          </w:p>
        </w:tc>
        <w:tc>
          <w:tcPr>
            <w:tcW w:w="1363" w:type="dxa"/>
            <w:textDirection w:val="btLr"/>
            <w:vAlign w:val="center"/>
          </w:tcPr>
          <w:p w14:paraId="2B67F089" w14:textId="77777777" w:rsidR="00D40FC5" w:rsidRPr="00D40FC5" w:rsidRDefault="00D40FC5" w:rsidP="00D40FC5">
            <w:pPr>
              <w:widowControl w:val="0"/>
              <w:ind w:left="113" w:right="113"/>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thrombocrit,</w:t>
            </w:r>
          </w:p>
          <w:p w14:paraId="4D838792" w14:textId="77777777" w:rsidR="00D40FC5" w:rsidRPr="00D40FC5" w:rsidRDefault="00D40FC5" w:rsidP="00D40FC5">
            <w:pPr>
              <w:widowControl w:val="0"/>
              <w:ind w:left="113" w:right="113"/>
              <w:jc w:val="center"/>
              <w:rPr>
                <w:rFonts w:eastAsia="Times New Roman" w:cs="Times New Roman"/>
                <w:b/>
                <w:color w:val="080808"/>
                <w:sz w:val="24"/>
                <w:szCs w:val="24"/>
                <w:lang w:eastAsia="ru-RU"/>
              </w:rPr>
            </w:pPr>
            <w:r w:rsidRPr="00D40FC5">
              <w:rPr>
                <w:rFonts w:eastAsia="Times New Roman" w:cs="Times New Roman"/>
                <w:b/>
                <w:color w:val="080808"/>
                <w:sz w:val="24"/>
                <w:szCs w:val="24"/>
                <w:lang w:eastAsia="ru-RU"/>
              </w:rPr>
              <w:t>% PCT</w:t>
            </w:r>
          </w:p>
        </w:tc>
      </w:tr>
      <w:tr w:rsidR="00275B12" w:rsidRPr="00D40FC5" w14:paraId="30893752" w14:textId="77777777" w:rsidTr="003121E9">
        <w:trPr>
          <w:trHeight w:val="504"/>
          <w:jc w:val="center"/>
        </w:trPr>
        <w:tc>
          <w:tcPr>
            <w:tcW w:w="1276" w:type="dxa"/>
            <w:vAlign w:val="center"/>
          </w:tcPr>
          <w:p w14:paraId="4E9D174E" w14:textId="77777777" w:rsidR="00D40FC5" w:rsidRPr="00D40FC5" w:rsidRDefault="00D40FC5" w:rsidP="003121E9">
            <w:pPr>
              <w:widowControl w:val="0"/>
              <w:spacing w:before="120" w:after="120"/>
              <w:ind w:firstLine="14"/>
              <w:jc w:val="center"/>
              <w:rPr>
                <w:rFonts w:eastAsia="Times New Roman" w:cs="Times New Roman"/>
                <w:b/>
                <w:sz w:val="24"/>
                <w:szCs w:val="24"/>
                <w:lang w:eastAsia="ru-RU"/>
              </w:rPr>
            </w:pPr>
            <w:r w:rsidRPr="00D40FC5">
              <w:rPr>
                <w:rFonts w:eastAsia="Times New Roman" w:cs="Times New Roman"/>
                <w:b/>
                <w:color w:val="080808"/>
                <w:sz w:val="24"/>
                <w:szCs w:val="24"/>
                <w:lang w:eastAsia="ru-RU"/>
              </w:rPr>
              <w:t>Control (intact)</w:t>
            </w:r>
          </w:p>
        </w:tc>
        <w:tc>
          <w:tcPr>
            <w:tcW w:w="1417" w:type="dxa"/>
            <w:vAlign w:val="center"/>
          </w:tcPr>
          <w:p w14:paraId="7B93F4E8"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1 4</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95±1,11</w:t>
            </w:r>
          </w:p>
        </w:tc>
        <w:tc>
          <w:tcPr>
            <w:tcW w:w="1276" w:type="dxa"/>
            <w:vAlign w:val="center"/>
          </w:tcPr>
          <w:p w14:paraId="762765DC"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6,5±0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43</w:t>
            </w:r>
          </w:p>
        </w:tc>
        <w:tc>
          <w:tcPr>
            <w:tcW w:w="1276" w:type="dxa"/>
            <w:vAlign w:val="center"/>
          </w:tcPr>
          <w:p w14:paraId="607B933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2,67±0,28</w:t>
            </w:r>
          </w:p>
        </w:tc>
        <w:tc>
          <w:tcPr>
            <w:tcW w:w="1276" w:type="dxa"/>
            <w:vAlign w:val="center"/>
          </w:tcPr>
          <w:p w14:paraId="7FCCA82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5,2±0,40</w:t>
            </w:r>
          </w:p>
        </w:tc>
        <w:tc>
          <w:tcPr>
            <w:tcW w:w="1275" w:type="dxa"/>
            <w:vAlign w:val="center"/>
          </w:tcPr>
          <w:p w14:paraId="695B0ECB"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139,3±5,45</w:t>
            </w:r>
          </w:p>
        </w:tc>
        <w:tc>
          <w:tcPr>
            <w:tcW w:w="1276" w:type="dxa"/>
            <w:vAlign w:val="center"/>
          </w:tcPr>
          <w:p w14:paraId="6553780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57±0, 27</w:t>
            </w:r>
          </w:p>
        </w:tc>
        <w:tc>
          <w:tcPr>
            <w:tcW w:w="1322" w:type="dxa"/>
            <w:vAlign w:val="center"/>
          </w:tcPr>
          <w:p w14:paraId="4E31AA05"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38,37±1,59</w:t>
            </w:r>
          </w:p>
        </w:tc>
        <w:tc>
          <w:tcPr>
            <w:tcW w:w="1237" w:type="dxa"/>
            <w:vAlign w:val="center"/>
          </w:tcPr>
          <w:p w14:paraId="62546219"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365,8±5,66</w:t>
            </w:r>
          </w:p>
        </w:tc>
        <w:tc>
          <w:tcPr>
            <w:tcW w:w="1487" w:type="dxa"/>
            <w:vAlign w:val="center"/>
          </w:tcPr>
          <w:p w14:paraId="5A444294"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619,7±45,65</w:t>
            </w:r>
          </w:p>
        </w:tc>
        <w:tc>
          <w:tcPr>
            <w:tcW w:w="1363" w:type="dxa"/>
            <w:vAlign w:val="center"/>
          </w:tcPr>
          <w:p w14:paraId="07BB1E6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560±0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06</w:t>
            </w:r>
          </w:p>
        </w:tc>
      </w:tr>
      <w:tr w:rsidR="00275B12" w:rsidRPr="00D40FC5" w14:paraId="294D8D66" w14:textId="77777777" w:rsidTr="003121E9">
        <w:trPr>
          <w:trHeight w:val="430"/>
          <w:jc w:val="center"/>
        </w:trPr>
        <w:tc>
          <w:tcPr>
            <w:tcW w:w="1276" w:type="dxa"/>
            <w:vAlign w:val="center"/>
          </w:tcPr>
          <w:p w14:paraId="1F4EA97E" w14:textId="77777777" w:rsidR="00D40FC5" w:rsidRPr="00D40FC5" w:rsidRDefault="00D40FC5" w:rsidP="003121E9">
            <w:pPr>
              <w:widowControl w:val="0"/>
              <w:spacing w:before="120" w:after="120"/>
              <w:jc w:val="center"/>
              <w:rPr>
                <w:rFonts w:eastAsia="Times New Roman" w:cs="Times New Roman"/>
                <w:b/>
                <w:sz w:val="24"/>
                <w:szCs w:val="24"/>
                <w:lang w:eastAsia="ru-RU"/>
              </w:rPr>
            </w:pPr>
            <w:r w:rsidRPr="00D40FC5">
              <w:rPr>
                <w:rFonts w:eastAsia="Times New Roman" w:cs="Times New Roman"/>
                <w:b/>
                <w:color w:val="080808"/>
                <w:sz w:val="24"/>
                <w:szCs w:val="24"/>
                <w:lang w:eastAsia="ru-RU"/>
              </w:rPr>
              <w:t>500 mg/kg</w:t>
            </w:r>
          </w:p>
        </w:tc>
        <w:tc>
          <w:tcPr>
            <w:tcW w:w="1417" w:type="dxa"/>
            <w:vAlign w:val="center"/>
          </w:tcPr>
          <w:p w14:paraId="6668A19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13,93±1,02</w:t>
            </w:r>
          </w:p>
        </w:tc>
        <w:tc>
          <w:tcPr>
            <w:tcW w:w="1276" w:type="dxa"/>
            <w:vAlign w:val="center"/>
          </w:tcPr>
          <w:p w14:paraId="69C98697"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30±0,51</w:t>
            </w:r>
          </w:p>
        </w:tc>
        <w:tc>
          <w:tcPr>
            <w:tcW w:w="1276" w:type="dxa"/>
            <w:vAlign w:val="center"/>
          </w:tcPr>
          <w:p w14:paraId="0FFDDBEC"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2,70±0,35</w:t>
            </w:r>
          </w:p>
        </w:tc>
        <w:tc>
          <w:tcPr>
            <w:tcW w:w="1276" w:type="dxa"/>
            <w:vAlign w:val="center"/>
          </w:tcPr>
          <w:p w14:paraId="7AAC995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5,30±0,47</w:t>
            </w:r>
          </w:p>
        </w:tc>
        <w:tc>
          <w:tcPr>
            <w:tcW w:w="1275" w:type="dxa"/>
            <w:vAlign w:val="center"/>
          </w:tcPr>
          <w:p w14:paraId="1B77B397"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132,5±5,43</w:t>
            </w:r>
          </w:p>
        </w:tc>
        <w:tc>
          <w:tcPr>
            <w:tcW w:w="1276" w:type="dxa"/>
            <w:vAlign w:val="center"/>
          </w:tcPr>
          <w:p w14:paraId="33ABF07D"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6,48±0,31</w:t>
            </w:r>
          </w:p>
        </w:tc>
        <w:tc>
          <w:tcPr>
            <w:tcW w:w="1322" w:type="dxa"/>
            <w:vAlign w:val="center"/>
          </w:tcPr>
          <w:p w14:paraId="38A910B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37,03±1,74</w:t>
            </w:r>
          </w:p>
        </w:tc>
        <w:tc>
          <w:tcPr>
            <w:tcW w:w="1237" w:type="dxa"/>
            <w:vAlign w:val="center"/>
          </w:tcPr>
          <w:p w14:paraId="553E543F"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365±5,56</w:t>
            </w:r>
          </w:p>
        </w:tc>
        <w:tc>
          <w:tcPr>
            <w:tcW w:w="1487" w:type="dxa"/>
            <w:vAlign w:val="center"/>
          </w:tcPr>
          <w:p w14:paraId="5FDB1F9C"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564</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17±46,2</w:t>
            </w:r>
          </w:p>
        </w:tc>
        <w:tc>
          <w:tcPr>
            <w:tcW w:w="1363" w:type="dxa"/>
            <w:vAlign w:val="center"/>
          </w:tcPr>
          <w:p w14:paraId="05911133"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0.560±0.05</w:t>
            </w:r>
          </w:p>
        </w:tc>
      </w:tr>
      <w:tr w:rsidR="00275B12" w:rsidRPr="00D40FC5" w14:paraId="17520436" w14:textId="77777777" w:rsidTr="003121E9">
        <w:trPr>
          <w:trHeight w:val="438"/>
          <w:jc w:val="center"/>
        </w:trPr>
        <w:tc>
          <w:tcPr>
            <w:tcW w:w="1276" w:type="dxa"/>
            <w:vAlign w:val="center"/>
          </w:tcPr>
          <w:p w14:paraId="7E710B69" w14:textId="77777777" w:rsidR="00D40FC5" w:rsidRPr="00D40FC5" w:rsidRDefault="00D40FC5" w:rsidP="003121E9">
            <w:pPr>
              <w:widowControl w:val="0"/>
              <w:spacing w:before="120" w:after="120"/>
              <w:jc w:val="center"/>
              <w:rPr>
                <w:rFonts w:eastAsia="Times New Roman" w:cs="Times New Roman"/>
                <w:b/>
                <w:sz w:val="24"/>
                <w:szCs w:val="24"/>
                <w:lang w:eastAsia="ru-RU"/>
              </w:rPr>
            </w:pPr>
            <w:r w:rsidRPr="00D40FC5">
              <w:rPr>
                <w:rFonts w:eastAsia="Times New Roman" w:cs="Times New Roman"/>
                <w:b/>
                <w:color w:val="080808"/>
                <w:sz w:val="24"/>
                <w:szCs w:val="24"/>
                <w:lang w:eastAsia="ru-RU"/>
              </w:rPr>
              <w:t>5000 mg/kg</w:t>
            </w:r>
          </w:p>
        </w:tc>
        <w:tc>
          <w:tcPr>
            <w:tcW w:w="1417" w:type="dxa"/>
            <w:vAlign w:val="center"/>
          </w:tcPr>
          <w:p w14:paraId="281F84D8"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14,0± 1,06</w:t>
            </w:r>
          </w:p>
        </w:tc>
        <w:tc>
          <w:tcPr>
            <w:tcW w:w="1276" w:type="dxa"/>
            <w:vAlign w:val="center"/>
          </w:tcPr>
          <w:p w14:paraId="6F0EE6A4"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6,40±0,61</w:t>
            </w:r>
          </w:p>
        </w:tc>
        <w:tc>
          <w:tcPr>
            <w:tcW w:w="1276" w:type="dxa"/>
            <w:vAlign w:val="center"/>
          </w:tcPr>
          <w:p w14:paraId="5501CB69"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2</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62±0,33</w:t>
            </w:r>
          </w:p>
        </w:tc>
        <w:tc>
          <w:tcPr>
            <w:tcW w:w="1276" w:type="dxa"/>
            <w:vAlign w:val="center"/>
          </w:tcPr>
          <w:p w14:paraId="38BDBBEF"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5,37±0,44</w:t>
            </w:r>
          </w:p>
        </w:tc>
        <w:tc>
          <w:tcPr>
            <w:tcW w:w="1275" w:type="dxa"/>
            <w:vAlign w:val="center"/>
          </w:tcPr>
          <w:p w14:paraId="5B7E3043"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142,2±5,46</w:t>
            </w:r>
          </w:p>
        </w:tc>
        <w:tc>
          <w:tcPr>
            <w:tcW w:w="1276" w:type="dxa"/>
            <w:vAlign w:val="center"/>
          </w:tcPr>
          <w:p w14:paraId="2AF93545"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49±0,35</w:t>
            </w:r>
          </w:p>
        </w:tc>
        <w:tc>
          <w:tcPr>
            <w:tcW w:w="1322" w:type="dxa"/>
            <w:vAlign w:val="center"/>
          </w:tcPr>
          <w:p w14:paraId="23B0BAB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37,6±1,60</w:t>
            </w:r>
          </w:p>
        </w:tc>
        <w:tc>
          <w:tcPr>
            <w:tcW w:w="1237" w:type="dxa"/>
            <w:vAlign w:val="center"/>
          </w:tcPr>
          <w:p w14:paraId="175AADB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357±5,82</w:t>
            </w:r>
          </w:p>
        </w:tc>
        <w:tc>
          <w:tcPr>
            <w:tcW w:w="1487" w:type="dxa"/>
            <w:vAlign w:val="center"/>
          </w:tcPr>
          <w:p w14:paraId="71AA241B"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569,2±50</w:t>
            </w:r>
          </w:p>
        </w:tc>
        <w:tc>
          <w:tcPr>
            <w:tcW w:w="1363" w:type="dxa"/>
            <w:vAlign w:val="center"/>
          </w:tcPr>
          <w:p w14:paraId="2FFCFBBB"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550±0.05</w:t>
            </w:r>
          </w:p>
        </w:tc>
      </w:tr>
      <w:tr w:rsidR="00275B12" w:rsidRPr="00D40FC5" w14:paraId="075B7760" w14:textId="77777777" w:rsidTr="003121E9">
        <w:trPr>
          <w:trHeight w:val="514"/>
          <w:jc w:val="center"/>
        </w:trPr>
        <w:tc>
          <w:tcPr>
            <w:tcW w:w="1276" w:type="dxa"/>
            <w:vAlign w:val="center"/>
          </w:tcPr>
          <w:p w14:paraId="0A7C08E1" w14:textId="77777777" w:rsidR="00D40FC5" w:rsidRPr="00D40FC5" w:rsidRDefault="00D40FC5" w:rsidP="003121E9">
            <w:pPr>
              <w:widowControl w:val="0"/>
              <w:spacing w:before="120" w:after="120"/>
              <w:jc w:val="center"/>
              <w:rPr>
                <w:rFonts w:eastAsia="Times New Roman" w:cs="Times New Roman"/>
                <w:b/>
                <w:sz w:val="24"/>
                <w:szCs w:val="24"/>
                <w:lang w:eastAsia="ru-RU"/>
              </w:rPr>
            </w:pPr>
            <w:r w:rsidRPr="00D40FC5">
              <w:rPr>
                <w:rFonts w:eastAsia="Times New Roman" w:cs="Times New Roman"/>
                <w:b/>
                <w:color w:val="080808"/>
                <w:sz w:val="24"/>
                <w:szCs w:val="24"/>
                <w:lang w:eastAsia="ru-RU"/>
              </w:rPr>
              <w:t>10000 mg/kg</w:t>
            </w:r>
          </w:p>
        </w:tc>
        <w:tc>
          <w:tcPr>
            <w:tcW w:w="1417" w:type="dxa"/>
            <w:vAlign w:val="center"/>
          </w:tcPr>
          <w:p w14:paraId="494783C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 4.47±1</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1 5</w:t>
            </w:r>
          </w:p>
        </w:tc>
        <w:tc>
          <w:tcPr>
            <w:tcW w:w="1276" w:type="dxa"/>
            <w:vAlign w:val="center"/>
          </w:tcPr>
          <w:p w14:paraId="56E77C52"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6,50±0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47</w:t>
            </w:r>
          </w:p>
        </w:tc>
        <w:tc>
          <w:tcPr>
            <w:tcW w:w="1276" w:type="dxa"/>
            <w:vAlign w:val="center"/>
          </w:tcPr>
          <w:p w14:paraId="4E2E5060"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2,52±0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20</w:t>
            </w:r>
          </w:p>
        </w:tc>
        <w:tc>
          <w:tcPr>
            <w:tcW w:w="1276" w:type="dxa"/>
            <w:vAlign w:val="center"/>
          </w:tcPr>
          <w:p w14:paraId="1FD1F3E5"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5,22±0,50</w:t>
            </w:r>
          </w:p>
        </w:tc>
        <w:tc>
          <w:tcPr>
            <w:tcW w:w="1275" w:type="dxa"/>
            <w:vAlign w:val="center"/>
          </w:tcPr>
          <w:p w14:paraId="6AC4C1D3"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130,7±5,26</w:t>
            </w:r>
          </w:p>
        </w:tc>
        <w:tc>
          <w:tcPr>
            <w:tcW w:w="1276" w:type="dxa"/>
            <w:vAlign w:val="center"/>
          </w:tcPr>
          <w:p w14:paraId="22A654FE"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5.82±0,43</w:t>
            </w:r>
          </w:p>
        </w:tc>
        <w:tc>
          <w:tcPr>
            <w:tcW w:w="1322" w:type="dxa"/>
            <w:vAlign w:val="center"/>
          </w:tcPr>
          <w:p w14:paraId="5C155128"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37,62±1</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17</w:t>
            </w:r>
          </w:p>
        </w:tc>
        <w:tc>
          <w:tcPr>
            <w:tcW w:w="1237" w:type="dxa"/>
            <w:vAlign w:val="center"/>
          </w:tcPr>
          <w:p w14:paraId="6E137313"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364</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2±5,54</w:t>
            </w:r>
          </w:p>
        </w:tc>
        <w:tc>
          <w:tcPr>
            <w:tcW w:w="1487" w:type="dxa"/>
            <w:vAlign w:val="center"/>
          </w:tcPr>
          <w:p w14:paraId="3720A603"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620</w:t>
            </w:r>
            <w:r w:rsidRPr="00D40FC5">
              <w:rPr>
                <w:rFonts w:eastAsia="Times New Roman" w:cs="Times New Roman"/>
                <w:color w:val="232323"/>
                <w:sz w:val="24"/>
                <w:szCs w:val="24"/>
                <w:lang w:eastAsia="ru-RU"/>
              </w:rPr>
              <w:t>.</w:t>
            </w:r>
            <w:r w:rsidRPr="00D40FC5">
              <w:rPr>
                <w:rFonts w:eastAsia="Times New Roman" w:cs="Times New Roman"/>
                <w:color w:val="080808"/>
                <w:sz w:val="24"/>
                <w:szCs w:val="24"/>
                <w:lang w:eastAsia="ru-RU"/>
              </w:rPr>
              <w:t>67±45.65</w:t>
            </w:r>
          </w:p>
        </w:tc>
        <w:tc>
          <w:tcPr>
            <w:tcW w:w="1363" w:type="dxa"/>
            <w:vAlign w:val="center"/>
          </w:tcPr>
          <w:p w14:paraId="0362FB9D" w14:textId="77777777" w:rsidR="00D40FC5" w:rsidRPr="00D40FC5" w:rsidRDefault="00D40FC5" w:rsidP="003121E9">
            <w:pPr>
              <w:widowControl w:val="0"/>
              <w:spacing w:before="120" w:after="120"/>
              <w:ind w:left="-57" w:right="-57"/>
              <w:jc w:val="center"/>
              <w:rPr>
                <w:rFonts w:eastAsia="Times New Roman" w:cs="Times New Roman"/>
                <w:sz w:val="24"/>
                <w:szCs w:val="24"/>
                <w:lang w:eastAsia="ru-RU"/>
              </w:rPr>
            </w:pPr>
            <w:r w:rsidRPr="00D40FC5">
              <w:rPr>
                <w:rFonts w:eastAsia="Times New Roman" w:cs="Times New Roman"/>
                <w:color w:val="080808"/>
                <w:sz w:val="24"/>
                <w:szCs w:val="24"/>
                <w:lang w:eastAsia="ru-RU"/>
              </w:rPr>
              <w:t>0.570±0.04</w:t>
            </w:r>
          </w:p>
        </w:tc>
      </w:tr>
    </w:tbl>
    <w:p w14:paraId="6E744C7A" w14:textId="7EA6C5E0" w:rsidR="002A01E7" w:rsidRDefault="002A01E7" w:rsidP="00D40FC5">
      <w:pPr>
        <w:spacing w:line="276" w:lineRule="auto"/>
        <w:jc w:val="both"/>
        <w:rPr>
          <w:rFonts w:cs="Times New Roman"/>
          <w:sz w:val="24"/>
          <w:szCs w:val="24"/>
          <w:lang w:val="uz-Latn-UZ"/>
        </w:rPr>
      </w:pPr>
    </w:p>
    <w:p w14:paraId="70B83929" w14:textId="77777777" w:rsidR="00231132" w:rsidRDefault="00231132" w:rsidP="0046301E">
      <w:pPr>
        <w:spacing w:line="276" w:lineRule="auto"/>
        <w:ind w:firstLine="567"/>
        <w:jc w:val="both"/>
        <w:rPr>
          <w:rFonts w:cs="Times New Roman"/>
          <w:sz w:val="24"/>
          <w:szCs w:val="24"/>
          <w:lang w:val="uz-Latn-UZ"/>
        </w:rPr>
        <w:sectPr w:rsidR="00231132" w:rsidSect="00D40FC5">
          <w:pgSz w:w="16840" w:h="11907" w:orient="landscape" w:code="9"/>
          <w:pgMar w:top="1134" w:right="1418" w:bottom="1134" w:left="1134" w:header="907" w:footer="794" w:gutter="0"/>
          <w:cols w:space="708"/>
          <w:docGrid w:linePitch="381"/>
        </w:sectPr>
      </w:pPr>
    </w:p>
    <w:p w14:paraId="279DA90B" w14:textId="2DFB9855" w:rsidR="00DA1F40" w:rsidRPr="00DA1F40" w:rsidRDefault="00DA1F40" w:rsidP="00DA1F40">
      <w:pPr>
        <w:spacing w:line="276" w:lineRule="auto"/>
        <w:ind w:firstLine="567"/>
        <w:jc w:val="right"/>
        <w:rPr>
          <w:rFonts w:cs="Times New Roman"/>
          <w:b/>
          <w:bCs/>
          <w:i/>
          <w:iCs/>
          <w:sz w:val="24"/>
          <w:szCs w:val="24"/>
          <w:lang w:val="uz-Latn-UZ"/>
        </w:rPr>
      </w:pPr>
      <w:r w:rsidRPr="00DA1F40">
        <w:rPr>
          <w:rFonts w:cs="Times New Roman"/>
          <w:b/>
          <w:bCs/>
          <w:i/>
          <w:iCs/>
          <w:sz w:val="24"/>
          <w:szCs w:val="24"/>
          <w:lang w:val="uz-Latn-UZ"/>
        </w:rPr>
        <w:lastRenderedPageBreak/>
        <w:t>Table 2.</w:t>
      </w:r>
    </w:p>
    <w:p w14:paraId="666AC30A" w14:textId="77777777" w:rsidR="00DA1F40" w:rsidRPr="00DA1F40" w:rsidRDefault="00DA1F40" w:rsidP="00DA1F40">
      <w:pPr>
        <w:spacing w:line="276" w:lineRule="auto"/>
        <w:ind w:firstLine="567"/>
        <w:jc w:val="both"/>
        <w:rPr>
          <w:rFonts w:cs="Times New Roman"/>
          <w:sz w:val="24"/>
          <w:szCs w:val="24"/>
          <w:lang w:val="uz-Latn-UZ"/>
        </w:rPr>
      </w:pPr>
    </w:p>
    <w:p w14:paraId="6BF6C714" w14:textId="1BD0BB7D" w:rsidR="002A01E7" w:rsidRPr="00DA1F40" w:rsidRDefault="00DA1F40" w:rsidP="00DA1F40">
      <w:pPr>
        <w:spacing w:line="276" w:lineRule="auto"/>
        <w:jc w:val="center"/>
        <w:rPr>
          <w:rFonts w:cs="Times New Roman"/>
          <w:b/>
          <w:bCs/>
          <w:sz w:val="24"/>
          <w:szCs w:val="24"/>
          <w:lang w:val="uz-Latn-UZ"/>
        </w:rPr>
      </w:pPr>
      <w:r w:rsidRPr="00DA1F40">
        <w:rPr>
          <w:rFonts w:cs="Times New Roman"/>
          <w:b/>
          <w:bCs/>
          <w:sz w:val="24"/>
          <w:szCs w:val="24"/>
          <w:lang w:val="uz-Latn-UZ"/>
        </w:rPr>
        <w:t>Biochemical parameters of the blood of rats after 30 days of feeding boiled sausage and diet sausages produced by Rozmetov LLC</w:t>
      </w:r>
      <w:r w:rsidRPr="00DA1F40">
        <w:rPr>
          <w:rFonts w:cs="Times New Roman"/>
          <w:b/>
          <w:bCs/>
          <w:sz w:val="24"/>
          <w:szCs w:val="24"/>
        </w:rPr>
        <w:t xml:space="preserve"> </w:t>
      </w:r>
      <w:r w:rsidRPr="00DA1F40">
        <w:rPr>
          <w:rFonts w:cs="Times New Roman"/>
          <w:b/>
          <w:bCs/>
          <w:sz w:val="24"/>
          <w:szCs w:val="24"/>
          <w:lang w:val="uz-Latn-UZ"/>
        </w:rPr>
        <w:t>(Uzbekistan) at doses of 500, 5000 and 10000 mr/kr</w:t>
      </w:r>
    </w:p>
    <w:p w14:paraId="3E8CAE4E" w14:textId="3607CC2A" w:rsidR="002A01E7" w:rsidRDefault="002A01E7" w:rsidP="0046301E">
      <w:pPr>
        <w:spacing w:line="276" w:lineRule="auto"/>
        <w:ind w:firstLine="567"/>
        <w:jc w:val="both"/>
        <w:rPr>
          <w:rFonts w:cs="Times New Roman"/>
          <w:sz w:val="24"/>
          <w:szCs w:val="24"/>
          <w:lang w:val="uz-Latn-UZ"/>
        </w:rPr>
      </w:pPr>
    </w:p>
    <w:tbl>
      <w:tblPr>
        <w:tblW w:w="96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59"/>
        <w:gridCol w:w="1418"/>
        <w:gridCol w:w="1559"/>
        <w:gridCol w:w="1559"/>
        <w:gridCol w:w="1276"/>
        <w:gridCol w:w="1134"/>
        <w:gridCol w:w="1160"/>
      </w:tblGrid>
      <w:tr w:rsidR="00231132" w:rsidRPr="00DA1F40" w14:paraId="065B4D45" w14:textId="77777777" w:rsidTr="00231132">
        <w:trPr>
          <w:cantSplit/>
          <w:trHeight w:val="3243"/>
          <w:jc w:val="center"/>
        </w:trPr>
        <w:tc>
          <w:tcPr>
            <w:tcW w:w="1559" w:type="dxa"/>
            <w:textDirection w:val="btLr"/>
            <w:vAlign w:val="center"/>
          </w:tcPr>
          <w:p w14:paraId="7BE4FD71"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Groups, doses</w:t>
            </w:r>
          </w:p>
        </w:tc>
        <w:tc>
          <w:tcPr>
            <w:tcW w:w="1418" w:type="dxa"/>
            <w:textDirection w:val="btLr"/>
            <w:vAlign w:val="center"/>
          </w:tcPr>
          <w:p w14:paraId="1ADBD8DB"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Alanine aminotransferase activity, ALT, U/l (at 37°C)</w:t>
            </w:r>
          </w:p>
        </w:tc>
        <w:tc>
          <w:tcPr>
            <w:tcW w:w="1559" w:type="dxa"/>
            <w:textDirection w:val="btLr"/>
            <w:vAlign w:val="center"/>
          </w:tcPr>
          <w:p w14:paraId="7F1B0652"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Aspartate aminotransferase activity, AST, U/L (at 37°С)</w:t>
            </w:r>
          </w:p>
        </w:tc>
        <w:tc>
          <w:tcPr>
            <w:tcW w:w="1559" w:type="dxa"/>
            <w:textDirection w:val="btLr"/>
            <w:vAlign w:val="center"/>
          </w:tcPr>
          <w:p w14:paraId="4ACE83E8"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Alkaline phosphatase activity, ALP, U/L (at 37°С)</w:t>
            </w:r>
          </w:p>
        </w:tc>
        <w:tc>
          <w:tcPr>
            <w:tcW w:w="1276" w:type="dxa"/>
            <w:textDirection w:val="btLr"/>
            <w:vAlign w:val="center"/>
          </w:tcPr>
          <w:p w14:paraId="6FA72888"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Total protein, FR, r/dl (at 37°C)</w:t>
            </w:r>
          </w:p>
        </w:tc>
        <w:tc>
          <w:tcPr>
            <w:tcW w:w="1134" w:type="dxa"/>
            <w:textDirection w:val="btLr"/>
            <w:vAlign w:val="center"/>
          </w:tcPr>
          <w:p w14:paraId="7ACACDA8" w14:textId="77777777"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Urea, Urea, mmol/l</w:t>
            </w:r>
          </w:p>
        </w:tc>
        <w:tc>
          <w:tcPr>
            <w:tcW w:w="1160" w:type="dxa"/>
            <w:textDirection w:val="btLr"/>
            <w:vAlign w:val="center"/>
          </w:tcPr>
          <w:p w14:paraId="5140A7BB" w14:textId="77777777" w:rsidR="00DA1F40" w:rsidRPr="00DA1F40" w:rsidRDefault="00DA1F40" w:rsidP="00231132">
            <w:pPr>
              <w:ind w:left="113" w:right="113"/>
              <w:jc w:val="center"/>
              <w:rPr>
                <w:rFonts w:cs="Times New Roman"/>
                <w:b/>
                <w:color w:val="0C0A0A"/>
                <w:sz w:val="24"/>
                <w:szCs w:val="24"/>
              </w:rPr>
            </w:pPr>
            <w:r w:rsidRPr="00DA1F40">
              <w:rPr>
                <w:rFonts w:cs="Times New Roman"/>
                <w:b/>
                <w:color w:val="0C0A0A"/>
                <w:sz w:val="24"/>
                <w:szCs w:val="24"/>
              </w:rPr>
              <w:t>Glucose,</w:t>
            </w:r>
          </w:p>
          <w:p w14:paraId="720008B7" w14:textId="4F021735" w:rsidR="00DA1F40" w:rsidRPr="00DA1F40" w:rsidRDefault="00DA1F40" w:rsidP="00231132">
            <w:pPr>
              <w:ind w:left="113" w:right="113"/>
              <w:jc w:val="center"/>
              <w:rPr>
                <w:rFonts w:cs="Times New Roman"/>
                <w:b/>
                <w:sz w:val="24"/>
                <w:szCs w:val="24"/>
              </w:rPr>
            </w:pPr>
            <w:r w:rsidRPr="00DA1F40">
              <w:rPr>
                <w:rFonts w:cs="Times New Roman"/>
                <w:b/>
                <w:color w:val="0C0A0A"/>
                <w:sz w:val="24"/>
                <w:szCs w:val="24"/>
              </w:rPr>
              <w:t>glue,</w:t>
            </w:r>
            <w:r w:rsidR="00231132">
              <w:rPr>
                <w:rFonts w:cs="Times New Roman"/>
                <w:b/>
                <w:color w:val="0C0A0A"/>
                <w:sz w:val="24"/>
                <w:szCs w:val="24"/>
                <w:lang w:val="ru-RU"/>
              </w:rPr>
              <w:t xml:space="preserve"> </w:t>
            </w:r>
            <w:r w:rsidRPr="00DA1F40">
              <w:rPr>
                <w:rFonts w:cs="Times New Roman"/>
                <w:b/>
                <w:color w:val="0C0A0A"/>
                <w:sz w:val="24"/>
                <w:szCs w:val="24"/>
              </w:rPr>
              <w:t>mmol/l</w:t>
            </w:r>
          </w:p>
        </w:tc>
      </w:tr>
      <w:tr w:rsidR="00231132" w:rsidRPr="00DA1F40" w14:paraId="43A55650" w14:textId="77777777" w:rsidTr="00231132">
        <w:trPr>
          <w:trHeight w:val="286"/>
          <w:jc w:val="center"/>
        </w:trPr>
        <w:tc>
          <w:tcPr>
            <w:tcW w:w="1559" w:type="dxa"/>
          </w:tcPr>
          <w:p w14:paraId="77AFFC0C" w14:textId="77777777" w:rsidR="00DA1F40" w:rsidRPr="00DA1F40" w:rsidRDefault="00DA1F40" w:rsidP="00C23D03">
            <w:pPr>
              <w:spacing w:before="160" w:after="160"/>
              <w:ind w:left="-57" w:right="-57"/>
              <w:jc w:val="both"/>
              <w:rPr>
                <w:rFonts w:cs="Times New Roman"/>
                <w:b/>
                <w:sz w:val="24"/>
                <w:szCs w:val="24"/>
              </w:rPr>
            </w:pPr>
            <w:r w:rsidRPr="00DA1F40">
              <w:rPr>
                <w:rFonts w:cs="Times New Roman"/>
                <w:b/>
                <w:color w:val="080808"/>
                <w:sz w:val="24"/>
                <w:szCs w:val="24"/>
              </w:rPr>
              <w:t>Control (intact)</w:t>
            </w:r>
          </w:p>
        </w:tc>
        <w:tc>
          <w:tcPr>
            <w:tcW w:w="1418" w:type="dxa"/>
            <w:vAlign w:val="center"/>
          </w:tcPr>
          <w:p w14:paraId="35654A1A"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76,63±4,22</w:t>
            </w:r>
          </w:p>
        </w:tc>
        <w:tc>
          <w:tcPr>
            <w:tcW w:w="1559" w:type="dxa"/>
            <w:vAlign w:val="center"/>
          </w:tcPr>
          <w:p w14:paraId="09D89719"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330,83±20, 70</w:t>
            </w:r>
          </w:p>
        </w:tc>
        <w:tc>
          <w:tcPr>
            <w:tcW w:w="1559" w:type="dxa"/>
            <w:vAlign w:val="center"/>
          </w:tcPr>
          <w:p w14:paraId="552950C7"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584,47±93,82</w:t>
            </w:r>
          </w:p>
        </w:tc>
        <w:tc>
          <w:tcPr>
            <w:tcW w:w="1276" w:type="dxa"/>
            <w:vAlign w:val="center"/>
          </w:tcPr>
          <w:p w14:paraId="2D0CD310"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90,72±5,86</w:t>
            </w:r>
          </w:p>
        </w:tc>
        <w:tc>
          <w:tcPr>
            <w:tcW w:w="1134" w:type="dxa"/>
            <w:vAlign w:val="center"/>
          </w:tcPr>
          <w:p w14:paraId="6009CE73"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5,68±0,51</w:t>
            </w:r>
          </w:p>
        </w:tc>
        <w:tc>
          <w:tcPr>
            <w:tcW w:w="1160" w:type="dxa"/>
            <w:vAlign w:val="center"/>
          </w:tcPr>
          <w:p w14:paraId="7341F01C"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2,42±0,23</w:t>
            </w:r>
          </w:p>
        </w:tc>
      </w:tr>
      <w:tr w:rsidR="00231132" w:rsidRPr="00DA1F40" w14:paraId="6DD624DE" w14:textId="77777777" w:rsidTr="00231132">
        <w:trPr>
          <w:trHeight w:val="276"/>
          <w:jc w:val="center"/>
        </w:trPr>
        <w:tc>
          <w:tcPr>
            <w:tcW w:w="1559" w:type="dxa"/>
          </w:tcPr>
          <w:p w14:paraId="3BF18A9D" w14:textId="77777777" w:rsidR="00DA1F40" w:rsidRPr="00DA1F40" w:rsidRDefault="00DA1F40" w:rsidP="00C23D03">
            <w:pPr>
              <w:spacing w:before="160" w:after="160"/>
              <w:ind w:left="-57" w:right="-57"/>
              <w:jc w:val="both"/>
              <w:rPr>
                <w:rFonts w:cs="Times New Roman"/>
                <w:b/>
                <w:sz w:val="24"/>
                <w:szCs w:val="24"/>
              </w:rPr>
            </w:pPr>
            <w:r w:rsidRPr="00DA1F40">
              <w:rPr>
                <w:rFonts w:cs="Times New Roman"/>
                <w:b/>
                <w:color w:val="0C0A0A"/>
                <w:sz w:val="24"/>
                <w:szCs w:val="24"/>
              </w:rPr>
              <w:t xml:space="preserve">500 </w:t>
            </w:r>
            <w:r w:rsidRPr="00DA1F40">
              <w:rPr>
                <w:rFonts w:cs="Times New Roman"/>
                <w:b/>
                <w:color w:val="080808"/>
                <w:sz w:val="24"/>
                <w:szCs w:val="24"/>
              </w:rPr>
              <w:t>mg/kg</w:t>
            </w:r>
          </w:p>
        </w:tc>
        <w:tc>
          <w:tcPr>
            <w:tcW w:w="1418" w:type="dxa"/>
            <w:vAlign w:val="center"/>
          </w:tcPr>
          <w:p w14:paraId="59CDBA75"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68,17±2,35</w:t>
            </w:r>
          </w:p>
        </w:tc>
        <w:tc>
          <w:tcPr>
            <w:tcW w:w="1559" w:type="dxa"/>
            <w:vAlign w:val="center"/>
          </w:tcPr>
          <w:p w14:paraId="364CD383"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329,50±20, 17</w:t>
            </w:r>
          </w:p>
        </w:tc>
        <w:tc>
          <w:tcPr>
            <w:tcW w:w="1559" w:type="dxa"/>
            <w:vAlign w:val="center"/>
          </w:tcPr>
          <w:p w14:paraId="032CC1EF"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474,13±78,34</w:t>
            </w:r>
          </w:p>
        </w:tc>
        <w:tc>
          <w:tcPr>
            <w:tcW w:w="1276" w:type="dxa"/>
            <w:vAlign w:val="center"/>
          </w:tcPr>
          <w:p w14:paraId="6492D6B8"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86,03±6,25</w:t>
            </w:r>
          </w:p>
        </w:tc>
        <w:tc>
          <w:tcPr>
            <w:tcW w:w="1134" w:type="dxa"/>
            <w:vAlign w:val="center"/>
          </w:tcPr>
          <w:p w14:paraId="2B852F81"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4,56±0,37</w:t>
            </w:r>
          </w:p>
        </w:tc>
        <w:tc>
          <w:tcPr>
            <w:tcW w:w="1160" w:type="dxa"/>
            <w:vAlign w:val="center"/>
          </w:tcPr>
          <w:p w14:paraId="061BA6AE"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2,20±0,26</w:t>
            </w:r>
          </w:p>
        </w:tc>
      </w:tr>
      <w:tr w:rsidR="00231132" w:rsidRPr="00DA1F40" w14:paraId="63C1857A" w14:textId="77777777" w:rsidTr="00231132">
        <w:trPr>
          <w:trHeight w:val="266"/>
          <w:jc w:val="center"/>
        </w:trPr>
        <w:tc>
          <w:tcPr>
            <w:tcW w:w="1559" w:type="dxa"/>
          </w:tcPr>
          <w:p w14:paraId="50FE8E93" w14:textId="77777777" w:rsidR="00DA1F40" w:rsidRPr="00DA1F40" w:rsidRDefault="00DA1F40" w:rsidP="00C23D03">
            <w:pPr>
              <w:spacing w:before="160" w:after="160"/>
              <w:ind w:left="-57" w:right="-57"/>
              <w:jc w:val="both"/>
              <w:rPr>
                <w:rFonts w:cs="Times New Roman"/>
                <w:b/>
                <w:sz w:val="24"/>
                <w:szCs w:val="24"/>
              </w:rPr>
            </w:pPr>
            <w:r w:rsidRPr="00DA1F40">
              <w:rPr>
                <w:rFonts w:cs="Times New Roman"/>
                <w:b/>
                <w:color w:val="0C0A0A"/>
                <w:sz w:val="24"/>
                <w:szCs w:val="24"/>
              </w:rPr>
              <w:t xml:space="preserve">5000 </w:t>
            </w:r>
            <w:r w:rsidRPr="00DA1F40">
              <w:rPr>
                <w:rFonts w:cs="Times New Roman"/>
                <w:b/>
                <w:color w:val="080808"/>
                <w:sz w:val="24"/>
                <w:szCs w:val="24"/>
              </w:rPr>
              <w:t>mg/kg</w:t>
            </w:r>
          </w:p>
        </w:tc>
        <w:tc>
          <w:tcPr>
            <w:tcW w:w="1418" w:type="dxa"/>
            <w:vAlign w:val="center"/>
          </w:tcPr>
          <w:p w14:paraId="3CBDDD89"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88,63±2,09</w:t>
            </w:r>
          </w:p>
        </w:tc>
        <w:tc>
          <w:tcPr>
            <w:tcW w:w="1559" w:type="dxa"/>
            <w:vAlign w:val="center"/>
          </w:tcPr>
          <w:p w14:paraId="5B12CF26"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323,67±23,46</w:t>
            </w:r>
          </w:p>
        </w:tc>
        <w:tc>
          <w:tcPr>
            <w:tcW w:w="1559" w:type="dxa"/>
            <w:vAlign w:val="center"/>
          </w:tcPr>
          <w:p w14:paraId="45C72983"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531,35±96,75</w:t>
            </w:r>
          </w:p>
        </w:tc>
        <w:tc>
          <w:tcPr>
            <w:tcW w:w="1276" w:type="dxa"/>
            <w:vAlign w:val="center"/>
          </w:tcPr>
          <w:p w14:paraId="6B77D788"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83,83±4,95</w:t>
            </w:r>
          </w:p>
        </w:tc>
        <w:tc>
          <w:tcPr>
            <w:tcW w:w="1134" w:type="dxa"/>
            <w:vAlign w:val="center"/>
          </w:tcPr>
          <w:p w14:paraId="7317F1B9"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5,07±0,26</w:t>
            </w:r>
          </w:p>
        </w:tc>
        <w:tc>
          <w:tcPr>
            <w:tcW w:w="1160" w:type="dxa"/>
            <w:vAlign w:val="center"/>
          </w:tcPr>
          <w:p w14:paraId="5253611D"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2,86±0,32</w:t>
            </w:r>
          </w:p>
        </w:tc>
      </w:tr>
      <w:tr w:rsidR="00231132" w:rsidRPr="00DA1F40" w14:paraId="0CFDFECC" w14:textId="77777777" w:rsidTr="00231132">
        <w:trPr>
          <w:trHeight w:val="256"/>
          <w:jc w:val="center"/>
        </w:trPr>
        <w:tc>
          <w:tcPr>
            <w:tcW w:w="1559" w:type="dxa"/>
          </w:tcPr>
          <w:p w14:paraId="0107D44C" w14:textId="77777777" w:rsidR="00DA1F40" w:rsidRPr="00DA1F40" w:rsidRDefault="00DA1F40" w:rsidP="00C23D03">
            <w:pPr>
              <w:spacing w:before="160" w:after="160"/>
              <w:ind w:left="-57" w:right="-57"/>
              <w:jc w:val="both"/>
              <w:rPr>
                <w:rFonts w:cs="Times New Roman"/>
                <w:b/>
                <w:sz w:val="24"/>
                <w:szCs w:val="24"/>
              </w:rPr>
            </w:pPr>
            <w:r w:rsidRPr="00DA1F40">
              <w:rPr>
                <w:rFonts w:cs="Times New Roman"/>
                <w:b/>
                <w:color w:val="0C0A0A"/>
                <w:sz w:val="24"/>
                <w:szCs w:val="24"/>
              </w:rPr>
              <w:t xml:space="preserve">10000 </w:t>
            </w:r>
            <w:r w:rsidRPr="00DA1F40">
              <w:rPr>
                <w:rFonts w:cs="Times New Roman"/>
                <w:b/>
                <w:color w:val="080808"/>
                <w:sz w:val="24"/>
                <w:szCs w:val="24"/>
              </w:rPr>
              <w:t>mg/kg</w:t>
            </w:r>
          </w:p>
        </w:tc>
        <w:tc>
          <w:tcPr>
            <w:tcW w:w="1418" w:type="dxa"/>
            <w:vAlign w:val="center"/>
          </w:tcPr>
          <w:p w14:paraId="45FE61B0"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64,38±3,45</w:t>
            </w:r>
          </w:p>
        </w:tc>
        <w:tc>
          <w:tcPr>
            <w:tcW w:w="1559" w:type="dxa"/>
            <w:vAlign w:val="center"/>
          </w:tcPr>
          <w:p w14:paraId="443A38FA"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321,17±29,04</w:t>
            </w:r>
          </w:p>
        </w:tc>
        <w:tc>
          <w:tcPr>
            <w:tcW w:w="1559" w:type="dxa"/>
            <w:vAlign w:val="center"/>
          </w:tcPr>
          <w:p w14:paraId="1CA8E3D1"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594,85±64,35</w:t>
            </w:r>
          </w:p>
        </w:tc>
        <w:tc>
          <w:tcPr>
            <w:tcW w:w="1276" w:type="dxa"/>
            <w:vAlign w:val="center"/>
          </w:tcPr>
          <w:p w14:paraId="360DA9F4"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90,65±6,66</w:t>
            </w:r>
          </w:p>
        </w:tc>
        <w:tc>
          <w:tcPr>
            <w:tcW w:w="1134" w:type="dxa"/>
            <w:vAlign w:val="center"/>
          </w:tcPr>
          <w:p w14:paraId="36C1586A"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4,71±0,50</w:t>
            </w:r>
          </w:p>
        </w:tc>
        <w:tc>
          <w:tcPr>
            <w:tcW w:w="1160" w:type="dxa"/>
            <w:vAlign w:val="center"/>
          </w:tcPr>
          <w:p w14:paraId="5A125970" w14:textId="77777777" w:rsidR="00DA1F40" w:rsidRPr="00DA1F40" w:rsidRDefault="00DA1F40" w:rsidP="00C23D03">
            <w:pPr>
              <w:spacing w:before="160" w:after="160"/>
              <w:ind w:left="-57" w:right="-57"/>
              <w:jc w:val="center"/>
              <w:rPr>
                <w:rFonts w:cs="Times New Roman"/>
                <w:sz w:val="24"/>
                <w:szCs w:val="24"/>
              </w:rPr>
            </w:pPr>
            <w:r w:rsidRPr="00DA1F40">
              <w:rPr>
                <w:rFonts w:cs="Times New Roman"/>
                <w:color w:val="0C0A0A"/>
                <w:sz w:val="24"/>
                <w:szCs w:val="24"/>
              </w:rPr>
              <w:t>2,88±0,31</w:t>
            </w:r>
          </w:p>
        </w:tc>
      </w:tr>
    </w:tbl>
    <w:p w14:paraId="20183AD8" w14:textId="77777777" w:rsidR="00C23D03" w:rsidRDefault="00C23D03" w:rsidP="004E073A">
      <w:pPr>
        <w:spacing w:line="288" w:lineRule="auto"/>
        <w:ind w:firstLine="567"/>
        <w:jc w:val="both"/>
        <w:rPr>
          <w:rFonts w:cs="Times New Roman"/>
          <w:b/>
          <w:bCs/>
          <w:sz w:val="24"/>
          <w:szCs w:val="24"/>
          <w:lang w:val="ru-RU"/>
        </w:rPr>
      </w:pPr>
    </w:p>
    <w:p w14:paraId="5C963B8C" w14:textId="77777777" w:rsidR="00C23D03" w:rsidRDefault="00C23D03" w:rsidP="004E073A">
      <w:pPr>
        <w:spacing w:line="288" w:lineRule="auto"/>
        <w:ind w:firstLine="567"/>
        <w:jc w:val="both"/>
        <w:rPr>
          <w:rFonts w:cs="Times New Roman"/>
          <w:b/>
          <w:bCs/>
          <w:sz w:val="24"/>
          <w:szCs w:val="24"/>
        </w:rPr>
        <w:sectPr w:rsidR="00C23D03" w:rsidSect="00C23D03">
          <w:pgSz w:w="11907" w:h="16840" w:code="9"/>
          <w:pgMar w:top="1418" w:right="1134" w:bottom="1134" w:left="1134" w:header="907" w:footer="794" w:gutter="0"/>
          <w:cols w:space="708"/>
          <w:docGrid w:linePitch="381"/>
        </w:sectPr>
      </w:pPr>
    </w:p>
    <w:p w14:paraId="07A8BA7B" w14:textId="4B1E5C48" w:rsidR="00231132" w:rsidRDefault="00C23D03" w:rsidP="004E073A">
      <w:pPr>
        <w:spacing w:line="288" w:lineRule="auto"/>
        <w:ind w:firstLine="567"/>
        <w:jc w:val="both"/>
        <w:rPr>
          <w:rFonts w:cs="Times New Roman"/>
          <w:b/>
          <w:bCs/>
          <w:sz w:val="24"/>
          <w:szCs w:val="24"/>
        </w:rPr>
      </w:pPr>
      <w:r w:rsidRPr="00231132">
        <w:rPr>
          <w:rFonts w:cs="Times New Roman"/>
          <w:b/>
          <w:bCs/>
          <w:sz w:val="24"/>
          <w:szCs w:val="24"/>
        </w:rPr>
        <w:t>CONCLUSION</w:t>
      </w:r>
    </w:p>
    <w:p w14:paraId="434DFA44" w14:textId="77777777" w:rsidR="00C23D03" w:rsidRPr="00231132" w:rsidRDefault="00C23D03" w:rsidP="004E073A">
      <w:pPr>
        <w:spacing w:line="288" w:lineRule="auto"/>
        <w:ind w:firstLine="567"/>
        <w:jc w:val="both"/>
        <w:rPr>
          <w:rFonts w:cs="Times New Roman"/>
          <w:b/>
          <w:bCs/>
          <w:sz w:val="24"/>
          <w:szCs w:val="24"/>
        </w:rPr>
      </w:pPr>
    </w:p>
    <w:p w14:paraId="6D183323" w14:textId="2DDDC668" w:rsidR="00231132" w:rsidRPr="00231132" w:rsidRDefault="00231132" w:rsidP="004E073A">
      <w:pPr>
        <w:spacing w:line="288" w:lineRule="auto"/>
        <w:ind w:firstLine="567"/>
        <w:jc w:val="both"/>
        <w:rPr>
          <w:rFonts w:cs="Times New Roman"/>
          <w:sz w:val="24"/>
          <w:szCs w:val="24"/>
        </w:rPr>
      </w:pPr>
      <w:r w:rsidRPr="00231132">
        <w:rPr>
          <w:rFonts w:cs="Times New Roman"/>
          <w:sz w:val="24"/>
          <w:szCs w:val="24"/>
        </w:rPr>
        <w:t>Based on the examination of the scien</w:t>
      </w:r>
      <w:r>
        <w:rPr>
          <w:rFonts w:cs="Times New Roman"/>
          <w:sz w:val="24"/>
          <w:szCs w:val="24"/>
        </w:rPr>
        <w:softHyphen/>
      </w:r>
      <w:r w:rsidRPr="00231132">
        <w:rPr>
          <w:rFonts w:cs="Times New Roman"/>
          <w:sz w:val="24"/>
          <w:szCs w:val="24"/>
        </w:rPr>
        <w:t>tific dossier, literature data and the results of toxicological studies of dietary boiled sausage and dietary sausages produced by Rozmetov LLC (Uzbekistan) at doses of 500, 5000 and 10000 mg/kg, it was established that, accord</w:t>
      </w:r>
      <w:r>
        <w:rPr>
          <w:rFonts w:cs="Times New Roman"/>
          <w:sz w:val="24"/>
          <w:szCs w:val="24"/>
        </w:rPr>
        <w:softHyphen/>
      </w:r>
      <w:r w:rsidRPr="00231132">
        <w:rPr>
          <w:rFonts w:cs="Times New Roman"/>
          <w:sz w:val="24"/>
          <w:szCs w:val="24"/>
        </w:rPr>
        <w:t>ing to the parameters of acute toxicity when ad</w:t>
      </w:r>
      <w:r>
        <w:rPr>
          <w:rFonts w:cs="Times New Roman"/>
          <w:sz w:val="24"/>
          <w:szCs w:val="24"/>
        </w:rPr>
        <w:softHyphen/>
      </w:r>
      <w:r w:rsidRPr="00231132">
        <w:rPr>
          <w:rFonts w:cs="Times New Roman"/>
          <w:sz w:val="24"/>
          <w:szCs w:val="24"/>
        </w:rPr>
        <w:t>ministered intragastrically, it belongs to a prac</w:t>
      </w:r>
      <w:r>
        <w:rPr>
          <w:rFonts w:cs="Times New Roman"/>
          <w:sz w:val="24"/>
          <w:szCs w:val="24"/>
        </w:rPr>
        <w:softHyphen/>
      </w:r>
      <w:r w:rsidRPr="00231132">
        <w:rPr>
          <w:rFonts w:cs="Times New Roman"/>
          <w:sz w:val="24"/>
          <w:szCs w:val="24"/>
        </w:rPr>
        <w:t>tically non-toxic substance (class V).</w:t>
      </w:r>
    </w:p>
    <w:p w14:paraId="546EAED7" w14:textId="78332BF4" w:rsidR="00231132" w:rsidRPr="00231132" w:rsidRDefault="00231132" w:rsidP="004E073A">
      <w:pPr>
        <w:spacing w:line="288" w:lineRule="auto"/>
        <w:ind w:firstLine="567"/>
        <w:jc w:val="both"/>
        <w:rPr>
          <w:rFonts w:cs="Times New Roman"/>
          <w:sz w:val="24"/>
          <w:szCs w:val="24"/>
        </w:rPr>
      </w:pPr>
      <w:r w:rsidRPr="00231132">
        <w:rPr>
          <w:rFonts w:cs="Times New Roman"/>
          <w:sz w:val="24"/>
          <w:szCs w:val="24"/>
        </w:rPr>
        <w:t>The results of hematological, biochemi</w:t>
      </w:r>
      <w:r>
        <w:rPr>
          <w:rFonts w:cs="Times New Roman"/>
          <w:sz w:val="24"/>
          <w:szCs w:val="24"/>
        </w:rPr>
        <w:softHyphen/>
      </w:r>
      <w:r w:rsidRPr="00231132">
        <w:rPr>
          <w:rFonts w:cs="Times New Roman"/>
          <w:sz w:val="24"/>
          <w:szCs w:val="24"/>
        </w:rPr>
        <w:t>cal and histomorphological studies of internal organs confirm that dietary boiled sausage and dietary sausages produced by Rozmetov LLC (Uzbekistan) at doses of 500, 5000 and 10000 mg/kg do not have a toxic effect on the body of experimental animals.</w:t>
      </w:r>
    </w:p>
    <w:p w14:paraId="353641F4" w14:textId="50F9A4DD" w:rsidR="00231132" w:rsidRDefault="00231132" w:rsidP="00231132">
      <w:pPr>
        <w:spacing w:line="276" w:lineRule="auto"/>
        <w:ind w:firstLine="567"/>
        <w:jc w:val="both"/>
        <w:rPr>
          <w:rFonts w:cs="Times New Roman"/>
          <w:sz w:val="24"/>
          <w:szCs w:val="24"/>
        </w:rPr>
      </w:pPr>
    </w:p>
    <w:p w14:paraId="7D8CEAEE" w14:textId="2B016FE0" w:rsidR="00231132" w:rsidRPr="00231132" w:rsidRDefault="00231132" w:rsidP="00231132">
      <w:pPr>
        <w:spacing w:line="276" w:lineRule="auto"/>
        <w:jc w:val="center"/>
        <w:rPr>
          <w:rFonts w:cs="Times New Roman"/>
          <w:b/>
          <w:bCs/>
          <w:sz w:val="24"/>
          <w:szCs w:val="24"/>
        </w:rPr>
      </w:pPr>
      <w:r w:rsidRPr="00231132">
        <w:rPr>
          <w:rFonts w:cs="Times New Roman"/>
          <w:b/>
          <w:bCs/>
          <w:sz w:val="24"/>
          <w:szCs w:val="24"/>
        </w:rPr>
        <w:t>REFERENCES</w:t>
      </w:r>
    </w:p>
    <w:p w14:paraId="12433A23" w14:textId="77777777" w:rsidR="00231132" w:rsidRPr="00231132" w:rsidRDefault="00231132" w:rsidP="00231132">
      <w:pPr>
        <w:spacing w:line="276" w:lineRule="auto"/>
        <w:jc w:val="both"/>
        <w:rPr>
          <w:rFonts w:cs="Times New Roman"/>
          <w:sz w:val="24"/>
          <w:szCs w:val="24"/>
        </w:rPr>
      </w:pPr>
    </w:p>
    <w:p w14:paraId="221D9CA1" w14:textId="3F63ABA9"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1.</w:t>
      </w:r>
      <w:r w:rsidRPr="00231132">
        <w:rPr>
          <w:rFonts w:cs="Times New Roman"/>
          <w:sz w:val="24"/>
          <w:szCs w:val="24"/>
        </w:rPr>
        <w:tab/>
        <w:t>Borisenkova N.V., Vashapova A.A., Shul'chenko L.M. Use of soy products in the production of bread and bakery products. Mos</w:t>
      </w:r>
      <w:r>
        <w:rPr>
          <w:rFonts w:cs="Times New Roman"/>
          <w:sz w:val="24"/>
          <w:szCs w:val="24"/>
        </w:rPr>
        <w:softHyphen/>
      </w:r>
      <w:r w:rsidRPr="00231132">
        <w:rPr>
          <w:rFonts w:cs="Times New Roman"/>
          <w:sz w:val="24"/>
          <w:szCs w:val="24"/>
        </w:rPr>
        <w:t>cow: Megalion, 2007: 71 p. (in Russian)</w:t>
      </w:r>
    </w:p>
    <w:p w14:paraId="650EA32E" w14:textId="08EBFC44"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2.</w:t>
      </w:r>
      <w:r w:rsidRPr="00231132">
        <w:rPr>
          <w:rFonts w:cs="Times New Roman"/>
          <w:sz w:val="24"/>
          <w:szCs w:val="24"/>
        </w:rPr>
        <w:tab/>
        <w:t>Iskandarov T. I., Mamatkulov B. M. Methods of sanitary-statistical and socio-hy</w:t>
      </w:r>
      <w:r>
        <w:rPr>
          <w:rFonts w:cs="Times New Roman"/>
          <w:sz w:val="24"/>
          <w:szCs w:val="24"/>
        </w:rPr>
        <w:softHyphen/>
      </w:r>
      <w:r w:rsidRPr="00231132">
        <w:rPr>
          <w:rFonts w:cs="Times New Roman"/>
          <w:sz w:val="24"/>
          <w:szCs w:val="24"/>
        </w:rPr>
        <w:t>gienic research. Tashkent: 1994. 200 p. (in Uz</w:t>
      </w:r>
      <w:r>
        <w:rPr>
          <w:rFonts w:cs="Times New Roman"/>
          <w:sz w:val="24"/>
          <w:szCs w:val="24"/>
        </w:rPr>
        <w:softHyphen/>
      </w:r>
      <w:r w:rsidRPr="00231132">
        <w:rPr>
          <w:rFonts w:cs="Times New Roman"/>
          <w:sz w:val="24"/>
          <w:szCs w:val="24"/>
        </w:rPr>
        <w:t>bek)</w:t>
      </w:r>
    </w:p>
    <w:p w14:paraId="7D96FB9E" w14:textId="77777777"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3.</w:t>
      </w:r>
      <w:r w:rsidRPr="00231132">
        <w:rPr>
          <w:rFonts w:cs="Times New Roman"/>
          <w:sz w:val="24"/>
          <w:szCs w:val="24"/>
        </w:rPr>
        <w:tab/>
        <w:t>Korolev A.A. Hygiene of nutrition. Moscow: Academy, 2008: 528 p. (in Russian)</w:t>
      </w:r>
    </w:p>
    <w:p w14:paraId="243FC96C" w14:textId="5F24B1C1"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4.</w:t>
      </w:r>
      <w:r w:rsidRPr="00231132">
        <w:rPr>
          <w:rFonts w:cs="Times New Roman"/>
          <w:sz w:val="24"/>
          <w:szCs w:val="24"/>
        </w:rPr>
        <w:tab/>
        <w:t>Manual on experimental (preclini</w:t>
      </w:r>
      <w:r>
        <w:rPr>
          <w:rFonts w:cs="Times New Roman"/>
          <w:sz w:val="24"/>
          <w:szCs w:val="24"/>
        </w:rPr>
        <w:softHyphen/>
      </w:r>
      <w:r w:rsidRPr="00231132">
        <w:rPr>
          <w:rFonts w:cs="Times New Roman"/>
          <w:sz w:val="24"/>
          <w:szCs w:val="24"/>
        </w:rPr>
        <w:t>cal) study of new pharmacological substances. Under the general editorship. Kurlyandskiy B.A. Moscow: 2005: 165 p. (in Russian)</w:t>
      </w:r>
    </w:p>
    <w:p w14:paraId="3E1EF2CD" w14:textId="1362C340"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5.</w:t>
      </w:r>
      <w:r w:rsidRPr="00231132">
        <w:rPr>
          <w:rFonts w:cs="Times New Roman"/>
          <w:sz w:val="24"/>
          <w:szCs w:val="24"/>
        </w:rPr>
        <w:tab/>
        <w:t>SanRandN 0283-10 of 02/05/10 " Hygienic requirements for food safety". Tash</w:t>
      </w:r>
      <w:r>
        <w:rPr>
          <w:rFonts w:cs="Times New Roman"/>
          <w:sz w:val="24"/>
          <w:szCs w:val="24"/>
        </w:rPr>
        <w:softHyphen/>
      </w:r>
      <w:r w:rsidRPr="00231132">
        <w:rPr>
          <w:rFonts w:cs="Times New Roman"/>
          <w:sz w:val="24"/>
          <w:szCs w:val="24"/>
        </w:rPr>
        <w:t>kent: 2010: 48 p. (in Russian)</w:t>
      </w:r>
    </w:p>
    <w:p w14:paraId="44556FA6" w14:textId="5E059AED"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lastRenderedPageBreak/>
        <w:t>6.</w:t>
      </w:r>
      <w:r w:rsidRPr="00231132">
        <w:rPr>
          <w:rFonts w:cs="Times New Roman"/>
          <w:sz w:val="24"/>
          <w:szCs w:val="24"/>
        </w:rPr>
        <w:tab/>
        <w:t>Poznjakovskij V.M., Avstrievskih A.N., Vekovcev A.A. Nutritional and biologi</w:t>
      </w:r>
      <w:r>
        <w:rPr>
          <w:rFonts w:cs="Times New Roman"/>
          <w:sz w:val="24"/>
          <w:szCs w:val="24"/>
        </w:rPr>
        <w:softHyphen/>
      </w:r>
      <w:r w:rsidRPr="00231132">
        <w:rPr>
          <w:rFonts w:cs="Times New Roman"/>
          <w:sz w:val="24"/>
          <w:szCs w:val="24"/>
        </w:rPr>
        <w:t>cally supplements. Moscow: Russian universi</w:t>
      </w:r>
      <w:r>
        <w:rPr>
          <w:rFonts w:cs="Times New Roman"/>
          <w:sz w:val="24"/>
          <w:szCs w:val="24"/>
        </w:rPr>
        <w:softHyphen/>
      </w:r>
      <w:r w:rsidRPr="00231132">
        <w:rPr>
          <w:rFonts w:cs="Times New Roman"/>
          <w:sz w:val="24"/>
          <w:szCs w:val="24"/>
        </w:rPr>
        <w:t>ties, 2005: 275 p. (in Russian)</w:t>
      </w:r>
    </w:p>
    <w:p w14:paraId="1CA91098" w14:textId="53FBD52E"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7.</w:t>
      </w:r>
      <w:r w:rsidRPr="00231132">
        <w:rPr>
          <w:rFonts w:cs="Times New Roman"/>
          <w:sz w:val="24"/>
          <w:szCs w:val="24"/>
        </w:rPr>
        <w:tab/>
        <w:t>Poznjakovsky V.M., Sukhanov B.P. Biologically active additives in a modern food // Food processing: Techniques and Technol</w:t>
      </w:r>
      <w:r>
        <w:rPr>
          <w:rFonts w:cs="Times New Roman"/>
          <w:sz w:val="24"/>
          <w:szCs w:val="24"/>
        </w:rPr>
        <w:softHyphen/>
      </w:r>
      <w:r w:rsidRPr="00231132">
        <w:rPr>
          <w:rFonts w:cs="Times New Roman"/>
          <w:sz w:val="24"/>
          <w:szCs w:val="24"/>
        </w:rPr>
        <w:t>ogy. 2009: Vol. 2: 36-44.</w:t>
      </w:r>
    </w:p>
    <w:p w14:paraId="1CEE502B" w14:textId="77777777"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8.</w:t>
      </w:r>
      <w:r w:rsidRPr="00231132">
        <w:rPr>
          <w:rFonts w:cs="Times New Roman"/>
          <w:sz w:val="24"/>
          <w:szCs w:val="24"/>
        </w:rPr>
        <w:tab/>
        <w:t>Shaikhova G.I., Odilova B.T. What is a healthy diet and how do we get back to it // Organization and management of healthcare. T. No. 7.2019. S.42-48.</w:t>
      </w:r>
    </w:p>
    <w:p w14:paraId="7D8636E4" w14:textId="45F466FE"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9.</w:t>
      </w:r>
      <w:r w:rsidRPr="00231132">
        <w:rPr>
          <w:rFonts w:cs="Times New Roman"/>
          <w:sz w:val="24"/>
          <w:szCs w:val="24"/>
        </w:rPr>
        <w:tab/>
        <w:t xml:space="preserve">Christiansen L. C., Burckhardt B., Yanofsky M.F. et al. Pod opening in soybean – isolation of potential IND1 orthodox // Soy </w:t>
      </w:r>
      <w:r w:rsidRPr="00231132">
        <w:rPr>
          <w:rFonts w:cs="Times New Roman"/>
          <w:sz w:val="24"/>
          <w:szCs w:val="24"/>
        </w:rPr>
        <w:t>2002. Program and proceeding for 9th Biennial conference of the cellular and molecular biol</w:t>
      </w:r>
      <w:r>
        <w:rPr>
          <w:rFonts w:cs="Times New Roman"/>
          <w:sz w:val="24"/>
          <w:szCs w:val="24"/>
        </w:rPr>
        <w:softHyphen/>
      </w:r>
      <w:r w:rsidRPr="00231132">
        <w:rPr>
          <w:rFonts w:cs="Times New Roman"/>
          <w:sz w:val="24"/>
          <w:szCs w:val="24"/>
        </w:rPr>
        <w:t>ogy in Soybean. Lexington: Kentucky, 2002. 803 р.</w:t>
      </w:r>
    </w:p>
    <w:p w14:paraId="20F4CEA7" w14:textId="77777777" w:rsidR="00231132" w:rsidRPr="00231132" w:rsidRDefault="00231132" w:rsidP="00231132">
      <w:pPr>
        <w:tabs>
          <w:tab w:val="left" w:pos="993"/>
        </w:tabs>
        <w:spacing w:line="276" w:lineRule="auto"/>
        <w:ind w:firstLine="567"/>
        <w:jc w:val="both"/>
        <w:rPr>
          <w:rFonts w:cs="Times New Roman"/>
          <w:sz w:val="24"/>
          <w:szCs w:val="24"/>
        </w:rPr>
      </w:pPr>
      <w:r w:rsidRPr="00231132">
        <w:rPr>
          <w:rFonts w:cs="Times New Roman"/>
          <w:sz w:val="24"/>
          <w:szCs w:val="24"/>
        </w:rPr>
        <w:t>10.</w:t>
      </w:r>
      <w:r w:rsidRPr="00231132">
        <w:rPr>
          <w:rFonts w:cs="Times New Roman"/>
          <w:sz w:val="24"/>
          <w:szCs w:val="24"/>
        </w:rPr>
        <w:tab/>
        <w:t>Habito R. C., Montalto J., Leslie E. et al. effects of replacing meat with soybean in the diet on sex hormone concentration in healthy adult males // Br. J. Nutr. 2000. Vol. 84, N 4. P. 557-563/</w:t>
      </w:r>
    </w:p>
    <w:p w14:paraId="0A7743DA" w14:textId="77777777" w:rsidR="00C23D03" w:rsidRDefault="00231132" w:rsidP="00C23D03">
      <w:pPr>
        <w:tabs>
          <w:tab w:val="left" w:pos="993"/>
        </w:tabs>
        <w:spacing w:line="276" w:lineRule="auto"/>
        <w:ind w:firstLine="567"/>
        <w:jc w:val="both"/>
        <w:rPr>
          <w:rFonts w:cs="Times New Roman"/>
          <w:sz w:val="24"/>
          <w:szCs w:val="24"/>
        </w:rPr>
        <w:sectPr w:rsidR="00C23D03" w:rsidSect="00C23D03">
          <w:type w:val="continuous"/>
          <w:pgSz w:w="11907" w:h="16840" w:code="9"/>
          <w:pgMar w:top="1418" w:right="1134" w:bottom="1134" w:left="1134" w:header="907" w:footer="794" w:gutter="0"/>
          <w:cols w:num="2" w:space="708"/>
          <w:docGrid w:linePitch="381"/>
        </w:sectPr>
      </w:pPr>
      <w:r w:rsidRPr="00231132">
        <w:rPr>
          <w:rFonts w:cs="Times New Roman"/>
          <w:sz w:val="24"/>
          <w:szCs w:val="24"/>
        </w:rPr>
        <w:t>11.</w:t>
      </w:r>
      <w:r w:rsidRPr="00231132">
        <w:rPr>
          <w:rFonts w:cs="Times New Roman"/>
          <w:sz w:val="24"/>
          <w:szCs w:val="24"/>
        </w:rPr>
        <w:tab/>
        <w:t>Nizom Ermatov, Shayhova Guli, Salomova Feruza, Azizova Feruza, Rustamov Bakhtior. The effectiveness of red palm oil in patients with gastrointestinal diseases. Interna</w:t>
      </w:r>
      <w:r>
        <w:rPr>
          <w:rFonts w:cs="Times New Roman"/>
          <w:sz w:val="24"/>
          <w:szCs w:val="24"/>
        </w:rPr>
        <w:softHyphen/>
      </w:r>
      <w:r w:rsidRPr="00231132">
        <w:rPr>
          <w:rFonts w:cs="Times New Roman"/>
          <w:sz w:val="24"/>
          <w:szCs w:val="24"/>
        </w:rPr>
        <w:t>tional Journal of Pharmaceutical Research. Oct-Dec 2019; Vol.11. N 4. P. 648-651.</w:t>
      </w:r>
    </w:p>
    <w:p w14:paraId="5F29BBB2" w14:textId="49BF2951" w:rsidR="002A01E7" w:rsidRDefault="002A01E7" w:rsidP="00C23D03">
      <w:pPr>
        <w:tabs>
          <w:tab w:val="left" w:pos="993"/>
        </w:tabs>
        <w:spacing w:line="276" w:lineRule="auto"/>
        <w:ind w:firstLine="567"/>
        <w:jc w:val="both"/>
        <w:rPr>
          <w:rFonts w:cs="Times New Roman"/>
          <w:sz w:val="24"/>
          <w:szCs w:val="24"/>
          <w:lang w:val="uz-Latn-UZ"/>
        </w:rPr>
      </w:pPr>
    </w:p>
    <w:p w14:paraId="659F6017" w14:textId="2E3634D0" w:rsidR="002A01E7" w:rsidRDefault="002A01E7" w:rsidP="0046301E">
      <w:pPr>
        <w:spacing w:line="276" w:lineRule="auto"/>
        <w:ind w:firstLine="567"/>
        <w:jc w:val="both"/>
        <w:rPr>
          <w:rFonts w:cs="Times New Roman"/>
          <w:sz w:val="24"/>
          <w:szCs w:val="24"/>
          <w:lang w:val="uz-Latn-UZ"/>
        </w:rPr>
      </w:pPr>
    </w:p>
    <w:p w14:paraId="7094DCF6" w14:textId="19EDBB90" w:rsidR="002A01E7" w:rsidRDefault="002A01E7" w:rsidP="0046301E">
      <w:pPr>
        <w:spacing w:line="276" w:lineRule="auto"/>
        <w:ind w:firstLine="567"/>
        <w:jc w:val="both"/>
        <w:rPr>
          <w:rFonts w:cs="Times New Roman"/>
          <w:sz w:val="24"/>
          <w:szCs w:val="24"/>
          <w:lang w:val="uz-Latn-UZ"/>
        </w:rPr>
      </w:pPr>
    </w:p>
    <w:p w14:paraId="50412FE5" w14:textId="6FD740F3" w:rsidR="002A01E7" w:rsidRDefault="002A01E7" w:rsidP="0046301E">
      <w:pPr>
        <w:spacing w:line="276" w:lineRule="auto"/>
        <w:ind w:firstLine="567"/>
        <w:jc w:val="both"/>
        <w:rPr>
          <w:rFonts w:cs="Times New Roman"/>
          <w:sz w:val="24"/>
          <w:szCs w:val="24"/>
          <w:lang w:val="uz-Latn-UZ"/>
        </w:rPr>
      </w:pPr>
    </w:p>
    <w:p w14:paraId="2FE3A589" w14:textId="4B524AF7" w:rsidR="002A01E7" w:rsidRDefault="002A01E7" w:rsidP="0046301E">
      <w:pPr>
        <w:spacing w:line="276" w:lineRule="auto"/>
        <w:ind w:firstLine="567"/>
        <w:jc w:val="both"/>
        <w:rPr>
          <w:rFonts w:cs="Times New Roman"/>
          <w:sz w:val="24"/>
          <w:szCs w:val="24"/>
          <w:lang w:val="uz-Latn-UZ"/>
        </w:rPr>
      </w:pPr>
    </w:p>
    <w:p w14:paraId="2F12C989" w14:textId="7ECA6482" w:rsidR="002A01E7" w:rsidRDefault="002A01E7" w:rsidP="0046301E">
      <w:pPr>
        <w:spacing w:line="276" w:lineRule="auto"/>
        <w:ind w:firstLine="567"/>
        <w:jc w:val="both"/>
        <w:rPr>
          <w:rFonts w:cs="Times New Roman"/>
          <w:sz w:val="24"/>
          <w:szCs w:val="24"/>
          <w:lang w:val="uz-Latn-UZ"/>
        </w:rPr>
      </w:pPr>
    </w:p>
    <w:p w14:paraId="357EC3F7" w14:textId="5B30B491" w:rsidR="002A01E7" w:rsidRDefault="002A01E7" w:rsidP="0046301E">
      <w:pPr>
        <w:spacing w:line="276" w:lineRule="auto"/>
        <w:ind w:firstLine="567"/>
        <w:jc w:val="both"/>
        <w:rPr>
          <w:rFonts w:cs="Times New Roman"/>
          <w:sz w:val="24"/>
          <w:szCs w:val="24"/>
          <w:lang w:val="uz-Latn-UZ"/>
        </w:rPr>
      </w:pPr>
    </w:p>
    <w:p w14:paraId="768C16B5" w14:textId="77501D81" w:rsidR="002A01E7" w:rsidRDefault="002A01E7" w:rsidP="0046301E">
      <w:pPr>
        <w:spacing w:line="276" w:lineRule="auto"/>
        <w:ind w:firstLine="567"/>
        <w:jc w:val="both"/>
        <w:rPr>
          <w:rFonts w:cs="Times New Roman"/>
          <w:sz w:val="24"/>
          <w:szCs w:val="24"/>
          <w:lang w:val="uz-Latn-UZ"/>
        </w:rPr>
      </w:pPr>
    </w:p>
    <w:p w14:paraId="5788D287" w14:textId="370157D7" w:rsidR="002A01E7" w:rsidRDefault="002A01E7" w:rsidP="0046301E">
      <w:pPr>
        <w:spacing w:line="276" w:lineRule="auto"/>
        <w:ind w:firstLine="567"/>
        <w:jc w:val="both"/>
        <w:rPr>
          <w:rFonts w:cs="Times New Roman"/>
          <w:sz w:val="24"/>
          <w:szCs w:val="24"/>
          <w:lang w:val="uz-Latn-UZ"/>
        </w:rPr>
      </w:pPr>
    </w:p>
    <w:p w14:paraId="4993A1EE" w14:textId="3FB80499" w:rsidR="002A01E7" w:rsidRDefault="002A01E7" w:rsidP="0046301E">
      <w:pPr>
        <w:spacing w:line="276" w:lineRule="auto"/>
        <w:ind w:firstLine="567"/>
        <w:jc w:val="both"/>
        <w:rPr>
          <w:rFonts w:cs="Times New Roman"/>
          <w:sz w:val="24"/>
          <w:szCs w:val="24"/>
          <w:lang w:val="uz-Latn-UZ"/>
        </w:rPr>
      </w:pPr>
    </w:p>
    <w:p w14:paraId="119532F5" w14:textId="23D09E86" w:rsidR="002A01E7" w:rsidRDefault="002A01E7" w:rsidP="0046301E">
      <w:pPr>
        <w:spacing w:line="276" w:lineRule="auto"/>
        <w:ind w:firstLine="567"/>
        <w:jc w:val="both"/>
        <w:rPr>
          <w:rFonts w:cs="Times New Roman"/>
          <w:sz w:val="24"/>
          <w:szCs w:val="24"/>
          <w:lang w:val="uz-Latn-UZ"/>
        </w:rPr>
      </w:pPr>
    </w:p>
    <w:p w14:paraId="155E3307" w14:textId="484AA7BB" w:rsidR="002A01E7" w:rsidRDefault="002A01E7" w:rsidP="0046301E">
      <w:pPr>
        <w:spacing w:line="276" w:lineRule="auto"/>
        <w:ind w:firstLine="567"/>
        <w:jc w:val="both"/>
        <w:rPr>
          <w:rFonts w:cs="Times New Roman"/>
          <w:sz w:val="24"/>
          <w:szCs w:val="24"/>
          <w:lang w:val="uz-Latn-UZ"/>
        </w:rPr>
      </w:pPr>
    </w:p>
    <w:p w14:paraId="73118586" w14:textId="023C68A9" w:rsidR="009E1250" w:rsidRDefault="009E1250" w:rsidP="0046301E">
      <w:pPr>
        <w:spacing w:line="276" w:lineRule="auto"/>
        <w:ind w:firstLine="567"/>
        <w:jc w:val="both"/>
        <w:rPr>
          <w:rFonts w:cs="Times New Roman"/>
          <w:sz w:val="24"/>
          <w:szCs w:val="24"/>
          <w:lang w:val="uz-Latn-UZ"/>
        </w:rPr>
      </w:pPr>
    </w:p>
    <w:p w14:paraId="6287BBFD" w14:textId="0C43B348" w:rsidR="009E1250" w:rsidRDefault="009E1250" w:rsidP="0046301E">
      <w:pPr>
        <w:spacing w:line="276" w:lineRule="auto"/>
        <w:ind w:firstLine="567"/>
        <w:jc w:val="both"/>
        <w:rPr>
          <w:rFonts w:cs="Times New Roman"/>
          <w:sz w:val="24"/>
          <w:szCs w:val="24"/>
          <w:lang w:val="uz-Latn-UZ"/>
        </w:rPr>
      </w:pPr>
    </w:p>
    <w:p w14:paraId="1C417786" w14:textId="16930329" w:rsidR="009E1250" w:rsidRDefault="009E1250" w:rsidP="0046301E">
      <w:pPr>
        <w:spacing w:line="276" w:lineRule="auto"/>
        <w:ind w:firstLine="567"/>
        <w:jc w:val="both"/>
        <w:rPr>
          <w:rFonts w:cs="Times New Roman"/>
          <w:sz w:val="24"/>
          <w:szCs w:val="24"/>
          <w:lang w:val="uz-Latn-UZ"/>
        </w:rPr>
      </w:pPr>
    </w:p>
    <w:p w14:paraId="20ECE735" w14:textId="3B6E8F48" w:rsidR="009E1250" w:rsidRDefault="009E1250" w:rsidP="0046301E">
      <w:pPr>
        <w:spacing w:line="276" w:lineRule="auto"/>
        <w:ind w:firstLine="567"/>
        <w:jc w:val="both"/>
        <w:rPr>
          <w:rFonts w:cs="Times New Roman"/>
          <w:sz w:val="24"/>
          <w:szCs w:val="24"/>
          <w:lang w:val="uz-Latn-UZ"/>
        </w:rPr>
      </w:pPr>
    </w:p>
    <w:p w14:paraId="1B7B8B62" w14:textId="6D9EFA5A" w:rsidR="009E1250" w:rsidRDefault="009E1250" w:rsidP="0046301E">
      <w:pPr>
        <w:spacing w:line="276" w:lineRule="auto"/>
        <w:ind w:firstLine="567"/>
        <w:jc w:val="both"/>
        <w:rPr>
          <w:rFonts w:cs="Times New Roman"/>
          <w:sz w:val="24"/>
          <w:szCs w:val="24"/>
          <w:lang w:val="uz-Latn-UZ"/>
        </w:rPr>
      </w:pPr>
    </w:p>
    <w:p w14:paraId="06F7410A" w14:textId="5686D74D" w:rsidR="009E1250" w:rsidRDefault="009E1250" w:rsidP="0046301E">
      <w:pPr>
        <w:spacing w:line="276" w:lineRule="auto"/>
        <w:ind w:firstLine="567"/>
        <w:jc w:val="both"/>
        <w:rPr>
          <w:rFonts w:cs="Times New Roman"/>
          <w:sz w:val="24"/>
          <w:szCs w:val="24"/>
          <w:lang w:val="uz-Latn-UZ"/>
        </w:rPr>
      </w:pPr>
    </w:p>
    <w:p w14:paraId="0DFE876F" w14:textId="789E545C" w:rsidR="009E1250" w:rsidRDefault="009E1250" w:rsidP="0046301E">
      <w:pPr>
        <w:spacing w:line="276" w:lineRule="auto"/>
        <w:ind w:firstLine="567"/>
        <w:jc w:val="both"/>
        <w:rPr>
          <w:rFonts w:cs="Times New Roman"/>
          <w:sz w:val="24"/>
          <w:szCs w:val="24"/>
          <w:lang w:val="uz-Latn-UZ"/>
        </w:rPr>
      </w:pPr>
    </w:p>
    <w:p w14:paraId="6D173F9C" w14:textId="2FF03CFB" w:rsidR="009E1250" w:rsidRDefault="009E1250" w:rsidP="0046301E">
      <w:pPr>
        <w:spacing w:line="276" w:lineRule="auto"/>
        <w:ind w:firstLine="567"/>
        <w:jc w:val="both"/>
        <w:rPr>
          <w:rFonts w:cs="Times New Roman"/>
          <w:sz w:val="24"/>
          <w:szCs w:val="24"/>
          <w:lang w:val="uz-Latn-UZ"/>
        </w:rPr>
      </w:pPr>
    </w:p>
    <w:p w14:paraId="2E604605" w14:textId="3E6B09AE" w:rsidR="009E1250" w:rsidRDefault="009E1250" w:rsidP="0046301E">
      <w:pPr>
        <w:spacing w:line="276" w:lineRule="auto"/>
        <w:ind w:firstLine="567"/>
        <w:jc w:val="both"/>
        <w:rPr>
          <w:rFonts w:cs="Times New Roman"/>
          <w:sz w:val="24"/>
          <w:szCs w:val="24"/>
          <w:lang w:val="uz-Latn-UZ"/>
        </w:rPr>
      </w:pPr>
    </w:p>
    <w:p w14:paraId="2B5F2636" w14:textId="7C49C2D3" w:rsidR="009E1250" w:rsidRDefault="009E1250" w:rsidP="0046301E">
      <w:pPr>
        <w:spacing w:line="276" w:lineRule="auto"/>
        <w:ind w:firstLine="567"/>
        <w:jc w:val="both"/>
        <w:rPr>
          <w:rFonts w:cs="Times New Roman"/>
          <w:sz w:val="24"/>
          <w:szCs w:val="24"/>
          <w:lang w:val="uz-Latn-UZ"/>
        </w:rPr>
      </w:pPr>
    </w:p>
    <w:p w14:paraId="34C4175B" w14:textId="61C0DDE4" w:rsidR="009E1250" w:rsidRDefault="009E1250" w:rsidP="0046301E">
      <w:pPr>
        <w:spacing w:line="276" w:lineRule="auto"/>
        <w:ind w:firstLine="567"/>
        <w:jc w:val="both"/>
        <w:rPr>
          <w:rFonts w:cs="Times New Roman"/>
          <w:sz w:val="24"/>
          <w:szCs w:val="24"/>
          <w:lang w:val="uz-Latn-UZ"/>
        </w:rPr>
      </w:pPr>
    </w:p>
    <w:p w14:paraId="3F0D59E1" w14:textId="7E3DF5B6" w:rsidR="009E1250" w:rsidRDefault="009E1250" w:rsidP="0046301E">
      <w:pPr>
        <w:spacing w:line="276" w:lineRule="auto"/>
        <w:ind w:firstLine="567"/>
        <w:jc w:val="both"/>
        <w:rPr>
          <w:rFonts w:cs="Times New Roman"/>
          <w:sz w:val="24"/>
          <w:szCs w:val="24"/>
          <w:lang w:val="uz-Latn-UZ"/>
        </w:rPr>
      </w:pPr>
    </w:p>
    <w:p w14:paraId="2A083351" w14:textId="17A568FE" w:rsidR="009E1250" w:rsidRDefault="009E1250" w:rsidP="0046301E">
      <w:pPr>
        <w:spacing w:line="276" w:lineRule="auto"/>
        <w:ind w:firstLine="567"/>
        <w:jc w:val="both"/>
        <w:rPr>
          <w:rFonts w:cs="Times New Roman"/>
          <w:sz w:val="24"/>
          <w:szCs w:val="24"/>
          <w:lang w:val="uz-Latn-UZ"/>
        </w:rPr>
      </w:pPr>
    </w:p>
    <w:p w14:paraId="3FB9A573" w14:textId="500D0A10" w:rsidR="009E1250" w:rsidRDefault="009E1250" w:rsidP="0046301E">
      <w:pPr>
        <w:spacing w:line="276" w:lineRule="auto"/>
        <w:ind w:firstLine="567"/>
        <w:jc w:val="both"/>
        <w:rPr>
          <w:rFonts w:cs="Times New Roman"/>
          <w:sz w:val="24"/>
          <w:szCs w:val="24"/>
          <w:lang w:val="uz-Latn-UZ"/>
        </w:rPr>
      </w:pPr>
    </w:p>
    <w:p w14:paraId="1F47E720" w14:textId="247A6BE7" w:rsidR="009E1250" w:rsidRDefault="009E1250" w:rsidP="0046301E">
      <w:pPr>
        <w:spacing w:line="276" w:lineRule="auto"/>
        <w:ind w:firstLine="567"/>
        <w:jc w:val="both"/>
        <w:rPr>
          <w:rFonts w:cs="Times New Roman"/>
          <w:sz w:val="24"/>
          <w:szCs w:val="24"/>
          <w:lang w:val="uz-Latn-UZ"/>
        </w:rPr>
      </w:pPr>
    </w:p>
    <w:p w14:paraId="078A3604" w14:textId="5C46FAAA" w:rsidR="009E1250" w:rsidRDefault="009E1250" w:rsidP="0046301E">
      <w:pPr>
        <w:spacing w:line="276" w:lineRule="auto"/>
        <w:ind w:firstLine="567"/>
        <w:jc w:val="both"/>
        <w:rPr>
          <w:rFonts w:cs="Times New Roman"/>
          <w:sz w:val="24"/>
          <w:szCs w:val="24"/>
          <w:lang w:val="uz-Latn-UZ"/>
        </w:rPr>
      </w:pPr>
    </w:p>
    <w:p w14:paraId="2A0B22FA" w14:textId="084994C9" w:rsidR="009E1250" w:rsidRDefault="009E1250" w:rsidP="0046301E">
      <w:pPr>
        <w:spacing w:line="276" w:lineRule="auto"/>
        <w:ind w:firstLine="567"/>
        <w:jc w:val="both"/>
        <w:rPr>
          <w:rFonts w:cs="Times New Roman"/>
          <w:sz w:val="24"/>
          <w:szCs w:val="24"/>
          <w:lang w:val="uz-Latn-UZ"/>
        </w:rPr>
      </w:pPr>
    </w:p>
    <w:p w14:paraId="09DD8CD5" w14:textId="1370887F" w:rsidR="009E1250" w:rsidRDefault="009E1250" w:rsidP="0046301E">
      <w:pPr>
        <w:spacing w:line="276" w:lineRule="auto"/>
        <w:ind w:firstLine="567"/>
        <w:jc w:val="both"/>
        <w:rPr>
          <w:rFonts w:cs="Times New Roman"/>
          <w:sz w:val="24"/>
          <w:szCs w:val="24"/>
          <w:lang w:val="uz-Latn-UZ"/>
        </w:rPr>
      </w:pPr>
    </w:p>
    <w:p w14:paraId="5F311DB1" w14:textId="7A4CF9EC" w:rsidR="009E1250" w:rsidRDefault="009E1250" w:rsidP="0046301E">
      <w:pPr>
        <w:spacing w:line="276" w:lineRule="auto"/>
        <w:ind w:firstLine="567"/>
        <w:jc w:val="both"/>
        <w:rPr>
          <w:rFonts w:cs="Times New Roman"/>
          <w:sz w:val="24"/>
          <w:szCs w:val="24"/>
          <w:lang w:val="uz-Latn-UZ"/>
        </w:rPr>
      </w:pPr>
    </w:p>
    <w:p w14:paraId="761CBEC7" w14:textId="47CFD5CC" w:rsidR="009E1250" w:rsidRDefault="009E1250" w:rsidP="0046301E">
      <w:pPr>
        <w:spacing w:line="276" w:lineRule="auto"/>
        <w:ind w:firstLine="567"/>
        <w:jc w:val="both"/>
        <w:rPr>
          <w:rFonts w:cs="Times New Roman"/>
          <w:sz w:val="24"/>
          <w:szCs w:val="24"/>
          <w:lang w:val="uz-Latn-UZ"/>
        </w:rPr>
      </w:pPr>
    </w:p>
    <w:p w14:paraId="0B49D68B" w14:textId="2AB84766" w:rsidR="009E1250" w:rsidRDefault="009E1250" w:rsidP="0046301E">
      <w:pPr>
        <w:spacing w:line="276" w:lineRule="auto"/>
        <w:ind w:firstLine="567"/>
        <w:jc w:val="both"/>
        <w:rPr>
          <w:rFonts w:cs="Times New Roman"/>
          <w:sz w:val="24"/>
          <w:szCs w:val="24"/>
          <w:lang w:val="uz-Latn-UZ"/>
        </w:rPr>
      </w:pPr>
    </w:p>
    <w:p w14:paraId="7A97D0AB" w14:textId="2D2D2E4D" w:rsidR="009E1250" w:rsidRDefault="009E1250" w:rsidP="0046301E">
      <w:pPr>
        <w:spacing w:line="276" w:lineRule="auto"/>
        <w:ind w:firstLine="567"/>
        <w:jc w:val="both"/>
        <w:rPr>
          <w:rFonts w:cs="Times New Roman"/>
          <w:sz w:val="24"/>
          <w:szCs w:val="24"/>
          <w:lang w:val="uz-Latn-UZ"/>
        </w:rPr>
      </w:pPr>
    </w:p>
    <w:p w14:paraId="39561551" w14:textId="367C99FF" w:rsidR="009E1250" w:rsidRDefault="009E1250" w:rsidP="0046301E">
      <w:pPr>
        <w:spacing w:line="276" w:lineRule="auto"/>
        <w:ind w:firstLine="567"/>
        <w:jc w:val="both"/>
        <w:rPr>
          <w:rFonts w:cs="Times New Roman"/>
          <w:sz w:val="24"/>
          <w:szCs w:val="24"/>
          <w:lang w:val="uz-Latn-UZ"/>
        </w:rPr>
      </w:pPr>
    </w:p>
    <w:p w14:paraId="652C8FBF" w14:textId="7993707E" w:rsidR="009E1250" w:rsidRDefault="009E1250" w:rsidP="0046301E">
      <w:pPr>
        <w:spacing w:line="276" w:lineRule="auto"/>
        <w:ind w:firstLine="567"/>
        <w:jc w:val="both"/>
        <w:rPr>
          <w:rFonts w:cs="Times New Roman"/>
          <w:sz w:val="24"/>
          <w:szCs w:val="24"/>
          <w:lang w:val="uz-Latn-UZ"/>
        </w:rPr>
      </w:pPr>
    </w:p>
    <w:p w14:paraId="284F975F" w14:textId="77777777" w:rsidR="009E1250" w:rsidRDefault="009E1250" w:rsidP="0046301E">
      <w:pPr>
        <w:spacing w:line="276" w:lineRule="auto"/>
        <w:ind w:firstLine="567"/>
        <w:jc w:val="both"/>
        <w:rPr>
          <w:rFonts w:cs="Times New Roman"/>
          <w:sz w:val="24"/>
          <w:szCs w:val="24"/>
          <w:lang w:val="uz-Latn-UZ"/>
        </w:rPr>
      </w:pPr>
    </w:p>
    <w:p w14:paraId="5C93352C" w14:textId="166BBF90" w:rsidR="002A01E7" w:rsidRDefault="002A01E7" w:rsidP="0046301E">
      <w:pPr>
        <w:spacing w:line="276" w:lineRule="auto"/>
        <w:ind w:firstLine="567"/>
        <w:jc w:val="both"/>
        <w:rPr>
          <w:rFonts w:cs="Times New Roman"/>
          <w:sz w:val="24"/>
          <w:szCs w:val="24"/>
          <w:lang w:val="uz-Latn-UZ"/>
        </w:rPr>
      </w:pPr>
    </w:p>
    <w:p w14:paraId="3EA0C457" w14:textId="38990CF5" w:rsidR="002A01E7" w:rsidRDefault="002A01E7" w:rsidP="0046301E">
      <w:pPr>
        <w:spacing w:line="276" w:lineRule="auto"/>
        <w:ind w:firstLine="567"/>
        <w:jc w:val="both"/>
        <w:rPr>
          <w:rFonts w:cs="Times New Roman"/>
          <w:sz w:val="24"/>
          <w:szCs w:val="24"/>
          <w:lang w:val="uz-Latn-UZ"/>
        </w:rPr>
      </w:pPr>
    </w:p>
    <w:p w14:paraId="6292D431" w14:textId="35E336B1" w:rsidR="002A01E7" w:rsidRDefault="002A01E7" w:rsidP="0046301E">
      <w:pPr>
        <w:spacing w:line="276" w:lineRule="auto"/>
        <w:ind w:firstLine="567"/>
        <w:jc w:val="both"/>
        <w:rPr>
          <w:rFonts w:cs="Times New Roman"/>
          <w:sz w:val="24"/>
          <w:szCs w:val="24"/>
          <w:lang w:val="uz-Latn-UZ"/>
        </w:rPr>
      </w:pPr>
    </w:p>
    <w:p w14:paraId="68B5E470" w14:textId="2509891C" w:rsidR="002A01E7" w:rsidRDefault="002A01E7" w:rsidP="0046301E">
      <w:pPr>
        <w:spacing w:line="276" w:lineRule="auto"/>
        <w:ind w:firstLine="567"/>
        <w:jc w:val="both"/>
        <w:rPr>
          <w:rFonts w:cs="Times New Roman"/>
          <w:sz w:val="24"/>
          <w:szCs w:val="24"/>
          <w:lang w:val="uz-Latn-UZ"/>
        </w:rPr>
      </w:pPr>
    </w:p>
    <w:p w14:paraId="79DDCAA4" w14:textId="4CB3DCC1" w:rsidR="002A01E7" w:rsidRDefault="002A01E7" w:rsidP="0046301E">
      <w:pPr>
        <w:spacing w:line="276" w:lineRule="auto"/>
        <w:ind w:firstLine="567"/>
        <w:jc w:val="both"/>
        <w:rPr>
          <w:rFonts w:cs="Times New Roman"/>
          <w:sz w:val="24"/>
          <w:szCs w:val="24"/>
          <w:lang w:val="uz-Latn-UZ"/>
        </w:rPr>
      </w:pPr>
    </w:p>
    <w:p w14:paraId="2B28B699" w14:textId="53F1E74B" w:rsidR="002A01E7" w:rsidRDefault="002A01E7" w:rsidP="0046301E">
      <w:pPr>
        <w:spacing w:line="276" w:lineRule="auto"/>
        <w:ind w:firstLine="567"/>
        <w:jc w:val="both"/>
        <w:rPr>
          <w:rFonts w:cs="Times New Roman"/>
          <w:sz w:val="24"/>
          <w:szCs w:val="24"/>
          <w:lang w:val="uz-Latn-UZ"/>
        </w:rPr>
      </w:pPr>
    </w:p>
    <w:p w14:paraId="02430EAD" w14:textId="6196C1F0" w:rsidR="002A01E7" w:rsidRDefault="002A01E7" w:rsidP="0046301E">
      <w:pPr>
        <w:spacing w:line="276" w:lineRule="auto"/>
        <w:ind w:firstLine="567"/>
        <w:jc w:val="both"/>
        <w:rPr>
          <w:rFonts w:cs="Times New Roman"/>
          <w:sz w:val="24"/>
          <w:szCs w:val="24"/>
          <w:lang w:val="uz-Latn-UZ"/>
        </w:rPr>
      </w:pPr>
    </w:p>
    <w:p w14:paraId="6F9AEBC7" w14:textId="25542F19" w:rsidR="002A01E7" w:rsidRDefault="002A01E7" w:rsidP="0046301E">
      <w:pPr>
        <w:spacing w:line="276" w:lineRule="auto"/>
        <w:ind w:firstLine="567"/>
        <w:jc w:val="both"/>
        <w:rPr>
          <w:rFonts w:cs="Times New Roman"/>
          <w:sz w:val="24"/>
          <w:szCs w:val="24"/>
          <w:lang w:val="uz-Latn-UZ"/>
        </w:rPr>
      </w:pPr>
    </w:p>
    <w:p w14:paraId="299FAB06" w14:textId="6D70CFF5" w:rsidR="002A01E7" w:rsidRDefault="002A01E7" w:rsidP="0046301E">
      <w:pPr>
        <w:spacing w:line="276" w:lineRule="auto"/>
        <w:ind w:firstLine="567"/>
        <w:jc w:val="both"/>
        <w:rPr>
          <w:rFonts w:cs="Times New Roman"/>
          <w:sz w:val="24"/>
          <w:szCs w:val="24"/>
          <w:lang w:val="uz-Latn-UZ"/>
        </w:rPr>
      </w:pPr>
    </w:p>
    <w:p w14:paraId="1BE6CE7C" w14:textId="008C34DB" w:rsidR="002A01E7" w:rsidRDefault="002A01E7" w:rsidP="0046301E">
      <w:pPr>
        <w:spacing w:line="276" w:lineRule="auto"/>
        <w:ind w:firstLine="567"/>
        <w:jc w:val="both"/>
        <w:rPr>
          <w:rFonts w:cs="Times New Roman"/>
          <w:sz w:val="24"/>
          <w:szCs w:val="24"/>
          <w:lang w:val="uz-Latn-UZ"/>
        </w:rPr>
      </w:pPr>
    </w:p>
    <w:p w14:paraId="1DD465D1" w14:textId="7852B580" w:rsidR="002A01E7" w:rsidRDefault="002A01E7" w:rsidP="0046301E">
      <w:pPr>
        <w:spacing w:line="276" w:lineRule="auto"/>
        <w:ind w:firstLine="567"/>
        <w:jc w:val="both"/>
        <w:rPr>
          <w:rFonts w:cs="Times New Roman"/>
          <w:sz w:val="24"/>
          <w:szCs w:val="24"/>
          <w:lang w:val="uz-Latn-UZ"/>
        </w:rPr>
      </w:pPr>
    </w:p>
    <w:p w14:paraId="1809EC25" w14:textId="4FB5143E" w:rsidR="002A01E7" w:rsidRDefault="002A01E7" w:rsidP="0046301E">
      <w:pPr>
        <w:spacing w:line="276" w:lineRule="auto"/>
        <w:ind w:firstLine="567"/>
        <w:jc w:val="both"/>
        <w:rPr>
          <w:rFonts w:cs="Times New Roman"/>
          <w:sz w:val="24"/>
          <w:szCs w:val="24"/>
          <w:lang w:val="uz-Latn-UZ"/>
        </w:rPr>
      </w:pPr>
    </w:p>
    <w:p w14:paraId="70D66F54" w14:textId="6D79DD6D" w:rsidR="002A01E7" w:rsidRDefault="002A01E7" w:rsidP="0046301E">
      <w:pPr>
        <w:spacing w:line="276" w:lineRule="auto"/>
        <w:ind w:firstLine="567"/>
        <w:jc w:val="both"/>
        <w:rPr>
          <w:rFonts w:cs="Times New Roman"/>
          <w:sz w:val="24"/>
          <w:szCs w:val="24"/>
          <w:lang w:val="uz-Latn-UZ"/>
        </w:rPr>
      </w:pPr>
    </w:p>
    <w:p w14:paraId="77309ECC" w14:textId="1F48F039" w:rsidR="002A01E7" w:rsidRDefault="002A01E7" w:rsidP="0046301E">
      <w:pPr>
        <w:spacing w:line="276" w:lineRule="auto"/>
        <w:ind w:firstLine="567"/>
        <w:jc w:val="both"/>
        <w:rPr>
          <w:rFonts w:cs="Times New Roman"/>
          <w:sz w:val="24"/>
          <w:szCs w:val="24"/>
          <w:lang w:val="uz-Latn-UZ"/>
        </w:rPr>
      </w:pPr>
    </w:p>
    <w:p w14:paraId="4C3474C7" w14:textId="1370C75E" w:rsidR="002A01E7" w:rsidRDefault="002A01E7" w:rsidP="0046301E">
      <w:pPr>
        <w:spacing w:line="276" w:lineRule="auto"/>
        <w:ind w:firstLine="567"/>
        <w:jc w:val="both"/>
        <w:rPr>
          <w:rFonts w:cs="Times New Roman"/>
          <w:sz w:val="24"/>
          <w:szCs w:val="24"/>
          <w:lang w:val="uz-Latn-UZ"/>
        </w:rPr>
      </w:pPr>
    </w:p>
    <w:p w14:paraId="689D2927" w14:textId="7040AC5C" w:rsidR="002A01E7" w:rsidRDefault="002A01E7" w:rsidP="0046301E">
      <w:pPr>
        <w:spacing w:line="276" w:lineRule="auto"/>
        <w:ind w:firstLine="567"/>
        <w:jc w:val="both"/>
        <w:rPr>
          <w:rFonts w:cs="Times New Roman"/>
          <w:sz w:val="24"/>
          <w:szCs w:val="24"/>
          <w:lang w:val="uz-Latn-UZ"/>
        </w:rPr>
      </w:pPr>
    </w:p>
    <w:p w14:paraId="7C21348A" w14:textId="20E97A5C" w:rsidR="002A01E7" w:rsidRDefault="002A01E7" w:rsidP="0046301E">
      <w:pPr>
        <w:spacing w:line="276" w:lineRule="auto"/>
        <w:ind w:firstLine="567"/>
        <w:jc w:val="both"/>
        <w:rPr>
          <w:rFonts w:cs="Times New Roman"/>
          <w:sz w:val="24"/>
          <w:szCs w:val="24"/>
          <w:lang w:val="uz-Latn-UZ"/>
        </w:rPr>
      </w:pPr>
    </w:p>
    <w:p w14:paraId="6563FC8B" w14:textId="47DC4A25" w:rsidR="0046301E" w:rsidRDefault="0046301E" w:rsidP="0046301E">
      <w:pPr>
        <w:spacing w:line="276" w:lineRule="auto"/>
        <w:ind w:firstLine="567"/>
        <w:jc w:val="both"/>
        <w:rPr>
          <w:rFonts w:cs="Times New Roman"/>
          <w:sz w:val="24"/>
          <w:szCs w:val="24"/>
          <w:lang w:val="uz-Latn-UZ"/>
        </w:rPr>
      </w:pPr>
    </w:p>
    <w:p w14:paraId="720D040E" w14:textId="6BF72BB5" w:rsidR="002B434E" w:rsidRDefault="002B434E" w:rsidP="008441E6">
      <w:pPr>
        <w:spacing w:line="264" w:lineRule="auto"/>
        <w:ind w:firstLine="567"/>
        <w:jc w:val="both"/>
        <w:rPr>
          <w:sz w:val="24"/>
          <w:lang w:val="uz-Latn-UZ"/>
        </w:rPr>
        <w:sectPr w:rsidR="002B434E" w:rsidSect="002B434E">
          <w:type w:val="continuous"/>
          <w:pgSz w:w="11907" w:h="16840" w:code="9"/>
          <w:pgMar w:top="1418" w:right="1134" w:bottom="1134" w:left="1134" w:header="907" w:footer="794" w:gutter="0"/>
          <w:cols w:num="2" w:space="708"/>
          <w:docGrid w:linePitch="381"/>
        </w:sectPr>
      </w:pPr>
    </w:p>
    <w:p w14:paraId="1697C2C4" w14:textId="1ACD2C2B" w:rsidR="00666581" w:rsidRDefault="00666581" w:rsidP="002B434E">
      <w:pPr>
        <w:spacing w:line="276" w:lineRule="auto"/>
        <w:ind w:firstLine="567"/>
        <w:jc w:val="both"/>
        <w:rPr>
          <w:sz w:val="24"/>
          <w:lang w:val="uz-Latn-UZ"/>
        </w:rPr>
      </w:pPr>
    </w:p>
    <w:p w14:paraId="7A51B843" w14:textId="086C28DD" w:rsidR="00615D7B" w:rsidRPr="000E51E4" w:rsidRDefault="000A294C" w:rsidP="00615D7B">
      <w:pPr>
        <w:jc w:val="center"/>
        <w:rPr>
          <w:rFonts w:ascii="Cambria" w:hAnsi="Cambria"/>
          <w:b/>
          <w:bCs/>
          <w:sz w:val="48"/>
          <w:szCs w:val="40"/>
          <w:lang w:val="ru-RU"/>
        </w:rPr>
      </w:pPr>
      <w:r w:rsidRPr="000A294C">
        <w:rPr>
          <w:rFonts w:ascii="Cambria" w:hAnsi="Cambria"/>
          <w:b/>
          <w:bCs/>
          <w:sz w:val="48"/>
          <w:szCs w:val="40"/>
          <w:lang w:val="ru-RU"/>
        </w:rPr>
        <w:lastRenderedPageBreak/>
        <w:t>EXPERIMENTAL BIOLOGY AND MEDICINE</w:t>
      </w:r>
    </w:p>
    <w:tbl>
      <w:tblPr>
        <w:tblW w:w="0" w:type="auto"/>
        <w:tblLook w:val="04A0" w:firstRow="1" w:lastRow="0" w:firstColumn="1" w:lastColumn="0" w:noHBand="0" w:noVBand="1"/>
      </w:tblPr>
      <w:tblGrid>
        <w:gridCol w:w="9629"/>
      </w:tblGrid>
      <w:tr w:rsidR="00615D7B" w14:paraId="04D598FC" w14:textId="77777777" w:rsidTr="001C077A">
        <w:tc>
          <w:tcPr>
            <w:tcW w:w="9629" w:type="dxa"/>
            <w:tcBorders>
              <w:top w:val="nil"/>
              <w:left w:val="nil"/>
              <w:bottom w:val="thinThickSmallGap" w:sz="12" w:space="0" w:color="2E74B5" w:themeColor="accent5" w:themeShade="BF"/>
              <w:right w:val="nil"/>
            </w:tcBorders>
          </w:tcPr>
          <w:p w14:paraId="2C16E17F" w14:textId="77777777" w:rsidR="00615D7B" w:rsidRPr="00D4390E" w:rsidRDefault="00615D7B" w:rsidP="001C077A">
            <w:pPr>
              <w:rPr>
                <w:rFonts w:ascii="Cambria" w:hAnsi="Cambria"/>
                <w:sz w:val="20"/>
                <w:szCs w:val="16"/>
                <w:lang w:val="ru-RU"/>
              </w:rPr>
            </w:pPr>
          </w:p>
        </w:tc>
      </w:tr>
    </w:tbl>
    <w:p w14:paraId="417932F9" w14:textId="115AB8D7" w:rsidR="00666581" w:rsidRPr="00F5793C" w:rsidRDefault="00666581" w:rsidP="00F5793C">
      <w:pPr>
        <w:tabs>
          <w:tab w:val="left" w:pos="2628"/>
        </w:tabs>
        <w:spacing w:line="276" w:lineRule="auto"/>
        <w:ind w:firstLine="567"/>
        <w:jc w:val="both"/>
        <w:rPr>
          <w:rFonts w:cs="Times New Roman"/>
          <w:sz w:val="24"/>
          <w:szCs w:val="24"/>
          <w:lang w:val="uz-Latn-UZ"/>
        </w:rPr>
      </w:pPr>
    </w:p>
    <w:p w14:paraId="021C6CFC" w14:textId="5032A9CB" w:rsidR="00F5793C" w:rsidRDefault="00F5793C" w:rsidP="00874ADB">
      <w:pPr>
        <w:spacing w:line="288" w:lineRule="auto"/>
        <w:jc w:val="both"/>
        <w:rPr>
          <w:rFonts w:eastAsia="Calibri" w:cs="Times New Roman"/>
          <w:bCs/>
          <w:sz w:val="24"/>
          <w:szCs w:val="24"/>
        </w:rPr>
      </w:pPr>
      <w:r w:rsidRPr="00F5793C">
        <w:rPr>
          <w:rFonts w:eastAsia="Calibri" w:cs="Times New Roman"/>
          <w:bCs/>
          <w:sz w:val="24"/>
          <w:szCs w:val="24"/>
        </w:rPr>
        <w:t>UDK: 611.367</w:t>
      </w:r>
    </w:p>
    <w:p w14:paraId="1AAE6B72" w14:textId="77777777" w:rsidR="00F5793C" w:rsidRDefault="00F5793C" w:rsidP="00874ADB">
      <w:pPr>
        <w:spacing w:line="288" w:lineRule="auto"/>
        <w:jc w:val="both"/>
        <w:rPr>
          <w:rFonts w:eastAsia="Calibri" w:cs="Times New Roman"/>
          <w:bCs/>
          <w:color w:val="000000"/>
          <w:sz w:val="24"/>
          <w:szCs w:val="24"/>
          <w:shd w:val="clear" w:color="auto" w:fill="EAEAEA"/>
        </w:rPr>
      </w:pPr>
    </w:p>
    <w:p w14:paraId="178DC250" w14:textId="5F42A485" w:rsidR="00F5793C" w:rsidRPr="00F5793C" w:rsidRDefault="00F5793C" w:rsidP="002A2904">
      <w:pPr>
        <w:pStyle w:val="1"/>
        <w:rPr>
          <w:rFonts w:eastAsia="Calibri"/>
        </w:rPr>
      </w:pPr>
      <w:bookmarkStart w:id="34" w:name="_Toc104745759"/>
      <w:r w:rsidRPr="00F5793C">
        <w:rPr>
          <w:rFonts w:eastAsia="Calibri"/>
        </w:rPr>
        <w:t>STRUCTURAL FEATURES OF THE HEPATIC-PANCREATIC AMPOULE OF RATS, RABBITS AND GUINE PIGS</w:t>
      </w:r>
      <w:bookmarkEnd w:id="34"/>
    </w:p>
    <w:p w14:paraId="252BE101" w14:textId="77777777" w:rsidR="00F5793C" w:rsidRPr="00034123" w:rsidRDefault="00F5793C" w:rsidP="00874ADB">
      <w:pPr>
        <w:spacing w:line="288" w:lineRule="auto"/>
        <w:jc w:val="both"/>
        <w:rPr>
          <w:rFonts w:eastAsia="Calibri" w:cs="Times New Roman"/>
          <w:b/>
          <w:sz w:val="24"/>
          <w:szCs w:val="24"/>
        </w:rPr>
      </w:pPr>
      <w:bookmarkStart w:id="35" w:name="OLE_LINK1"/>
    </w:p>
    <w:p w14:paraId="34642479" w14:textId="10551DAA" w:rsidR="00F5793C" w:rsidRDefault="00AC75DC" w:rsidP="00874ADB">
      <w:pPr>
        <w:spacing w:line="288" w:lineRule="auto"/>
        <w:jc w:val="center"/>
        <w:rPr>
          <w:rFonts w:eastAsia="Calibri" w:cs="Times New Roman"/>
          <w:b/>
          <w:sz w:val="24"/>
          <w:szCs w:val="24"/>
          <w:lang w:val="ru-RU"/>
        </w:rPr>
      </w:pPr>
      <w:r w:rsidRPr="00F5793C">
        <w:rPr>
          <w:rFonts w:eastAsia="Calibri" w:cs="Times New Roman"/>
          <w:b/>
          <w:sz w:val="24"/>
          <w:szCs w:val="24"/>
          <w:lang w:val="ru-RU"/>
        </w:rPr>
        <w:t>ОСОБЕННОСТИ</w:t>
      </w:r>
      <w:r w:rsidR="00F5793C" w:rsidRPr="00F5793C">
        <w:rPr>
          <w:rFonts w:eastAsia="Calibri" w:cs="Times New Roman"/>
          <w:b/>
          <w:sz w:val="24"/>
          <w:szCs w:val="24"/>
          <w:lang w:val="ru-RU"/>
        </w:rPr>
        <w:t xml:space="preserve"> СТРУКТУРЫ ПЕЧЕНО-ПОДЖЕЛУДОЧНОЙ АМПУЛЫ КРЫС, КРОЛИКОВ И МОРСКИХ СВИНОК</w:t>
      </w:r>
    </w:p>
    <w:p w14:paraId="4AD80531" w14:textId="77777777" w:rsidR="00F5793C" w:rsidRPr="00F5793C" w:rsidRDefault="00F5793C" w:rsidP="00874ADB">
      <w:pPr>
        <w:spacing w:line="288" w:lineRule="auto"/>
        <w:jc w:val="center"/>
        <w:rPr>
          <w:rFonts w:eastAsia="Calibri" w:cs="Times New Roman"/>
          <w:b/>
          <w:sz w:val="24"/>
          <w:szCs w:val="24"/>
          <w:lang w:val="ru-RU"/>
        </w:rPr>
      </w:pPr>
    </w:p>
    <w:bookmarkEnd w:id="35"/>
    <w:p w14:paraId="00D8034A" w14:textId="77777777" w:rsidR="00F5793C" w:rsidRPr="00F5793C" w:rsidRDefault="00F5793C" w:rsidP="00874ADB">
      <w:pPr>
        <w:spacing w:line="288" w:lineRule="auto"/>
        <w:jc w:val="center"/>
        <w:rPr>
          <w:rFonts w:eastAsia="Calibri" w:cs="Times New Roman"/>
          <w:b/>
          <w:sz w:val="24"/>
          <w:szCs w:val="24"/>
          <w:lang w:val="ru-RU"/>
        </w:rPr>
      </w:pPr>
      <w:r w:rsidRPr="00F5793C">
        <w:rPr>
          <w:rFonts w:eastAsia="Calibri" w:cs="Times New Roman"/>
          <w:b/>
          <w:sz w:val="24"/>
          <w:szCs w:val="24"/>
        </w:rPr>
        <w:t>SICHQONLAR</w:t>
      </w:r>
      <w:r w:rsidRPr="00F5793C">
        <w:rPr>
          <w:rFonts w:eastAsia="Calibri" w:cs="Times New Roman"/>
          <w:b/>
          <w:sz w:val="24"/>
          <w:szCs w:val="24"/>
          <w:lang w:val="ru-RU"/>
        </w:rPr>
        <w:t xml:space="preserve">, </w:t>
      </w:r>
      <w:r w:rsidRPr="00F5793C">
        <w:rPr>
          <w:rFonts w:eastAsia="Calibri" w:cs="Times New Roman"/>
          <w:b/>
          <w:sz w:val="24"/>
          <w:szCs w:val="24"/>
        </w:rPr>
        <w:t>QUYONLAR</w:t>
      </w:r>
      <w:r w:rsidRPr="00F5793C">
        <w:rPr>
          <w:rFonts w:eastAsia="Calibri" w:cs="Times New Roman"/>
          <w:b/>
          <w:sz w:val="24"/>
          <w:szCs w:val="24"/>
          <w:lang w:val="ru-RU"/>
        </w:rPr>
        <w:t xml:space="preserve"> </w:t>
      </w:r>
      <w:r w:rsidRPr="00F5793C">
        <w:rPr>
          <w:rFonts w:eastAsia="Calibri" w:cs="Times New Roman"/>
          <w:b/>
          <w:sz w:val="24"/>
          <w:szCs w:val="24"/>
        </w:rPr>
        <w:t>VA</w:t>
      </w:r>
      <w:r w:rsidRPr="00F5793C">
        <w:rPr>
          <w:rFonts w:eastAsia="Calibri" w:cs="Times New Roman"/>
          <w:b/>
          <w:sz w:val="24"/>
          <w:szCs w:val="24"/>
          <w:lang w:val="ru-RU"/>
        </w:rPr>
        <w:t xml:space="preserve"> </w:t>
      </w:r>
      <w:r w:rsidRPr="00F5793C">
        <w:rPr>
          <w:rFonts w:eastAsia="Calibri" w:cs="Times New Roman"/>
          <w:b/>
          <w:sz w:val="24"/>
          <w:szCs w:val="24"/>
        </w:rPr>
        <w:t>DENGIZ</w:t>
      </w:r>
      <w:r w:rsidRPr="00F5793C">
        <w:rPr>
          <w:rFonts w:eastAsia="Calibri" w:cs="Times New Roman"/>
          <w:b/>
          <w:sz w:val="24"/>
          <w:szCs w:val="24"/>
          <w:lang w:val="ru-RU"/>
        </w:rPr>
        <w:t xml:space="preserve"> </w:t>
      </w:r>
      <w:r w:rsidRPr="00F5793C">
        <w:rPr>
          <w:rFonts w:eastAsia="Calibri" w:cs="Times New Roman"/>
          <w:b/>
          <w:sz w:val="24"/>
          <w:szCs w:val="24"/>
        </w:rPr>
        <w:t>CHO</w:t>
      </w:r>
      <w:r w:rsidRPr="00F5793C">
        <w:rPr>
          <w:rFonts w:eastAsia="Calibri" w:cs="Times New Roman"/>
          <w:b/>
          <w:sz w:val="24"/>
          <w:szCs w:val="24"/>
          <w:lang w:val="ru-RU"/>
        </w:rPr>
        <w:t>‘</w:t>
      </w:r>
      <w:r w:rsidRPr="00F5793C">
        <w:rPr>
          <w:rFonts w:eastAsia="Calibri" w:cs="Times New Roman"/>
          <w:b/>
          <w:sz w:val="24"/>
          <w:szCs w:val="24"/>
        </w:rPr>
        <w:t>CHQALARI</w:t>
      </w:r>
      <w:r w:rsidRPr="00F5793C">
        <w:rPr>
          <w:rFonts w:eastAsia="Calibri" w:cs="Times New Roman"/>
          <w:b/>
          <w:sz w:val="24"/>
          <w:szCs w:val="24"/>
          <w:lang w:val="ru-RU"/>
        </w:rPr>
        <w:t xml:space="preserve"> </w:t>
      </w:r>
      <w:r w:rsidRPr="00F5793C">
        <w:rPr>
          <w:rFonts w:eastAsia="Calibri" w:cs="Times New Roman"/>
          <w:b/>
          <w:sz w:val="24"/>
          <w:szCs w:val="24"/>
        </w:rPr>
        <w:t>JIGAR</w:t>
      </w:r>
      <w:r w:rsidRPr="00F5793C">
        <w:rPr>
          <w:rFonts w:eastAsia="Calibri" w:cs="Times New Roman"/>
          <w:b/>
          <w:sz w:val="24"/>
          <w:szCs w:val="24"/>
          <w:lang w:val="ru-RU"/>
        </w:rPr>
        <w:t>-</w:t>
      </w:r>
      <w:r w:rsidRPr="00F5793C">
        <w:rPr>
          <w:rFonts w:eastAsia="Calibri" w:cs="Times New Roman"/>
          <w:b/>
          <w:sz w:val="24"/>
          <w:szCs w:val="24"/>
        </w:rPr>
        <w:t>O</w:t>
      </w:r>
      <w:r w:rsidRPr="00F5793C">
        <w:rPr>
          <w:rFonts w:eastAsia="Calibri" w:cs="Times New Roman"/>
          <w:b/>
          <w:sz w:val="24"/>
          <w:szCs w:val="24"/>
          <w:lang w:val="ru-RU"/>
        </w:rPr>
        <w:t>‘</w:t>
      </w:r>
      <w:r w:rsidRPr="00F5793C">
        <w:rPr>
          <w:rFonts w:eastAsia="Calibri" w:cs="Times New Roman"/>
          <w:b/>
          <w:sz w:val="24"/>
          <w:szCs w:val="24"/>
        </w:rPr>
        <w:t>N</w:t>
      </w:r>
      <w:r w:rsidRPr="00F5793C">
        <w:rPr>
          <w:rFonts w:eastAsia="Calibri" w:cs="Times New Roman"/>
          <w:b/>
          <w:sz w:val="24"/>
          <w:szCs w:val="24"/>
          <w:lang w:val="ru-RU"/>
        </w:rPr>
        <w:t xml:space="preserve"> </w:t>
      </w:r>
      <w:r w:rsidRPr="00F5793C">
        <w:rPr>
          <w:rFonts w:eastAsia="Calibri" w:cs="Times New Roman"/>
          <w:b/>
          <w:sz w:val="24"/>
          <w:szCs w:val="24"/>
        </w:rPr>
        <w:t>IKKI</w:t>
      </w:r>
      <w:r w:rsidRPr="00F5793C">
        <w:rPr>
          <w:rFonts w:eastAsia="Calibri" w:cs="Times New Roman"/>
          <w:b/>
          <w:sz w:val="24"/>
          <w:szCs w:val="24"/>
          <w:lang w:val="ru-RU"/>
        </w:rPr>
        <w:t xml:space="preserve"> </w:t>
      </w:r>
      <w:r w:rsidRPr="00F5793C">
        <w:rPr>
          <w:rFonts w:eastAsia="Calibri" w:cs="Times New Roman"/>
          <w:b/>
          <w:sz w:val="24"/>
          <w:szCs w:val="24"/>
        </w:rPr>
        <w:t>BARMOQLI</w:t>
      </w:r>
      <w:r w:rsidRPr="00F5793C">
        <w:rPr>
          <w:rFonts w:eastAsia="Calibri" w:cs="Times New Roman"/>
          <w:b/>
          <w:sz w:val="24"/>
          <w:szCs w:val="24"/>
          <w:lang w:val="ru-RU"/>
        </w:rPr>
        <w:t xml:space="preserve"> </w:t>
      </w:r>
      <w:r w:rsidRPr="00F5793C">
        <w:rPr>
          <w:rFonts w:eastAsia="Calibri" w:cs="Times New Roman"/>
          <w:b/>
          <w:sz w:val="24"/>
          <w:szCs w:val="24"/>
        </w:rPr>
        <w:t>ICHAK</w:t>
      </w:r>
      <w:r w:rsidRPr="00F5793C">
        <w:rPr>
          <w:rFonts w:eastAsia="Calibri" w:cs="Times New Roman"/>
          <w:b/>
          <w:sz w:val="24"/>
          <w:szCs w:val="24"/>
          <w:lang w:val="ru-RU"/>
        </w:rPr>
        <w:t xml:space="preserve"> </w:t>
      </w:r>
      <w:r w:rsidRPr="00F5793C">
        <w:rPr>
          <w:rFonts w:eastAsia="Calibri" w:cs="Times New Roman"/>
          <w:b/>
          <w:sz w:val="24"/>
          <w:szCs w:val="24"/>
        </w:rPr>
        <w:t>AMPULASI</w:t>
      </w:r>
      <w:r w:rsidRPr="00F5793C">
        <w:rPr>
          <w:rFonts w:eastAsia="Calibri" w:cs="Times New Roman"/>
          <w:b/>
          <w:sz w:val="24"/>
          <w:szCs w:val="24"/>
          <w:lang w:val="ru-RU"/>
        </w:rPr>
        <w:t xml:space="preserve"> </w:t>
      </w:r>
      <w:r w:rsidRPr="00F5793C">
        <w:rPr>
          <w:rFonts w:eastAsia="Calibri" w:cs="Times New Roman"/>
          <w:b/>
          <w:sz w:val="24"/>
          <w:szCs w:val="24"/>
        </w:rPr>
        <w:t>TUZILISHINING</w:t>
      </w:r>
      <w:r w:rsidRPr="00F5793C">
        <w:rPr>
          <w:rFonts w:eastAsia="Calibri" w:cs="Times New Roman"/>
          <w:b/>
          <w:sz w:val="24"/>
          <w:szCs w:val="24"/>
          <w:lang w:val="ru-RU"/>
        </w:rPr>
        <w:t xml:space="preserve"> </w:t>
      </w:r>
      <w:r w:rsidRPr="00F5793C">
        <w:rPr>
          <w:rFonts w:eastAsia="Calibri" w:cs="Times New Roman"/>
          <w:b/>
          <w:sz w:val="24"/>
          <w:szCs w:val="24"/>
        </w:rPr>
        <w:t>XUSUSIYATLARI</w:t>
      </w:r>
      <w:r w:rsidRPr="00F5793C">
        <w:rPr>
          <w:rFonts w:eastAsia="Calibri" w:cs="Times New Roman"/>
          <w:b/>
          <w:sz w:val="24"/>
          <w:szCs w:val="24"/>
          <w:lang w:val="ru-RU"/>
        </w:rPr>
        <w:t>.</w:t>
      </w:r>
    </w:p>
    <w:p w14:paraId="646F583D" w14:textId="77777777" w:rsidR="00F5793C" w:rsidRPr="00034123" w:rsidRDefault="00F5793C" w:rsidP="00874ADB">
      <w:pPr>
        <w:spacing w:line="288" w:lineRule="auto"/>
        <w:ind w:firstLine="567"/>
        <w:jc w:val="both"/>
        <w:rPr>
          <w:rFonts w:eastAsia="Calibri" w:cs="Times New Roman"/>
          <w:b/>
          <w:sz w:val="24"/>
          <w:szCs w:val="24"/>
          <w:lang w:val="ru-RU"/>
        </w:rPr>
      </w:pPr>
    </w:p>
    <w:p w14:paraId="1518A444" w14:textId="0992A650" w:rsidR="00F5793C" w:rsidRPr="00F5793C" w:rsidRDefault="00F5793C" w:rsidP="00874ADB">
      <w:pPr>
        <w:spacing w:line="288" w:lineRule="auto"/>
        <w:jc w:val="center"/>
        <w:rPr>
          <w:rFonts w:eastAsia="Calibri" w:cs="Times New Roman"/>
          <w:b/>
          <w:bCs/>
          <w:sz w:val="24"/>
          <w:szCs w:val="24"/>
        </w:rPr>
      </w:pPr>
      <w:r w:rsidRPr="00F5793C">
        <w:rPr>
          <w:rFonts w:eastAsia="Calibri" w:cs="Times New Roman"/>
          <w:b/>
          <w:bCs/>
          <w:sz w:val="24"/>
          <w:szCs w:val="24"/>
        </w:rPr>
        <w:t>Oripov Firdavs Suratovich, doctor of medical sciences, associate professor</w:t>
      </w:r>
    </w:p>
    <w:p w14:paraId="6D6275B4" w14:textId="1A74B00D" w:rsidR="00F5793C" w:rsidRPr="00F5793C" w:rsidRDefault="00F5793C" w:rsidP="00874ADB">
      <w:pPr>
        <w:spacing w:line="288" w:lineRule="auto"/>
        <w:jc w:val="center"/>
        <w:rPr>
          <w:rFonts w:eastAsia="Calibri" w:cs="Times New Roman"/>
          <w:b/>
          <w:bCs/>
          <w:sz w:val="24"/>
          <w:szCs w:val="24"/>
        </w:rPr>
      </w:pPr>
      <w:r w:rsidRPr="00F5793C">
        <w:rPr>
          <w:rFonts w:eastAsia="Calibri" w:cs="Times New Roman"/>
          <w:b/>
          <w:bCs/>
          <w:sz w:val="24"/>
          <w:szCs w:val="24"/>
        </w:rPr>
        <w:t>Rakhmanov Zafarzhon Mamadiyevich, assistant</w:t>
      </w:r>
    </w:p>
    <w:p w14:paraId="754A72A6" w14:textId="77777777" w:rsidR="00F5793C" w:rsidRPr="00F5793C" w:rsidRDefault="00F5793C" w:rsidP="00874ADB">
      <w:pPr>
        <w:spacing w:line="288" w:lineRule="auto"/>
        <w:jc w:val="center"/>
        <w:rPr>
          <w:rFonts w:eastAsia="Calibri" w:cs="Times New Roman"/>
          <w:sz w:val="24"/>
          <w:szCs w:val="24"/>
        </w:rPr>
      </w:pPr>
      <w:r w:rsidRPr="00F5793C">
        <w:rPr>
          <w:rFonts w:eastAsia="Calibri" w:cs="Times New Roman"/>
          <w:sz w:val="24"/>
          <w:szCs w:val="24"/>
        </w:rPr>
        <w:t>Department of Human Anatomy</w:t>
      </w:r>
    </w:p>
    <w:p w14:paraId="2FB3B32B" w14:textId="77777777" w:rsidR="00F5793C" w:rsidRDefault="00F5793C" w:rsidP="00874ADB">
      <w:pPr>
        <w:spacing w:line="288" w:lineRule="auto"/>
        <w:jc w:val="center"/>
        <w:rPr>
          <w:rFonts w:eastAsia="Calibri" w:cs="Times New Roman"/>
          <w:b/>
          <w:bCs/>
          <w:sz w:val="24"/>
          <w:szCs w:val="24"/>
        </w:rPr>
      </w:pPr>
    </w:p>
    <w:p w14:paraId="441D38AD" w14:textId="40198FF0" w:rsidR="00F5793C" w:rsidRPr="00F5793C" w:rsidRDefault="00F5793C" w:rsidP="00874ADB">
      <w:pPr>
        <w:spacing w:line="288" w:lineRule="auto"/>
        <w:jc w:val="center"/>
        <w:rPr>
          <w:rFonts w:eastAsia="Calibri" w:cs="Times New Roman"/>
          <w:b/>
          <w:bCs/>
          <w:sz w:val="24"/>
          <w:szCs w:val="24"/>
        </w:rPr>
      </w:pPr>
      <w:r w:rsidRPr="00F5793C">
        <w:rPr>
          <w:rFonts w:eastAsia="Calibri" w:cs="Times New Roman"/>
          <w:b/>
          <w:bCs/>
          <w:sz w:val="24"/>
          <w:szCs w:val="24"/>
        </w:rPr>
        <w:t>Rakhmanova Khabiba Nurullayevna, assistant</w:t>
      </w:r>
    </w:p>
    <w:p w14:paraId="30140DC1" w14:textId="77777777" w:rsidR="00F5793C" w:rsidRPr="00F5793C" w:rsidRDefault="00F5793C" w:rsidP="00874ADB">
      <w:pPr>
        <w:spacing w:line="288" w:lineRule="auto"/>
        <w:jc w:val="center"/>
        <w:rPr>
          <w:rFonts w:eastAsia="Calibri" w:cs="Times New Roman"/>
          <w:sz w:val="24"/>
          <w:szCs w:val="24"/>
        </w:rPr>
      </w:pPr>
      <w:r w:rsidRPr="00F5793C">
        <w:rPr>
          <w:rFonts w:eastAsia="Calibri" w:cs="Times New Roman"/>
          <w:sz w:val="24"/>
          <w:szCs w:val="24"/>
        </w:rPr>
        <w:t>Department of Histology, Cytology and Embryology,</w:t>
      </w:r>
    </w:p>
    <w:p w14:paraId="6B6F19C5" w14:textId="37EAA71B" w:rsidR="00F5793C" w:rsidRPr="00F5793C" w:rsidRDefault="00F5793C" w:rsidP="00874ADB">
      <w:pPr>
        <w:spacing w:line="288" w:lineRule="auto"/>
        <w:jc w:val="center"/>
        <w:rPr>
          <w:rFonts w:eastAsia="Calibri" w:cs="Times New Roman"/>
          <w:sz w:val="24"/>
          <w:szCs w:val="24"/>
        </w:rPr>
      </w:pPr>
      <w:r w:rsidRPr="00F5793C">
        <w:rPr>
          <w:rFonts w:eastAsia="Calibri" w:cs="Times New Roman"/>
          <w:sz w:val="24"/>
          <w:szCs w:val="24"/>
        </w:rPr>
        <w:t>Samarkand State Medical University</w:t>
      </w:r>
      <w:r>
        <w:rPr>
          <w:rFonts w:eastAsia="Calibri" w:cs="Times New Roman"/>
          <w:sz w:val="24"/>
          <w:szCs w:val="24"/>
        </w:rPr>
        <w:t xml:space="preserve">, </w:t>
      </w:r>
      <w:r w:rsidRPr="00F5793C">
        <w:rPr>
          <w:rFonts w:eastAsia="Calibri" w:cs="Times New Roman"/>
          <w:sz w:val="24"/>
          <w:szCs w:val="24"/>
        </w:rPr>
        <w:t>Samarkand, Uzbekistan</w:t>
      </w:r>
    </w:p>
    <w:p w14:paraId="203C8737" w14:textId="77777777" w:rsidR="00F5793C" w:rsidRPr="00F5793C" w:rsidRDefault="00F5793C" w:rsidP="00874ADB">
      <w:pPr>
        <w:spacing w:line="288" w:lineRule="auto"/>
        <w:ind w:firstLine="567"/>
        <w:jc w:val="both"/>
        <w:rPr>
          <w:rFonts w:eastAsia="Calibri" w:cs="Times New Roman"/>
          <w:sz w:val="24"/>
          <w:szCs w:val="24"/>
        </w:rPr>
      </w:pPr>
      <w:r w:rsidRPr="00F5793C">
        <w:rPr>
          <w:rFonts w:eastAsia="Calibri" w:cs="Times New Roman"/>
          <w:sz w:val="24"/>
          <w:szCs w:val="24"/>
        </w:rPr>
        <w:t xml:space="preserve"> </w:t>
      </w:r>
    </w:p>
    <w:p w14:paraId="4D1C0B24" w14:textId="77777777" w:rsidR="00F5793C" w:rsidRPr="00F5793C" w:rsidRDefault="00F5793C" w:rsidP="00874ADB">
      <w:pPr>
        <w:spacing w:line="288" w:lineRule="auto"/>
        <w:ind w:firstLine="567"/>
        <w:jc w:val="both"/>
        <w:rPr>
          <w:rFonts w:eastAsia="Calibri" w:cs="Times New Roman"/>
          <w:i/>
          <w:iCs/>
          <w:sz w:val="24"/>
          <w:szCs w:val="24"/>
        </w:rPr>
      </w:pPr>
      <w:r w:rsidRPr="00F5793C">
        <w:rPr>
          <w:rFonts w:eastAsia="Calibri" w:cs="Times New Roman"/>
          <w:b/>
          <w:i/>
          <w:iCs/>
          <w:sz w:val="24"/>
          <w:szCs w:val="24"/>
        </w:rPr>
        <w:t>Abstract:</w:t>
      </w:r>
      <w:r w:rsidRPr="00F5793C">
        <w:rPr>
          <w:rFonts w:eastAsia="Calibri" w:cs="Times New Roman"/>
          <w:i/>
          <w:iCs/>
          <w:sz w:val="24"/>
          <w:szCs w:val="24"/>
        </w:rPr>
        <w:t xml:space="preserve"> the structural organization of the ampulla in 8 guinea pigs, 6 rabbits and rats was studied by using sequential serial histotopographic sections. It has been established that the structure and localization of the hepatic-pancreatic ampulla of rats, rabbits and guinea pigs differense significantly. In rats, this ampulla is located in the thickness of the wall of the duodenum and does not contain a fold. In guinea pigs, the ampoule is located above the wall of the duodenum. In rabbits, the ampulla of Vater's papilla is formed in the thickness of the longitudinal fold of the major duodenal papilla and contains many folds.</w:t>
      </w:r>
    </w:p>
    <w:p w14:paraId="47E44CD4" w14:textId="77777777" w:rsidR="00F5793C" w:rsidRPr="00F5793C" w:rsidRDefault="00F5793C" w:rsidP="00874ADB">
      <w:pPr>
        <w:spacing w:line="288" w:lineRule="auto"/>
        <w:ind w:firstLine="567"/>
        <w:jc w:val="both"/>
        <w:rPr>
          <w:rFonts w:eastAsia="Calibri" w:cs="Times New Roman"/>
          <w:i/>
          <w:iCs/>
          <w:sz w:val="24"/>
          <w:szCs w:val="24"/>
        </w:rPr>
      </w:pPr>
      <w:r w:rsidRPr="00F5793C">
        <w:rPr>
          <w:rFonts w:eastAsia="Calibri" w:cs="Times New Roman"/>
          <w:b/>
          <w:i/>
          <w:iCs/>
          <w:sz w:val="24"/>
          <w:szCs w:val="24"/>
        </w:rPr>
        <w:t>Key words:</w:t>
      </w:r>
      <w:r w:rsidRPr="00F5793C">
        <w:rPr>
          <w:rFonts w:eastAsia="Calibri" w:cs="Times New Roman"/>
          <w:i/>
          <w:iCs/>
          <w:sz w:val="24"/>
          <w:szCs w:val="24"/>
        </w:rPr>
        <w:t xml:space="preserve"> hepatic-pancreatic ampulla, comparative morphology.</w:t>
      </w:r>
    </w:p>
    <w:p w14:paraId="7A088FF8" w14:textId="77777777" w:rsidR="00F5793C" w:rsidRDefault="00F5793C" w:rsidP="00874ADB">
      <w:pPr>
        <w:spacing w:line="288" w:lineRule="auto"/>
        <w:ind w:firstLine="567"/>
        <w:jc w:val="both"/>
        <w:rPr>
          <w:rFonts w:eastAsia="Calibri" w:cs="Times New Roman"/>
          <w:b/>
          <w:sz w:val="24"/>
          <w:szCs w:val="24"/>
        </w:rPr>
      </w:pPr>
    </w:p>
    <w:p w14:paraId="09A911EE" w14:textId="77777777" w:rsidR="00874ADB" w:rsidRDefault="00874ADB" w:rsidP="00874ADB">
      <w:pPr>
        <w:spacing w:line="288" w:lineRule="auto"/>
        <w:ind w:firstLine="567"/>
        <w:jc w:val="both"/>
        <w:rPr>
          <w:rFonts w:eastAsia="Calibri" w:cs="Times New Roman"/>
          <w:b/>
          <w:sz w:val="24"/>
          <w:szCs w:val="24"/>
        </w:rPr>
        <w:sectPr w:rsidR="00874ADB" w:rsidSect="00995DC2">
          <w:type w:val="continuous"/>
          <w:pgSz w:w="11907" w:h="16840" w:code="9"/>
          <w:pgMar w:top="1418" w:right="1134" w:bottom="1134" w:left="1134" w:header="907" w:footer="794" w:gutter="0"/>
          <w:cols w:space="708"/>
          <w:docGrid w:linePitch="381"/>
        </w:sectPr>
      </w:pPr>
    </w:p>
    <w:p w14:paraId="1C64384F" w14:textId="0EECB942" w:rsidR="00F5793C" w:rsidRPr="00F5793C" w:rsidRDefault="00F5793C" w:rsidP="00874ADB">
      <w:pPr>
        <w:spacing w:line="288" w:lineRule="auto"/>
        <w:ind w:firstLine="567"/>
        <w:jc w:val="both"/>
        <w:rPr>
          <w:rFonts w:eastAsia="Calibri" w:cs="Times New Roman"/>
          <w:sz w:val="24"/>
          <w:szCs w:val="24"/>
        </w:rPr>
      </w:pPr>
      <w:r w:rsidRPr="00F5793C">
        <w:rPr>
          <w:rFonts w:eastAsia="Calibri" w:cs="Times New Roman"/>
          <w:b/>
          <w:sz w:val="24"/>
          <w:szCs w:val="24"/>
        </w:rPr>
        <w:t>Relevance.</w:t>
      </w:r>
      <w:r w:rsidRPr="00F5793C">
        <w:rPr>
          <w:rFonts w:eastAsia="Calibri" w:cs="Times New Roman"/>
          <w:sz w:val="24"/>
          <w:szCs w:val="24"/>
        </w:rPr>
        <w:t xml:space="preserve"> The biliary system is the most complex part of the digestive tract. The presence of many sphincters and their coordi</w:t>
      </w:r>
      <w:r w:rsidR="00874ADB">
        <w:rPr>
          <w:rFonts w:eastAsia="Calibri" w:cs="Times New Roman"/>
          <w:sz w:val="24"/>
          <w:szCs w:val="24"/>
        </w:rPr>
        <w:softHyphen/>
      </w:r>
      <w:r w:rsidRPr="00F5793C">
        <w:rPr>
          <w:rFonts w:eastAsia="Calibri" w:cs="Times New Roman"/>
          <w:sz w:val="24"/>
          <w:szCs w:val="24"/>
        </w:rPr>
        <w:t>nated and mutually coordinated work ensures the flow of bile into the duodenum at the time of digestion in it, and into the gallbladder out</w:t>
      </w:r>
      <w:r w:rsidR="00874ADB">
        <w:rPr>
          <w:rFonts w:eastAsia="Calibri" w:cs="Times New Roman"/>
          <w:sz w:val="24"/>
          <w:szCs w:val="24"/>
        </w:rPr>
        <w:softHyphen/>
      </w:r>
      <w:r w:rsidRPr="00F5793C">
        <w:rPr>
          <w:rFonts w:eastAsia="Calibri" w:cs="Times New Roman"/>
          <w:sz w:val="24"/>
          <w:szCs w:val="24"/>
        </w:rPr>
        <w:t>side the moment of digestion in the intestine. The number of diseases of this system is stead</w:t>
      </w:r>
      <w:r w:rsidR="00874ADB">
        <w:rPr>
          <w:rFonts w:eastAsia="Calibri" w:cs="Times New Roman"/>
          <w:sz w:val="24"/>
          <w:szCs w:val="24"/>
        </w:rPr>
        <w:softHyphen/>
      </w:r>
      <w:r w:rsidRPr="00F5793C">
        <w:rPr>
          <w:rFonts w:eastAsia="Calibri" w:cs="Times New Roman"/>
          <w:sz w:val="24"/>
          <w:szCs w:val="24"/>
        </w:rPr>
        <w:t>ily growing on a global scale. According to the scientific literature, surgical interventions for diseases of this system rank second after ap</w:t>
      </w:r>
      <w:r w:rsidR="00874ADB">
        <w:rPr>
          <w:rFonts w:eastAsia="Calibri" w:cs="Times New Roman"/>
          <w:sz w:val="24"/>
          <w:szCs w:val="24"/>
        </w:rPr>
        <w:softHyphen/>
      </w:r>
      <w:r w:rsidRPr="00F5793C">
        <w:rPr>
          <w:rFonts w:eastAsia="Calibri" w:cs="Times New Roman"/>
          <w:sz w:val="24"/>
          <w:szCs w:val="24"/>
        </w:rPr>
        <w:t>pendectomy [2, 9, 10, 11]. In this regard, diag</w:t>
      </w:r>
      <w:r w:rsidR="00874ADB">
        <w:rPr>
          <w:rFonts w:eastAsia="Calibri" w:cs="Times New Roman"/>
          <w:sz w:val="24"/>
          <w:szCs w:val="24"/>
        </w:rPr>
        <w:softHyphen/>
      </w:r>
      <w:r w:rsidRPr="00F5793C">
        <w:rPr>
          <w:rFonts w:eastAsia="Calibri" w:cs="Times New Roman"/>
          <w:sz w:val="24"/>
          <w:szCs w:val="24"/>
        </w:rPr>
        <w:t>nostic and therapeutic endoscopic manipula</w:t>
      </w:r>
      <w:r w:rsidR="00874ADB">
        <w:rPr>
          <w:rFonts w:eastAsia="Calibri" w:cs="Times New Roman"/>
          <w:sz w:val="24"/>
          <w:szCs w:val="24"/>
        </w:rPr>
        <w:softHyphen/>
      </w:r>
      <w:r w:rsidRPr="00F5793C">
        <w:rPr>
          <w:rFonts w:eastAsia="Calibri" w:cs="Times New Roman"/>
          <w:sz w:val="24"/>
          <w:szCs w:val="24"/>
        </w:rPr>
        <w:t>tions are widely used in this area of ​​the diges</w:t>
      </w:r>
      <w:r w:rsidR="00874ADB">
        <w:rPr>
          <w:rFonts w:eastAsia="Calibri" w:cs="Times New Roman"/>
          <w:sz w:val="24"/>
          <w:szCs w:val="24"/>
        </w:rPr>
        <w:softHyphen/>
      </w:r>
      <w:r w:rsidRPr="00F5793C">
        <w:rPr>
          <w:rFonts w:eastAsia="Calibri" w:cs="Times New Roman"/>
          <w:sz w:val="24"/>
          <w:szCs w:val="24"/>
        </w:rPr>
        <w:t>tive tract. However, the complication rate of some of these procedures remains high. Most often, such actions are subjected to a large pa</w:t>
      </w:r>
      <w:r w:rsidR="00874ADB">
        <w:rPr>
          <w:rFonts w:eastAsia="Calibri" w:cs="Times New Roman"/>
          <w:sz w:val="24"/>
          <w:szCs w:val="24"/>
        </w:rPr>
        <w:softHyphen/>
      </w:r>
      <w:r w:rsidRPr="00F5793C">
        <w:rPr>
          <w:rFonts w:eastAsia="Calibri" w:cs="Times New Roman"/>
          <w:sz w:val="24"/>
          <w:szCs w:val="24"/>
        </w:rPr>
        <w:t>pilla of the duodenum (vater papilla). The he</w:t>
      </w:r>
      <w:r w:rsidR="00874ADB">
        <w:rPr>
          <w:rFonts w:eastAsia="Calibri" w:cs="Times New Roman"/>
          <w:sz w:val="24"/>
          <w:szCs w:val="24"/>
        </w:rPr>
        <w:softHyphen/>
      </w:r>
      <w:r w:rsidRPr="00F5793C">
        <w:rPr>
          <w:rFonts w:eastAsia="Calibri" w:cs="Times New Roman"/>
          <w:sz w:val="24"/>
          <w:szCs w:val="24"/>
        </w:rPr>
        <w:t>patic-pancreatic ampulla is located in the thickness of the papilla. The study of the struc</w:t>
      </w:r>
      <w:r w:rsidR="00874ADB">
        <w:rPr>
          <w:rFonts w:eastAsia="Calibri" w:cs="Times New Roman"/>
          <w:sz w:val="24"/>
          <w:szCs w:val="24"/>
        </w:rPr>
        <w:softHyphen/>
      </w:r>
      <w:r w:rsidRPr="00F5793C">
        <w:rPr>
          <w:rFonts w:eastAsia="Calibri" w:cs="Times New Roman"/>
          <w:sz w:val="24"/>
          <w:szCs w:val="24"/>
        </w:rPr>
        <w:t>ture of this ampulla was the subject of research not only in humans [1, 3, 6, 9], but also in var</w:t>
      </w:r>
      <w:r w:rsidR="00874ADB">
        <w:rPr>
          <w:rFonts w:eastAsia="Calibri" w:cs="Times New Roman"/>
          <w:sz w:val="24"/>
          <w:szCs w:val="24"/>
        </w:rPr>
        <w:softHyphen/>
      </w:r>
      <w:r w:rsidRPr="00F5793C">
        <w:rPr>
          <w:rFonts w:eastAsia="Calibri" w:cs="Times New Roman"/>
          <w:sz w:val="24"/>
          <w:szCs w:val="24"/>
        </w:rPr>
        <w:lastRenderedPageBreak/>
        <w:t>ious laboratory animals [5, 7, 8]. Guinea pigs, rats and rabbits are commonly used laboratory animals for experimental research. According to the scientific literature, the morphology of the internal organs of each of them has some of its own characteristics [4, 10, 11]. However, in the available literature, we were unable to find data on the structural features of the hepatic-pancreatic ampulla, the place of its localization and opening into the duodenal cavity in these animals. Among diseases of the biliary system, cholelithiasis occupies a certain place. Stones of the gallbladder and bile ducts are localized in its different sections, and in certain cases, there are so-called impacted stones in the ter</w:t>
      </w:r>
      <w:r w:rsidR="00874ADB">
        <w:rPr>
          <w:rFonts w:eastAsia="Calibri" w:cs="Times New Roman"/>
          <w:sz w:val="24"/>
          <w:szCs w:val="24"/>
        </w:rPr>
        <w:softHyphen/>
      </w:r>
      <w:r w:rsidRPr="00F5793C">
        <w:rPr>
          <w:rFonts w:eastAsia="Calibri" w:cs="Times New Roman"/>
          <w:sz w:val="24"/>
          <w:szCs w:val="24"/>
        </w:rPr>
        <w:t>minal section of the common bile duct, that is, in the lining of the major duodenal papilla. This circumstance is the reason for the great at</w:t>
      </w:r>
      <w:r w:rsidR="00874ADB">
        <w:rPr>
          <w:rFonts w:eastAsia="Calibri" w:cs="Times New Roman"/>
          <w:sz w:val="24"/>
          <w:szCs w:val="24"/>
        </w:rPr>
        <w:softHyphen/>
      </w:r>
      <w:r w:rsidRPr="00F5793C">
        <w:rPr>
          <w:rFonts w:eastAsia="Calibri" w:cs="Times New Roman"/>
          <w:sz w:val="24"/>
          <w:szCs w:val="24"/>
        </w:rPr>
        <w:t>tention of clinicians and morphologists in the current century, which also justifies the rele</w:t>
      </w:r>
      <w:r w:rsidR="00874ADB">
        <w:rPr>
          <w:rFonts w:eastAsia="Calibri" w:cs="Times New Roman"/>
          <w:sz w:val="24"/>
          <w:szCs w:val="24"/>
        </w:rPr>
        <w:softHyphen/>
      </w:r>
      <w:r w:rsidRPr="00F5793C">
        <w:rPr>
          <w:rFonts w:eastAsia="Calibri" w:cs="Times New Roman"/>
          <w:sz w:val="24"/>
          <w:szCs w:val="24"/>
        </w:rPr>
        <w:t xml:space="preserve">vance of our research. </w:t>
      </w:r>
    </w:p>
    <w:p w14:paraId="4BD0F9A1" w14:textId="1BCBA99C" w:rsidR="00F5793C" w:rsidRPr="00F5793C" w:rsidRDefault="00F5793C" w:rsidP="00874ADB">
      <w:pPr>
        <w:spacing w:line="288" w:lineRule="auto"/>
        <w:ind w:firstLine="567"/>
        <w:jc w:val="both"/>
        <w:rPr>
          <w:rFonts w:eastAsia="Calibri" w:cs="Times New Roman"/>
          <w:sz w:val="24"/>
          <w:szCs w:val="24"/>
        </w:rPr>
      </w:pPr>
      <w:r w:rsidRPr="00F5793C">
        <w:rPr>
          <w:rFonts w:eastAsia="Calibri" w:cs="Times New Roman"/>
          <w:b/>
          <w:sz w:val="24"/>
          <w:szCs w:val="24"/>
        </w:rPr>
        <w:t>Purpose of the study.</w:t>
      </w:r>
      <w:r w:rsidRPr="00F5793C">
        <w:rPr>
          <w:rFonts w:eastAsia="Calibri" w:cs="Times New Roman"/>
          <w:sz w:val="24"/>
          <w:szCs w:val="24"/>
        </w:rPr>
        <w:t xml:space="preserve"> Study of the com</w:t>
      </w:r>
      <w:r w:rsidR="00874ADB">
        <w:rPr>
          <w:rFonts w:eastAsia="Calibri" w:cs="Times New Roman"/>
          <w:sz w:val="24"/>
          <w:szCs w:val="24"/>
        </w:rPr>
        <w:softHyphen/>
      </w:r>
      <w:r w:rsidRPr="00F5793C">
        <w:rPr>
          <w:rFonts w:eastAsia="Calibri" w:cs="Times New Roman"/>
          <w:sz w:val="24"/>
          <w:szCs w:val="24"/>
        </w:rPr>
        <w:t>parative morphology of the ampulla of the ma</w:t>
      </w:r>
      <w:r w:rsidR="00874ADB">
        <w:rPr>
          <w:rFonts w:eastAsia="Calibri" w:cs="Times New Roman"/>
          <w:sz w:val="24"/>
          <w:szCs w:val="24"/>
        </w:rPr>
        <w:softHyphen/>
      </w:r>
      <w:r w:rsidRPr="00F5793C">
        <w:rPr>
          <w:rFonts w:eastAsia="Calibri" w:cs="Times New Roman"/>
          <w:sz w:val="24"/>
          <w:szCs w:val="24"/>
        </w:rPr>
        <w:t>jor duodenal papilla in rats, rabbits and guinea pigs.</w:t>
      </w:r>
    </w:p>
    <w:p w14:paraId="2B05618B" w14:textId="7E4C2C4F" w:rsidR="00F5793C" w:rsidRPr="00F5793C" w:rsidRDefault="00F5793C" w:rsidP="00874ADB">
      <w:pPr>
        <w:spacing w:line="288" w:lineRule="auto"/>
        <w:ind w:firstLine="567"/>
        <w:jc w:val="both"/>
        <w:rPr>
          <w:rFonts w:eastAsia="Calibri" w:cs="Times New Roman"/>
          <w:sz w:val="24"/>
          <w:szCs w:val="24"/>
        </w:rPr>
      </w:pPr>
      <w:r w:rsidRPr="00F5793C">
        <w:rPr>
          <w:rFonts w:eastAsia="Calibri" w:cs="Times New Roman"/>
          <w:b/>
          <w:sz w:val="24"/>
          <w:szCs w:val="24"/>
        </w:rPr>
        <w:t>Material and methods of study.</w:t>
      </w:r>
      <w:r w:rsidRPr="00F5793C">
        <w:rPr>
          <w:rFonts w:eastAsia="Calibri" w:cs="Times New Roman"/>
          <w:sz w:val="24"/>
          <w:szCs w:val="24"/>
        </w:rPr>
        <w:t xml:space="preserve"> The material for our research was the major duode</w:t>
      </w:r>
      <w:r w:rsidR="00874ADB">
        <w:rPr>
          <w:rFonts w:eastAsia="Calibri" w:cs="Times New Roman"/>
          <w:sz w:val="24"/>
          <w:szCs w:val="24"/>
        </w:rPr>
        <w:softHyphen/>
      </w:r>
      <w:r w:rsidRPr="00F5793C">
        <w:rPr>
          <w:rFonts w:eastAsia="Calibri" w:cs="Times New Roman"/>
          <w:sz w:val="24"/>
          <w:szCs w:val="24"/>
        </w:rPr>
        <w:t>nal papilla of rats (representative of omni</w:t>
      </w:r>
      <w:r w:rsidR="00874ADB">
        <w:rPr>
          <w:rFonts w:eastAsia="Calibri" w:cs="Times New Roman"/>
          <w:sz w:val="24"/>
          <w:szCs w:val="24"/>
        </w:rPr>
        <w:softHyphen/>
      </w:r>
      <w:r w:rsidRPr="00F5793C">
        <w:rPr>
          <w:rFonts w:eastAsia="Calibri" w:cs="Times New Roman"/>
          <w:sz w:val="24"/>
          <w:szCs w:val="24"/>
        </w:rPr>
        <w:t>vores), rabbits, and mrskie pigs (representa</w:t>
      </w:r>
      <w:r w:rsidR="00874ADB">
        <w:rPr>
          <w:rFonts w:eastAsia="Calibri" w:cs="Times New Roman"/>
          <w:sz w:val="24"/>
          <w:szCs w:val="24"/>
        </w:rPr>
        <w:softHyphen/>
      </w:r>
      <w:r w:rsidRPr="00F5793C">
        <w:rPr>
          <w:rFonts w:eastAsia="Calibri" w:cs="Times New Roman"/>
          <w:sz w:val="24"/>
          <w:szCs w:val="24"/>
        </w:rPr>
        <w:t>tives of herbivores). We have studied the struc</w:t>
      </w:r>
      <w:r w:rsidR="00874ADB">
        <w:rPr>
          <w:rFonts w:eastAsia="Calibri" w:cs="Times New Roman"/>
          <w:sz w:val="24"/>
          <w:szCs w:val="24"/>
        </w:rPr>
        <w:softHyphen/>
      </w:r>
      <w:r w:rsidRPr="00F5793C">
        <w:rPr>
          <w:rFonts w:eastAsia="Calibri" w:cs="Times New Roman"/>
          <w:sz w:val="24"/>
          <w:szCs w:val="24"/>
        </w:rPr>
        <w:t>ture of the hepato-pancreatic ampulla of Va</w:t>
      </w:r>
      <w:r w:rsidR="00874ADB">
        <w:rPr>
          <w:rFonts w:eastAsia="Calibri" w:cs="Times New Roman"/>
          <w:sz w:val="24"/>
          <w:szCs w:val="24"/>
        </w:rPr>
        <w:softHyphen/>
      </w:r>
      <w:r w:rsidRPr="00F5793C">
        <w:rPr>
          <w:rFonts w:eastAsia="Calibri" w:cs="Times New Roman"/>
          <w:sz w:val="24"/>
          <w:szCs w:val="24"/>
        </w:rPr>
        <w:t>ter’s papilla in 6 rabbits, 6 rats and 8 guinea pigs. The slaughter of animals was carried out with strict observance of the rules of bioethics. The material was fixed in 12% neutral forma</w:t>
      </w:r>
      <w:r w:rsidR="00874ADB">
        <w:rPr>
          <w:rFonts w:eastAsia="Calibri" w:cs="Times New Roman"/>
          <w:sz w:val="24"/>
          <w:szCs w:val="24"/>
        </w:rPr>
        <w:softHyphen/>
      </w:r>
      <w:r w:rsidRPr="00F5793C">
        <w:rPr>
          <w:rFonts w:eastAsia="Calibri" w:cs="Times New Roman"/>
          <w:sz w:val="24"/>
          <w:szCs w:val="24"/>
        </w:rPr>
        <w:t>lin, which was neutralized with a saturated so</w:t>
      </w:r>
      <w:r w:rsidR="00874ADB">
        <w:rPr>
          <w:rFonts w:eastAsia="Calibri" w:cs="Times New Roman"/>
          <w:sz w:val="24"/>
          <w:szCs w:val="24"/>
        </w:rPr>
        <w:softHyphen/>
      </w:r>
      <w:r w:rsidRPr="00F5793C">
        <w:rPr>
          <w:rFonts w:eastAsia="Calibri" w:cs="Times New Roman"/>
          <w:sz w:val="24"/>
          <w:szCs w:val="24"/>
        </w:rPr>
        <w:t>lution of sodium tetraborate. Sequential his</w:t>
      </w:r>
      <w:r w:rsidR="00874ADB">
        <w:rPr>
          <w:rFonts w:eastAsia="Calibri" w:cs="Times New Roman"/>
          <w:sz w:val="24"/>
          <w:szCs w:val="24"/>
        </w:rPr>
        <w:softHyphen/>
      </w:r>
      <w:r w:rsidRPr="00F5793C">
        <w:rPr>
          <w:rFonts w:eastAsia="Calibri" w:cs="Times New Roman"/>
          <w:sz w:val="24"/>
          <w:szCs w:val="24"/>
        </w:rPr>
        <w:t>totopographic sections (thick, overview) glued onto numbered glass slides were stained with hematoxylin-eosin and Van Gieson. Consider</w:t>
      </w:r>
      <w:r w:rsidR="00874ADB">
        <w:rPr>
          <w:rFonts w:eastAsia="Calibri" w:cs="Times New Roman"/>
          <w:sz w:val="24"/>
          <w:szCs w:val="24"/>
        </w:rPr>
        <w:softHyphen/>
      </w:r>
      <w:r w:rsidRPr="00F5793C">
        <w:rPr>
          <w:rFonts w:eastAsia="Calibri" w:cs="Times New Roman"/>
          <w:sz w:val="24"/>
          <w:szCs w:val="24"/>
        </w:rPr>
        <w:t>ing in turn serial sections, we studied the mor</w:t>
      </w:r>
      <w:r w:rsidR="00874ADB">
        <w:rPr>
          <w:rFonts w:eastAsia="Calibri" w:cs="Times New Roman"/>
          <w:sz w:val="24"/>
          <w:szCs w:val="24"/>
        </w:rPr>
        <w:softHyphen/>
      </w:r>
      <w:r w:rsidRPr="00F5793C">
        <w:rPr>
          <w:rFonts w:eastAsia="Calibri" w:cs="Times New Roman"/>
          <w:sz w:val="24"/>
          <w:szCs w:val="24"/>
        </w:rPr>
        <w:t>phology of the Vater papilla and the internal relief of its ampulla throughout.</w:t>
      </w:r>
    </w:p>
    <w:p w14:paraId="087BD2FD" w14:textId="32DEA043" w:rsidR="00F5793C" w:rsidRPr="00F5793C" w:rsidRDefault="00F5793C" w:rsidP="00874ADB">
      <w:pPr>
        <w:spacing w:line="288" w:lineRule="auto"/>
        <w:ind w:firstLine="567"/>
        <w:jc w:val="both"/>
        <w:rPr>
          <w:rFonts w:eastAsia="Calibri" w:cs="Times New Roman"/>
          <w:sz w:val="24"/>
          <w:szCs w:val="24"/>
        </w:rPr>
      </w:pPr>
      <w:r w:rsidRPr="00F5793C">
        <w:rPr>
          <w:rFonts w:eastAsia="Calibri" w:cs="Times New Roman"/>
          <w:b/>
          <w:sz w:val="24"/>
          <w:szCs w:val="24"/>
        </w:rPr>
        <w:t>Results of own researches.</w:t>
      </w:r>
      <w:r w:rsidRPr="00F5793C">
        <w:rPr>
          <w:rFonts w:eastAsia="Calibri" w:cs="Times New Roman"/>
          <w:sz w:val="24"/>
          <w:szCs w:val="24"/>
        </w:rPr>
        <w:t xml:space="preserve"> Rats do not have a gallbladder, and the common bile (he</w:t>
      </w:r>
      <w:r w:rsidR="00874ADB">
        <w:rPr>
          <w:rFonts w:eastAsia="Calibri" w:cs="Times New Roman"/>
          <w:sz w:val="24"/>
          <w:szCs w:val="24"/>
        </w:rPr>
        <w:softHyphen/>
      </w:r>
      <w:r w:rsidRPr="00F5793C">
        <w:rPr>
          <w:rFonts w:eastAsia="Calibri" w:cs="Times New Roman"/>
          <w:sz w:val="24"/>
          <w:szCs w:val="24"/>
        </w:rPr>
        <w:t>patic) duct does not form a pronounced am</w:t>
      </w:r>
      <w:r w:rsidR="00874ADB">
        <w:rPr>
          <w:rFonts w:eastAsia="Calibri" w:cs="Times New Roman"/>
          <w:sz w:val="24"/>
          <w:szCs w:val="24"/>
        </w:rPr>
        <w:softHyphen/>
      </w:r>
      <w:r w:rsidRPr="00F5793C">
        <w:rPr>
          <w:rFonts w:eastAsia="Calibri" w:cs="Times New Roman"/>
          <w:sz w:val="24"/>
          <w:szCs w:val="24"/>
        </w:rPr>
        <w:t>pulla, and the major duodenal papilla is weakly expressed. At the mouth of the duct, it forms a small expansion with a smooth surface of the mucous membrane. The hepatic-pancreatic ampulla of rats is weakly expressed and looks like an insignificant triangular cavity on the preparation (Fig. 1. A). The obtuse angle of this triangle is a slit-like orifice. The wall of the ampoule has a mucous membrane, which is covered from the inside by a prismatic epithe</w:t>
      </w:r>
      <w:r w:rsidR="00874ADB">
        <w:rPr>
          <w:rFonts w:eastAsia="Calibri" w:cs="Times New Roman"/>
          <w:sz w:val="24"/>
          <w:szCs w:val="24"/>
        </w:rPr>
        <w:softHyphen/>
      </w:r>
      <w:r w:rsidRPr="00F5793C">
        <w:rPr>
          <w:rFonts w:eastAsia="Calibri" w:cs="Times New Roman"/>
          <w:sz w:val="24"/>
          <w:szCs w:val="24"/>
        </w:rPr>
        <w:t>lium. The surface of the mucous membrane is smooth</w:t>
      </w:r>
      <w:r w:rsidRPr="00F5793C">
        <w:rPr>
          <w:rFonts w:eastAsia="Calibri" w:cs="Times New Roman"/>
          <w:sz w:val="24"/>
          <w:szCs w:val="24"/>
          <w:lang w:val="uz-Cyrl-UZ"/>
        </w:rPr>
        <w:t xml:space="preserve"> </w:t>
      </w:r>
      <w:r w:rsidRPr="00F5793C">
        <w:rPr>
          <w:rFonts w:eastAsia="Calibri" w:cs="Times New Roman"/>
          <w:sz w:val="24"/>
          <w:szCs w:val="24"/>
        </w:rPr>
        <w:t>structure; in some places it forms shal</w:t>
      </w:r>
      <w:r w:rsidR="00874ADB">
        <w:rPr>
          <w:rFonts w:eastAsia="Calibri" w:cs="Times New Roman"/>
          <w:sz w:val="24"/>
          <w:szCs w:val="24"/>
        </w:rPr>
        <w:softHyphen/>
      </w:r>
      <w:r w:rsidRPr="00F5793C">
        <w:rPr>
          <w:rFonts w:eastAsia="Calibri" w:cs="Times New Roman"/>
          <w:sz w:val="24"/>
          <w:szCs w:val="24"/>
        </w:rPr>
        <w:t>low depressions. The muscular coat is well ex</w:t>
      </w:r>
      <w:r w:rsidR="00874ADB">
        <w:rPr>
          <w:rFonts w:eastAsia="Calibri" w:cs="Times New Roman"/>
          <w:sz w:val="24"/>
          <w:szCs w:val="24"/>
        </w:rPr>
        <w:softHyphen/>
      </w:r>
      <w:r w:rsidRPr="00F5793C">
        <w:rPr>
          <w:rFonts w:eastAsia="Calibri" w:cs="Times New Roman"/>
          <w:sz w:val="24"/>
          <w:szCs w:val="24"/>
        </w:rPr>
        <w:t>pressed, located in a semicircle surrounding the ampulla, tapering wedge-shaped towards the mouth of the ampulla. The hepatic-pancre</w:t>
      </w:r>
      <w:r w:rsidR="00874ADB">
        <w:rPr>
          <w:rFonts w:eastAsia="Calibri" w:cs="Times New Roman"/>
          <w:sz w:val="24"/>
          <w:szCs w:val="24"/>
        </w:rPr>
        <w:softHyphen/>
      </w:r>
      <w:r w:rsidRPr="00F5793C">
        <w:rPr>
          <w:rFonts w:eastAsia="Calibri" w:cs="Times New Roman"/>
          <w:sz w:val="24"/>
          <w:szCs w:val="24"/>
        </w:rPr>
        <w:t>atic ampulla of rabbits is well expressed in the form of an oval-shaped cavity and in the lumen it contains many folds of various configura</w:t>
      </w:r>
      <w:r w:rsidR="00874ADB">
        <w:rPr>
          <w:rFonts w:eastAsia="Calibri" w:cs="Times New Roman"/>
          <w:sz w:val="24"/>
          <w:szCs w:val="24"/>
        </w:rPr>
        <w:softHyphen/>
      </w:r>
      <w:r w:rsidRPr="00F5793C">
        <w:rPr>
          <w:rFonts w:eastAsia="Calibri" w:cs="Times New Roman"/>
          <w:sz w:val="24"/>
          <w:szCs w:val="24"/>
        </w:rPr>
        <w:t>tions, sizes, and heights (Fig. 1. B). Most of them have a proximal-distal direction (Fig. 1. C). Guinea pigs differ from all animals studied by us in the special structure of the hepatic-pancreatic ampulla (Fig. 1. D, E, F). The lon</w:t>
      </w:r>
      <w:r w:rsidR="00874ADB">
        <w:rPr>
          <w:rFonts w:eastAsia="Calibri" w:cs="Times New Roman"/>
          <w:sz w:val="24"/>
          <w:szCs w:val="24"/>
        </w:rPr>
        <w:softHyphen/>
      </w:r>
      <w:r w:rsidRPr="00F5793C">
        <w:rPr>
          <w:rFonts w:eastAsia="Calibri" w:cs="Times New Roman"/>
          <w:sz w:val="24"/>
          <w:szCs w:val="24"/>
        </w:rPr>
        <w:t>gitudinal fold of the duodenum is as if located outside of the duodenum and is attached to the serous membrane. The lumen of a complex ampoule on the preparation looks like a slit-like labyrinth.  The orifice canal penetrates the wall of the duodenum through and through and opens into the intestine with a pinhole. Conse</w:t>
      </w:r>
      <w:r w:rsidR="00874ADB">
        <w:rPr>
          <w:rFonts w:eastAsia="Calibri" w:cs="Times New Roman"/>
          <w:sz w:val="24"/>
          <w:szCs w:val="24"/>
        </w:rPr>
        <w:softHyphen/>
      </w:r>
      <w:r w:rsidRPr="00F5793C">
        <w:rPr>
          <w:rFonts w:eastAsia="Calibri" w:cs="Times New Roman"/>
          <w:sz w:val="24"/>
          <w:szCs w:val="24"/>
        </w:rPr>
        <w:t>quently, as such, they do not have a longitudi</w:t>
      </w:r>
      <w:r w:rsidR="00874ADB">
        <w:rPr>
          <w:rFonts w:eastAsia="Calibri" w:cs="Times New Roman"/>
          <w:sz w:val="24"/>
          <w:szCs w:val="24"/>
        </w:rPr>
        <w:softHyphen/>
      </w:r>
      <w:r w:rsidRPr="00F5793C">
        <w:rPr>
          <w:rFonts w:eastAsia="Calibri" w:cs="Times New Roman"/>
          <w:sz w:val="24"/>
          <w:szCs w:val="24"/>
        </w:rPr>
        <w:t xml:space="preserve">nal fold of the duodenum.  </w:t>
      </w:r>
    </w:p>
    <w:p w14:paraId="36219EF2" w14:textId="77777777" w:rsidR="00874ADB" w:rsidRDefault="00874ADB" w:rsidP="00F5793C">
      <w:pPr>
        <w:spacing w:line="276" w:lineRule="auto"/>
        <w:jc w:val="center"/>
        <w:rPr>
          <w:rFonts w:eastAsia="Calibri" w:cs="Times New Roman"/>
          <w:i/>
          <w:sz w:val="24"/>
          <w:szCs w:val="24"/>
        </w:rPr>
        <w:sectPr w:rsidR="00874ADB" w:rsidSect="00874ADB">
          <w:type w:val="continuous"/>
          <w:pgSz w:w="11907" w:h="16840" w:code="9"/>
          <w:pgMar w:top="1418" w:right="1134" w:bottom="1134" w:left="1134" w:header="907" w:footer="794" w:gutter="0"/>
          <w:cols w:num="2" w:space="708"/>
          <w:docGrid w:linePitch="381"/>
        </w:sectPr>
      </w:pPr>
    </w:p>
    <w:p w14:paraId="1159DDF3" w14:textId="77777777" w:rsidR="00F5793C" w:rsidRPr="00F5793C" w:rsidRDefault="00F5793C" w:rsidP="00F5793C">
      <w:pPr>
        <w:spacing w:line="276" w:lineRule="auto"/>
        <w:jc w:val="center"/>
        <w:rPr>
          <w:rFonts w:eastAsia="Calibri" w:cs="Times New Roman"/>
          <w:i/>
          <w:sz w:val="24"/>
          <w:szCs w:val="24"/>
        </w:rPr>
      </w:pPr>
      <w:r w:rsidRPr="00F5793C">
        <w:rPr>
          <w:rFonts w:eastAsia="Calibri" w:cs="Times New Roman"/>
          <w:i/>
          <w:noProof/>
          <w:sz w:val="24"/>
          <w:szCs w:val="24"/>
          <w:lang w:val="ru-RU" w:eastAsia="ru-RU"/>
        </w:rPr>
        <w:lastRenderedPageBreak/>
        <w:drawing>
          <wp:inline distT="0" distB="0" distL="0" distR="0" wp14:anchorId="5ADA5030" wp14:editId="25D03256">
            <wp:extent cx="6089100" cy="3307080"/>
            <wp:effectExtent l="0" t="0" r="6985" b="7620"/>
            <wp:docPr id="22" name="Рисунок 22" descr="D:\Диск С\Desktop\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С\Desktop\Без имени-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2043" cy="3308678"/>
                    </a:xfrm>
                    <a:prstGeom prst="rect">
                      <a:avLst/>
                    </a:prstGeom>
                    <a:noFill/>
                    <a:ln>
                      <a:noFill/>
                    </a:ln>
                  </pic:spPr>
                </pic:pic>
              </a:graphicData>
            </a:graphic>
          </wp:inline>
        </w:drawing>
      </w:r>
    </w:p>
    <w:p w14:paraId="74FC0EC9" w14:textId="77777777" w:rsidR="00874ADB" w:rsidRDefault="00874ADB" w:rsidP="00874ADB">
      <w:pPr>
        <w:spacing w:line="276" w:lineRule="auto"/>
        <w:jc w:val="center"/>
        <w:rPr>
          <w:rFonts w:eastAsia="Calibri" w:cs="Times New Roman"/>
          <w:b/>
          <w:bCs/>
          <w:i/>
          <w:sz w:val="24"/>
          <w:szCs w:val="24"/>
        </w:rPr>
      </w:pPr>
    </w:p>
    <w:p w14:paraId="42406155" w14:textId="77777777" w:rsidR="00874ADB" w:rsidRDefault="00F5793C" w:rsidP="00874ADB">
      <w:pPr>
        <w:spacing w:line="276" w:lineRule="auto"/>
        <w:jc w:val="center"/>
        <w:rPr>
          <w:rFonts w:eastAsia="Calibri" w:cs="Times New Roman"/>
          <w:i/>
          <w:sz w:val="24"/>
          <w:szCs w:val="24"/>
        </w:rPr>
      </w:pPr>
      <w:r w:rsidRPr="00F5793C">
        <w:rPr>
          <w:rFonts w:eastAsia="Calibri" w:cs="Times New Roman"/>
          <w:b/>
          <w:bCs/>
          <w:i/>
          <w:sz w:val="24"/>
          <w:szCs w:val="24"/>
        </w:rPr>
        <w:t>Figure. 1.</w:t>
      </w:r>
      <w:r w:rsidRPr="00F5793C">
        <w:rPr>
          <w:rFonts w:eastAsia="Calibri" w:cs="Times New Roman"/>
          <w:i/>
          <w:sz w:val="24"/>
          <w:szCs w:val="24"/>
        </w:rPr>
        <w:t xml:space="preserve"> Transverse histotopographic sections of the hepatic-pancreatic ampulla of a rat (A), </w:t>
      </w:r>
    </w:p>
    <w:p w14:paraId="3FA462EF" w14:textId="04D032FA" w:rsidR="00F5793C" w:rsidRPr="00F5793C" w:rsidRDefault="00F5793C" w:rsidP="00874ADB">
      <w:pPr>
        <w:spacing w:line="276" w:lineRule="auto"/>
        <w:jc w:val="center"/>
        <w:rPr>
          <w:rFonts w:eastAsia="Calibri" w:cs="Times New Roman"/>
          <w:i/>
          <w:sz w:val="24"/>
          <w:szCs w:val="24"/>
        </w:rPr>
      </w:pPr>
      <w:r w:rsidRPr="00F5793C">
        <w:rPr>
          <w:rFonts w:eastAsia="Calibri" w:cs="Times New Roman"/>
          <w:i/>
          <w:sz w:val="24"/>
          <w:szCs w:val="24"/>
          <w:lang w:val="it-IT"/>
        </w:rPr>
        <w:t xml:space="preserve">a rabbit (B., C), a guinea pig (D, E, F). </w:t>
      </w:r>
      <w:r w:rsidRPr="00F5793C">
        <w:rPr>
          <w:rFonts w:eastAsia="Calibri" w:cs="Times New Roman"/>
          <w:i/>
          <w:sz w:val="24"/>
          <w:szCs w:val="24"/>
        </w:rPr>
        <w:t>The arrows indicate the mucous membrane of the duodenum. A, B - staining with hematoxylin-eosin, C - staining according to the Van Gieson method, D, E, F - staining with Ehrlich alum carmine; MBS, v.4, ok.6</w:t>
      </w:r>
    </w:p>
    <w:p w14:paraId="70AB7B53" w14:textId="77777777" w:rsidR="00F5793C" w:rsidRDefault="00F5793C" w:rsidP="00F5793C">
      <w:pPr>
        <w:spacing w:line="276" w:lineRule="auto"/>
        <w:ind w:firstLine="567"/>
        <w:jc w:val="both"/>
        <w:rPr>
          <w:rFonts w:eastAsia="Calibri" w:cs="Times New Roman"/>
          <w:sz w:val="24"/>
          <w:szCs w:val="24"/>
        </w:rPr>
      </w:pPr>
    </w:p>
    <w:p w14:paraId="6A534817" w14:textId="77777777" w:rsidR="00874ADB" w:rsidRDefault="00874ADB" w:rsidP="00F5793C">
      <w:pPr>
        <w:spacing w:line="276" w:lineRule="auto"/>
        <w:ind w:firstLine="567"/>
        <w:jc w:val="both"/>
        <w:rPr>
          <w:rFonts w:eastAsia="Calibri" w:cs="Times New Roman"/>
          <w:sz w:val="24"/>
          <w:szCs w:val="24"/>
        </w:rPr>
        <w:sectPr w:rsidR="00874ADB" w:rsidSect="00995DC2">
          <w:type w:val="continuous"/>
          <w:pgSz w:w="11907" w:h="16840" w:code="9"/>
          <w:pgMar w:top="1418" w:right="1134" w:bottom="1134" w:left="1134" w:header="907" w:footer="794" w:gutter="0"/>
          <w:cols w:space="708"/>
          <w:docGrid w:linePitch="381"/>
        </w:sectPr>
      </w:pPr>
    </w:p>
    <w:p w14:paraId="20743262" w14:textId="2F424B45" w:rsidR="00F5793C" w:rsidRPr="00F5793C" w:rsidRDefault="00F5793C" w:rsidP="00F5793C">
      <w:pPr>
        <w:spacing w:line="276" w:lineRule="auto"/>
        <w:ind w:firstLine="567"/>
        <w:jc w:val="both"/>
        <w:rPr>
          <w:rFonts w:eastAsia="Calibri" w:cs="Times New Roman"/>
          <w:sz w:val="24"/>
          <w:szCs w:val="24"/>
        </w:rPr>
      </w:pPr>
      <w:r w:rsidRPr="00F5793C">
        <w:rPr>
          <w:rFonts w:eastAsia="Calibri" w:cs="Times New Roman"/>
          <w:sz w:val="24"/>
          <w:szCs w:val="24"/>
        </w:rPr>
        <w:t>Thus, in rats that do not have a gallblad</w:t>
      </w:r>
      <w:r w:rsidR="00874ADB">
        <w:rPr>
          <w:rFonts w:eastAsia="Calibri" w:cs="Times New Roman"/>
          <w:sz w:val="24"/>
          <w:szCs w:val="24"/>
        </w:rPr>
        <w:softHyphen/>
      </w:r>
      <w:r w:rsidRPr="00F5793C">
        <w:rPr>
          <w:rFonts w:eastAsia="Calibri" w:cs="Times New Roman"/>
          <w:sz w:val="24"/>
          <w:szCs w:val="24"/>
        </w:rPr>
        <w:t>der, the hepatopancreatic ampulla is absent. In rabbits, this ampulla is well expressed and con</w:t>
      </w:r>
      <w:r w:rsidR="00874ADB">
        <w:rPr>
          <w:rFonts w:eastAsia="Calibri" w:cs="Times New Roman"/>
          <w:sz w:val="24"/>
          <w:szCs w:val="24"/>
        </w:rPr>
        <w:softHyphen/>
      </w:r>
      <w:r w:rsidRPr="00F5793C">
        <w:rPr>
          <w:rFonts w:eastAsia="Calibri" w:cs="Times New Roman"/>
          <w:sz w:val="24"/>
          <w:szCs w:val="24"/>
        </w:rPr>
        <w:t>tains numerous folds in the lumen. They have a proximal-distal direction and form a locking apparatus that prevents retrograde entry of the contents of the intestine into the ampoule.</w:t>
      </w:r>
    </w:p>
    <w:p w14:paraId="24BD9EFD" w14:textId="1A829798" w:rsidR="00F5793C" w:rsidRPr="00F5793C" w:rsidRDefault="00F5793C" w:rsidP="00F5793C">
      <w:pPr>
        <w:spacing w:line="276" w:lineRule="auto"/>
        <w:ind w:firstLine="567"/>
        <w:jc w:val="both"/>
        <w:rPr>
          <w:rFonts w:eastAsia="Calibri" w:cs="Times New Roman"/>
          <w:sz w:val="24"/>
          <w:szCs w:val="24"/>
        </w:rPr>
      </w:pPr>
      <w:r w:rsidRPr="00F5793C">
        <w:rPr>
          <w:rFonts w:eastAsia="Calibri" w:cs="Times New Roman"/>
          <w:sz w:val="24"/>
          <w:szCs w:val="24"/>
        </w:rPr>
        <w:t xml:space="preserve"> The hepatic-pancreatic ampulla of guinea pigs differs fundamentally from those of rats and rabbits in structure and localization. These data should be taken into account when conducting experimental studies and interpret</w:t>
      </w:r>
      <w:r w:rsidR="00874ADB">
        <w:rPr>
          <w:rFonts w:eastAsia="Calibri" w:cs="Times New Roman"/>
          <w:sz w:val="24"/>
          <w:szCs w:val="24"/>
        </w:rPr>
        <w:softHyphen/>
      </w:r>
      <w:r w:rsidRPr="00F5793C">
        <w:rPr>
          <w:rFonts w:eastAsia="Calibri" w:cs="Times New Roman"/>
          <w:sz w:val="24"/>
          <w:szCs w:val="24"/>
        </w:rPr>
        <w:t>ing their results. Based on the results of the study, we assume that the structure of the am</w:t>
      </w:r>
      <w:r w:rsidR="00874ADB">
        <w:rPr>
          <w:rFonts w:eastAsia="Calibri" w:cs="Times New Roman"/>
          <w:sz w:val="24"/>
          <w:szCs w:val="24"/>
        </w:rPr>
        <w:softHyphen/>
      </w:r>
      <w:r w:rsidRPr="00F5793C">
        <w:rPr>
          <w:rFonts w:eastAsia="Calibri" w:cs="Times New Roman"/>
          <w:sz w:val="24"/>
          <w:szCs w:val="24"/>
        </w:rPr>
        <w:t>pulla of the papilla of Vater in the animals studied by us has its own distinctive morpho</w:t>
      </w:r>
      <w:r w:rsidR="00874ADB">
        <w:rPr>
          <w:rFonts w:eastAsia="Calibri" w:cs="Times New Roman"/>
          <w:sz w:val="24"/>
          <w:szCs w:val="24"/>
        </w:rPr>
        <w:softHyphen/>
      </w:r>
      <w:r w:rsidRPr="00F5793C">
        <w:rPr>
          <w:rFonts w:eastAsia="Calibri" w:cs="Times New Roman"/>
          <w:sz w:val="24"/>
          <w:szCs w:val="24"/>
        </w:rPr>
        <w:t>logical features associated, apparently, with the presence or absence of a gallbladder, as well as the nature of their nutrition. The gen</w:t>
      </w:r>
      <w:r w:rsidR="00874ADB">
        <w:rPr>
          <w:rFonts w:eastAsia="Calibri" w:cs="Times New Roman"/>
          <w:sz w:val="24"/>
          <w:szCs w:val="24"/>
        </w:rPr>
        <w:softHyphen/>
      </w:r>
      <w:r w:rsidRPr="00F5793C">
        <w:rPr>
          <w:rFonts w:eastAsia="Calibri" w:cs="Times New Roman"/>
          <w:sz w:val="24"/>
          <w:szCs w:val="24"/>
        </w:rPr>
        <w:t>eral principle of the structure of the ampulla of the papilla of Vater in the studied objects is identical.</w:t>
      </w:r>
    </w:p>
    <w:p w14:paraId="19890B08" w14:textId="73003738" w:rsidR="00F5793C" w:rsidRDefault="00874ADB" w:rsidP="00874ADB">
      <w:pPr>
        <w:spacing w:line="276" w:lineRule="auto"/>
        <w:jc w:val="center"/>
        <w:rPr>
          <w:rFonts w:eastAsia="Calibri" w:cs="Times New Roman"/>
          <w:b/>
          <w:sz w:val="24"/>
          <w:szCs w:val="24"/>
        </w:rPr>
      </w:pPr>
      <w:r w:rsidRPr="00F5793C">
        <w:rPr>
          <w:rFonts w:eastAsia="Calibri" w:cs="Times New Roman"/>
          <w:b/>
          <w:sz w:val="24"/>
          <w:szCs w:val="24"/>
        </w:rPr>
        <w:t>REFERENCES</w:t>
      </w:r>
    </w:p>
    <w:p w14:paraId="79464117" w14:textId="77777777" w:rsidR="00874ADB" w:rsidRPr="00F5793C" w:rsidRDefault="00874ADB" w:rsidP="00874ADB">
      <w:pPr>
        <w:spacing w:line="276" w:lineRule="auto"/>
        <w:jc w:val="both"/>
        <w:rPr>
          <w:rFonts w:eastAsia="Calibri" w:cs="Times New Roman"/>
          <w:b/>
          <w:sz w:val="24"/>
          <w:szCs w:val="24"/>
        </w:rPr>
      </w:pPr>
    </w:p>
    <w:p w14:paraId="3978F172" w14:textId="5083DBE7" w:rsidR="00F5793C" w:rsidRPr="00F5793C" w:rsidRDefault="00F5793C" w:rsidP="00874ADB">
      <w:pPr>
        <w:numPr>
          <w:ilvl w:val="0"/>
          <w:numId w:val="45"/>
        </w:numPr>
        <w:tabs>
          <w:tab w:val="left" w:pos="993"/>
        </w:tabs>
        <w:autoSpaceDE w:val="0"/>
        <w:autoSpaceDN w:val="0"/>
        <w:adjustRightInd w:val="0"/>
        <w:spacing w:line="276" w:lineRule="auto"/>
        <w:ind w:left="0" w:firstLine="567"/>
        <w:jc w:val="both"/>
        <w:rPr>
          <w:rFonts w:eastAsia="Calibri" w:cs="Times New Roman"/>
          <w:color w:val="000000"/>
          <w:sz w:val="24"/>
          <w:szCs w:val="24"/>
        </w:rPr>
      </w:pPr>
      <w:r w:rsidRPr="00F5793C">
        <w:rPr>
          <w:rFonts w:eastAsia="Calibri" w:cs="Times New Roman"/>
          <w:iCs/>
          <w:color w:val="000000"/>
          <w:sz w:val="24"/>
          <w:szCs w:val="24"/>
        </w:rPr>
        <w:t>Cai W.Q. and Gabella G.</w:t>
      </w:r>
      <w:r w:rsidRPr="00F5793C">
        <w:rPr>
          <w:rFonts w:eastAsia="Calibri" w:cs="Times New Roman"/>
          <w:i/>
          <w:iCs/>
          <w:color w:val="000000"/>
          <w:sz w:val="24"/>
          <w:szCs w:val="24"/>
        </w:rPr>
        <w:t xml:space="preserve"> </w:t>
      </w:r>
      <w:r w:rsidRPr="00F5793C">
        <w:rPr>
          <w:rFonts w:eastAsia="Calibri" w:cs="Times New Roman"/>
          <w:color w:val="000000"/>
          <w:sz w:val="24"/>
          <w:szCs w:val="24"/>
        </w:rPr>
        <w:t>The mus</w:t>
      </w:r>
      <w:r w:rsidR="00874ADB">
        <w:rPr>
          <w:rFonts w:eastAsia="Calibri" w:cs="Times New Roman"/>
          <w:color w:val="000000"/>
          <w:sz w:val="24"/>
          <w:szCs w:val="24"/>
        </w:rPr>
        <w:softHyphen/>
      </w:r>
      <w:r w:rsidRPr="00F5793C">
        <w:rPr>
          <w:rFonts w:eastAsia="Calibri" w:cs="Times New Roman"/>
          <w:color w:val="000000"/>
          <w:sz w:val="24"/>
          <w:szCs w:val="24"/>
        </w:rPr>
        <w:t>culature of the gall bladder and biliary path</w:t>
      </w:r>
      <w:r w:rsidR="00874ADB">
        <w:rPr>
          <w:rFonts w:eastAsia="Calibri" w:cs="Times New Roman"/>
          <w:color w:val="000000"/>
          <w:sz w:val="24"/>
          <w:szCs w:val="24"/>
        </w:rPr>
        <w:softHyphen/>
      </w:r>
      <w:r w:rsidRPr="00F5793C">
        <w:rPr>
          <w:rFonts w:eastAsia="Calibri" w:cs="Times New Roman"/>
          <w:color w:val="000000"/>
          <w:sz w:val="24"/>
          <w:szCs w:val="24"/>
        </w:rPr>
        <w:t xml:space="preserve">ways in the guinea-pig. // J.Anat., 1983. Mar: 136 (Pt 2):237-250. </w:t>
      </w:r>
    </w:p>
    <w:p w14:paraId="6FD37D73" w14:textId="1ECE7EC7"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Dekhkanov T.D., Oripov F.S., Dekhkanova N.T., Rakhmonov Z.M., Rakh</w:t>
      </w:r>
      <w:r w:rsidR="00874ADB">
        <w:rPr>
          <w:rFonts w:eastAsia="Calibri" w:cs="Times New Roman"/>
          <w:sz w:val="24"/>
          <w:szCs w:val="24"/>
        </w:rPr>
        <w:softHyphen/>
      </w:r>
      <w:r w:rsidRPr="00F5793C">
        <w:rPr>
          <w:rFonts w:eastAsia="Calibri" w:cs="Times New Roman"/>
          <w:sz w:val="24"/>
          <w:szCs w:val="24"/>
        </w:rPr>
        <w:t>monova Kh.N. Morphology of monoaminergic innervation of the blood vessels of the papilla of Vater. // Topical issues of modern science and education. Collection of articles of the in</w:t>
      </w:r>
      <w:r w:rsidR="00874ADB">
        <w:rPr>
          <w:rFonts w:eastAsia="Calibri" w:cs="Times New Roman"/>
          <w:sz w:val="24"/>
          <w:szCs w:val="24"/>
        </w:rPr>
        <w:softHyphen/>
      </w:r>
      <w:r w:rsidRPr="00F5793C">
        <w:rPr>
          <w:rFonts w:eastAsia="Calibri" w:cs="Times New Roman"/>
          <w:sz w:val="24"/>
          <w:szCs w:val="24"/>
        </w:rPr>
        <w:t>ternational scientific and practical conference, held on January 5, 2020. In Penza, 2020, pp. 228-231.</w:t>
      </w:r>
    </w:p>
    <w:p w14:paraId="1F809938" w14:textId="4F1A83C4"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Dekhkanov T.D., Oripov F.S., Dekhkanova N.T., Rakhmonova H.N. Features of the structural organization of the ampulla of the papilla of Vater in animals with different types of nutrition. // Medical sciences. Mos</w:t>
      </w:r>
      <w:r w:rsidR="00874ADB">
        <w:rPr>
          <w:rFonts w:eastAsia="Calibri" w:cs="Times New Roman"/>
          <w:sz w:val="24"/>
          <w:szCs w:val="24"/>
        </w:rPr>
        <w:softHyphen/>
      </w:r>
      <w:r w:rsidRPr="00F5793C">
        <w:rPr>
          <w:rFonts w:eastAsia="Calibri" w:cs="Times New Roman"/>
          <w:sz w:val="24"/>
          <w:szCs w:val="24"/>
        </w:rPr>
        <w:t>cow, 2021. No. 2 (57). pp. 94-96.</w:t>
      </w:r>
    </w:p>
    <w:p w14:paraId="2382B750" w14:textId="326DE8F2"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lastRenderedPageBreak/>
        <w:t>Denisov S.D., Kovalenko V.V. An</w:t>
      </w:r>
      <w:r w:rsidR="00874ADB">
        <w:rPr>
          <w:rFonts w:eastAsia="Calibri" w:cs="Times New Roman"/>
          <w:sz w:val="24"/>
          <w:szCs w:val="24"/>
        </w:rPr>
        <w:softHyphen/>
      </w:r>
      <w:r w:rsidRPr="00F5793C">
        <w:rPr>
          <w:rFonts w:eastAsia="Calibri" w:cs="Times New Roman"/>
          <w:sz w:val="24"/>
          <w:szCs w:val="24"/>
        </w:rPr>
        <w:t>atomical characteristics of the relief of the mu</w:t>
      </w:r>
      <w:r w:rsidR="00874ADB">
        <w:rPr>
          <w:rFonts w:eastAsia="Calibri" w:cs="Times New Roman"/>
          <w:sz w:val="24"/>
          <w:szCs w:val="24"/>
        </w:rPr>
        <w:softHyphen/>
      </w:r>
      <w:r w:rsidRPr="00F5793C">
        <w:rPr>
          <w:rFonts w:eastAsia="Calibri" w:cs="Times New Roman"/>
          <w:sz w:val="24"/>
          <w:szCs w:val="24"/>
        </w:rPr>
        <w:t>cous membrane of the human duodenum. // Medical news, 2013. No. 11 (230). pp. 11-15.</w:t>
      </w:r>
    </w:p>
    <w:p w14:paraId="68BF33DA" w14:textId="77777777"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Ermolov A.S., Gulyaev A.A. Acute cholecystitis: modern methods of treatment. // Attending physician, 2005. No. 2. S. 16-18.</w:t>
      </w:r>
    </w:p>
    <w:p w14:paraId="0A353074" w14:textId="54FC6E7D"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Kovalenko V.V., Denisov S.D. Fea</w:t>
      </w:r>
      <w:r w:rsidR="00874ADB">
        <w:rPr>
          <w:rFonts w:eastAsia="Calibri" w:cs="Times New Roman"/>
          <w:sz w:val="24"/>
          <w:szCs w:val="24"/>
        </w:rPr>
        <w:softHyphen/>
      </w:r>
      <w:r w:rsidRPr="00F5793C">
        <w:rPr>
          <w:rFonts w:eastAsia="Calibri" w:cs="Times New Roman"/>
          <w:sz w:val="24"/>
          <w:szCs w:val="24"/>
        </w:rPr>
        <w:t>tures of the histological structure of the large and small papillae of the duodenum of adults // Nauchnye issledovaniya, 2016. No. 2. P. 76-79.</w:t>
      </w:r>
    </w:p>
    <w:p w14:paraId="35908817" w14:textId="77777777"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Rakhmanov K.E., Davlatov S.S. Analysis of the results of surgical treatment of liver echinococcosis // Actual problems of hepatopancreatobiliary surgery, 2017. P. 226-227.</w:t>
      </w:r>
    </w:p>
    <w:p w14:paraId="04C1ABCE" w14:textId="2518B1B9"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Rakhmanov Z.M., Dekhkanov T.D. Morphology of the structural components of the mucous membrane of the ampulla of Va</w:t>
      </w:r>
      <w:r w:rsidR="00874ADB">
        <w:rPr>
          <w:rFonts w:eastAsia="Calibri" w:cs="Times New Roman"/>
          <w:sz w:val="24"/>
          <w:szCs w:val="24"/>
        </w:rPr>
        <w:softHyphen/>
      </w:r>
      <w:r w:rsidRPr="00F5793C">
        <w:rPr>
          <w:rFonts w:eastAsia="Calibri" w:cs="Times New Roman"/>
          <w:sz w:val="24"/>
          <w:szCs w:val="24"/>
        </w:rPr>
        <w:t>ter's papilla. // Problems of biology and medi</w:t>
      </w:r>
      <w:r w:rsidR="00874ADB">
        <w:rPr>
          <w:rFonts w:eastAsia="Calibri" w:cs="Times New Roman"/>
          <w:sz w:val="24"/>
          <w:szCs w:val="24"/>
        </w:rPr>
        <w:softHyphen/>
      </w:r>
      <w:r w:rsidRPr="00F5793C">
        <w:rPr>
          <w:rFonts w:eastAsia="Calibri" w:cs="Times New Roman"/>
          <w:sz w:val="24"/>
          <w:szCs w:val="24"/>
        </w:rPr>
        <w:t>cine. Samarkand, 2016. No. 4 (91). pp. 146-148.</w:t>
      </w:r>
    </w:p>
    <w:p w14:paraId="14E8C253" w14:textId="7BEA38B3"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Rakhmanov Z.M., Oripov F.S., Dekhkanov T.D. Gross and Microscopic Anat</w:t>
      </w:r>
      <w:r w:rsidR="00874ADB">
        <w:rPr>
          <w:rFonts w:eastAsia="Calibri" w:cs="Times New Roman"/>
          <w:sz w:val="24"/>
          <w:szCs w:val="24"/>
        </w:rPr>
        <w:softHyphen/>
      </w:r>
      <w:r w:rsidRPr="00F5793C">
        <w:rPr>
          <w:rFonts w:eastAsia="Calibri" w:cs="Times New Roman"/>
          <w:sz w:val="24"/>
          <w:szCs w:val="24"/>
        </w:rPr>
        <w:t>omy of the Vater Papilla (Hepatopancreatic Ampule) in Animals with and without Gall Bladder. // American Journal of Medicine and Medical Sciences, 2020. 10 (1): 55-58.</w:t>
      </w:r>
    </w:p>
    <w:p w14:paraId="40739E61" w14:textId="77777777" w:rsidR="00F5793C" w:rsidRPr="00F5793C" w:rsidRDefault="00F5793C" w:rsidP="00874ADB">
      <w:pPr>
        <w:numPr>
          <w:ilvl w:val="0"/>
          <w:numId w:val="45"/>
        </w:numPr>
        <w:tabs>
          <w:tab w:val="left" w:pos="993"/>
        </w:tabs>
        <w:autoSpaceDE w:val="0"/>
        <w:autoSpaceDN w:val="0"/>
        <w:adjustRightInd w:val="0"/>
        <w:spacing w:line="276" w:lineRule="auto"/>
        <w:ind w:left="0" w:firstLine="567"/>
        <w:jc w:val="both"/>
        <w:rPr>
          <w:rFonts w:eastAsia="Calibri" w:cs="Times New Roman"/>
          <w:color w:val="000000"/>
          <w:sz w:val="24"/>
          <w:szCs w:val="24"/>
        </w:rPr>
      </w:pPr>
      <w:r w:rsidRPr="00F5793C">
        <w:rPr>
          <w:rFonts w:eastAsia="Calibri" w:cs="Times New Roman"/>
          <w:iCs/>
          <w:color w:val="000000"/>
          <w:sz w:val="24"/>
          <w:szCs w:val="24"/>
        </w:rPr>
        <w:t>Suratovich O.F.</w:t>
      </w:r>
      <w:r w:rsidRPr="00F5793C">
        <w:rPr>
          <w:rFonts w:eastAsia="Calibri" w:cs="Times New Roman"/>
          <w:i/>
          <w:iCs/>
          <w:color w:val="000000"/>
          <w:sz w:val="24"/>
          <w:szCs w:val="24"/>
        </w:rPr>
        <w:t xml:space="preserve"> </w:t>
      </w:r>
      <w:r w:rsidRPr="00F5793C">
        <w:rPr>
          <w:rFonts w:eastAsia="Calibri" w:cs="Times New Roman"/>
          <w:color w:val="000000"/>
          <w:sz w:val="24"/>
          <w:szCs w:val="24"/>
        </w:rPr>
        <w:t xml:space="preserve">Morphology of neuroendocrineimmune system of jejunum in early postnatal t ge e // Eur pea e e rev ew, 2017. № 1-2. </w:t>
      </w:r>
    </w:p>
    <w:p w14:paraId="2E8FB9DE" w14:textId="37862FEA" w:rsidR="00F5793C" w:rsidRPr="00F5793C" w:rsidRDefault="00F5793C" w:rsidP="00874ADB">
      <w:pPr>
        <w:numPr>
          <w:ilvl w:val="0"/>
          <w:numId w:val="45"/>
        </w:numPr>
        <w:tabs>
          <w:tab w:val="left" w:pos="993"/>
        </w:tabs>
        <w:spacing w:line="276" w:lineRule="auto"/>
        <w:ind w:left="0" w:firstLine="567"/>
        <w:contextualSpacing/>
        <w:jc w:val="both"/>
        <w:rPr>
          <w:rFonts w:eastAsia="Calibri" w:cs="Times New Roman"/>
          <w:sz w:val="24"/>
          <w:szCs w:val="24"/>
        </w:rPr>
      </w:pPr>
      <w:r w:rsidRPr="00F5793C">
        <w:rPr>
          <w:rFonts w:eastAsia="Calibri" w:cs="Times New Roman"/>
          <w:sz w:val="24"/>
          <w:szCs w:val="24"/>
        </w:rPr>
        <w:t>Suslo A.P., Slavnov A.A. Stereo</w:t>
      </w:r>
      <w:r w:rsidR="00874ADB">
        <w:rPr>
          <w:rFonts w:eastAsia="Calibri" w:cs="Times New Roman"/>
          <w:sz w:val="24"/>
          <w:szCs w:val="24"/>
        </w:rPr>
        <w:softHyphen/>
      </w:r>
      <w:r w:rsidRPr="00F5793C">
        <w:rPr>
          <w:rFonts w:eastAsia="Calibri" w:cs="Times New Roman"/>
          <w:sz w:val="24"/>
          <w:szCs w:val="24"/>
        </w:rPr>
        <w:t>scopic characteristic of the relief of the mucous membrane of the hepato-pancreatic ampulla and intramural sections of the common bile and pancreatic ducts. // Problems of modern science and education, 2016. P. 127-129.</w:t>
      </w:r>
    </w:p>
    <w:p w14:paraId="1801982A" w14:textId="77777777" w:rsidR="00874ADB" w:rsidRDefault="00874ADB" w:rsidP="00F5793C">
      <w:pPr>
        <w:spacing w:line="276" w:lineRule="auto"/>
        <w:ind w:firstLine="567"/>
        <w:jc w:val="both"/>
        <w:rPr>
          <w:rFonts w:cs="Times New Roman"/>
          <w:sz w:val="24"/>
          <w:szCs w:val="24"/>
          <w:lang w:val="uz-Latn-UZ"/>
        </w:rPr>
        <w:sectPr w:rsidR="00874ADB" w:rsidSect="00874ADB">
          <w:type w:val="continuous"/>
          <w:pgSz w:w="11907" w:h="16840" w:code="9"/>
          <w:pgMar w:top="1418" w:right="1134" w:bottom="1134" w:left="1134" w:header="907" w:footer="794" w:gutter="0"/>
          <w:cols w:num="2" w:space="708"/>
          <w:docGrid w:linePitch="381"/>
        </w:sectPr>
      </w:pPr>
    </w:p>
    <w:p w14:paraId="1DC822FC" w14:textId="21F2D2C0" w:rsidR="00666581" w:rsidRPr="00F5793C" w:rsidRDefault="00666581" w:rsidP="00F5793C">
      <w:pPr>
        <w:spacing w:line="276" w:lineRule="auto"/>
        <w:ind w:firstLine="567"/>
        <w:jc w:val="both"/>
        <w:rPr>
          <w:rFonts w:cs="Times New Roman"/>
          <w:sz w:val="24"/>
          <w:szCs w:val="24"/>
          <w:lang w:val="uz-Latn-UZ"/>
        </w:rPr>
      </w:pPr>
    </w:p>
    <w:p w14:paraId="7B8BC1E0" w14:textId="3B999C12" w:rsidR="00666581" w:rsidRPr="00F5793C" w:rsidRDefault="00666581" w:rsidP="00F5793C">
      <w:pPr>
        <w:spacing w:line="276" w:lineRule="auto"/>
        <w:ind w:firstLine="567"/>
        <w:jc w:val="both"/>
        <w:rPr>
          <w:rFonts w:cs="Times New Roman"/>
          <w:sz w:val="24"/>
          <w:szCs w:val="24"/>
          <w:lang w:val="uz-Latn-UZ"/>
        </w:rPr>
      </w:pPr>
    </w:p>
    <w:p w14:paraId="0F053562" w14:textId="55DDB815" w:rsidR="00666581" w:rsidRDefault="00666581" w:rsidP="00C51D8C">
      <w:pPr>
        <w:ind w:firstLine="567"/>
        <w:jc w:val="both"/>
        <w:rPr>
          <w:sz w:val="24"/>
          <w:lang w:val="uz-Latn-UZ"/>
        </w:rPr>
      </w:pPr>
    </w:p>
    <w:p w14:paraId="35EBE269" w14:textId="35599563" w:rsidR="00666581" w:rsidRDefault="00666581" w:rsidP="00C51D8C">
      <w:pPr>
        <w:ind w:firstLine="567"/>
        <w:jc w:val="both"/>
        <w:rPr>
          <w:sz w:val="24"/>
          <w:lang w:val="uz-Latn-UZ"/>
        </w:rPr>
      </w:pPr>
    </w:p>
    <w:p w14:paraId="48C4B621" w14:textId="3D8BEE8C" w:rsidR="00666581" w:rsidRDefault="00666581" w:rsidP="00C51D8C">
      <w:pPr>
        <w:ind w:firstLine="567"/>
        <w:jc w:val="both"/>
        <w:rPr>
          <w:sz w:val="24"/>
          <w:lang w:val="uz-Latn-UZ"/>
        </w:rPr>
      </w:pPr>
    </w:p>
    <w:p w14:paraId="3C4B538A" w14:textId="30D0B771" w:rsidR="00666581" w:rsidRDefault="00666581" w:rsidP="00C51D8C">
      <w:pPr>
        <w:ind w:firstLine="567"/>
        <w:jc w:val="both"/>
        <w:rPr>
          <w:sz w:val="24"/>
          <w:lang w:val="uz-Latn-UZ"/>
        </w:rPr>
      </w:pPr>
    </w:p>
    <w:p w14:paraId="521A2984" w14:textId="20DD9AA4" w:rsidR="00666581" w:rsidRDefault="00666581" w:rsidP="00C51D8C">
      <w:pPr>
        <w:ind w:firstLine="567"/>
        <w:jc w:val="both"/>
        <w:rPr>
          <w:sz w:val="24"/>
          <w:lang w:val="uz-Latn-UZ"/>
        </w:rPr>
      </w:pPr>
    </w:p>
    <w:p w14:paraId="70825A2B" w14:textId="53CA2698" w:rsidR="00632F29" w:rsidRDefault="00632F29" w:rsidP="00C51D8C">
      <w:pPr>
        <w:ind w:firstLine="567"/>
        <w:jc w:val="both"/>
        <w:rPr>
          <w:sz w:val="24"/>
          <w:lang w:val="uz-Latn-UZ"/>
        </w:rPr>
      </w:pPr>
    </w:p>
    <w:p w14:paraId="0D37828B" w14:textId="2597C280" w:rsidR="00632F29" w:rsidRDefault="00632F29" w:rsidP="00C51D8C">
      <w:pPr>
        <w:ind w:firstLine="567"/>
        <w:jc w:val="both"/>
        <w:rPr>
          <w:sz w:val="24"/>
          <w:lang w:val="uz-Latn-UZ"/>
        </w:rPr>
      </w:pPr>
    </w:p>
    <w:p w14:paraId="4A0D5E39" w14:textId="7DE4939C" w:rsidR="00632F29" w:rsidRDefault="00632F29" w:rsidP="00C51D8C">
      <w:pPr>
        <w:ind w:firstLine="567"/>
        <w:jc w:val="both"/>
        <w:rPr>
          <w:sz w:val="24"/>
          <w:lang w:val="uz-Latn-UZ"/>
        </w:rPr>
      </w:pPr>
    </w:p>
    <w:p w14:paraId="44FFBEE2" w14:textId="224ABDA5" w:rsidR="00632F29" w:rsidRDefault="00632F29" w:rsidP="00C51D8C">
      <w:pPr>
        <w:ind w:firstLine="567"/>
        <w:jc w:val="both"/>
        <w:rPr>
          <w:sz w:val="24"/>
          <w:lang w:val="uz-Latn-UZ"/>
        </w:rPr>
      </w:pPr>
    </w:p>
    <w:p w14:paraId="285A18BE" w14:textId="2373F489" w:rsidR="00632F29" w:rsidRDefault="00632F29" w:rsidP="00C51D8C">
      <w:pPr>
        <w:ind w:firstLine="567"/>
        <w:jc w:val="both"/>
        <w:rPr>
          <w:sz w:val="24"/>
          <w:lang w:val="uz-Latn-UZ"/>
        </w:rPr>
      </w:pPr>
    </w:p>
    <w:p w14:paraId="3278F87F" w14:textId="65E1F9F9" w:rsidR="00632F29" w:rsidRDefault="00632F29" w:rsidP="00C51D8C">
      <w:pPr>
        <w:ind w:firstLine="567"/>
        <w:jc w:val="both"/>
        <w:rPr>
          <w:sz w:val="24"/>
          <w:lang w:val="uz-Latn-UZ"/>
        </w:rPr>
      </w:pPr>
    </w:p>
    <w:p w14:paraId="293FBD7E" w14:textId="0D55642B" w:rsidR="00632F29" w:rsidRDefault="00632F29" w:rsidP="00C51D8C">
      <w:pPr>
        <w:ind w:firstLine="567"/>
        <w:jc w:val="both"/>
        <w:rPr>
          <w:sz w:val="24"/>
          <w:lang w:val="uz-Latn-UZ"/>
        </w:rPr>
      </w:pPr>
    </w:p>
    <w:p w14:paraId="1FF06D7C" w14:textId="65A4F9CC" w:rsidR="00632F29" w:rsidRDefault="00632F29" w:rsidP="00C51D8C">
      <w:pPr>
        <w:ind w:firstLine="567"/>
        <w:jc w:val="both"/>
        <w:rPr>
          <w:sz w:val="24"/>
          <w:lang w:val="uz-Latn-UZ"/>
        </w:rPr>
      </w:pPr>
    </w:p>
    <w:p w14:paraId="050FF974" w14:textId="50E191A9" w:rsidR="00632F29" w:rsidRDefault="00632F29" w:rsidP="00C51D8C">
      <w:pPr>
        <w:ind w:firstLine="567"/>
        <w:jc w:val="both"/>
        <w:rPr>
          <w:sz w:val="24"/>
          <w:lang w:val="uz-Latn-UZ"/>
        </w:rPr>
      </w:pPr>
    </w:p>
    <w:p w14:paraId="789DD4E9" w14:textId="59FDEAA6" w:rsidR="00632F29" w:rsidRDefault="00632F29" w:rsidP="00C51D8C">
      <w:pPr>
        <w:ind w:firstLine="567"/>
        <w:jc w:val="both"/>
        <w:rPr>
          <w:sz w:val="24"/>
          <w:lang w:val="uz-Latn-UZ"/>
        </w:rPr>
      </w:pPr>
    </w:p>
    <w:p w14:paraId="7D1FD3D1" w14:textId="490E003F" w:rsidR="00632F29" w:rsidRDefault="00632F29" w:rsidP="00C51D8C">
      <w:pPr>
        <w:ind w:firstLine="567"/>
        <w:jc w:val="both"/>
        <w:rPr>
          <w:sz w:val="24"/>
          <w:lang w:val="uz-Latn-UZ"/>
        </w:rPr>
      </w:pPr>
    </w:p>
    <w:p w14:paraId="392C4C86" w14:textId="73809023" w:rsidR="00632F29" w:rsidRDefault="00632F29" w:rsidP="00C51D8C">
      <w:pPr>
        <w:ind w:firstLine="567"/>
        <w:jc w:val="both"/>
        <w:rPr>
          <w:sz w:val="24"/>
          <w:lang w:val="uz-Latn-UZ"/>
        </w:rPr>
      </w:pPr>
    </w:p>
    <w:p w14:paraId="2626784A" w14:textId="2CE1862D" w:rsidR="00632F29" w:rsidRDefault="00632F29" w:rsidP="00C51D8C">
      <w:pPr>
        <w:ind w:firstLine="567"/>
        <w:jc w:val="both"/>
        <w:rPr>
          <w:sz w:val="24"/>
          <w:lang w:val="uz-Latn-UZ"/>
        </w:rPr>
      </w:pPr>
    </w:p>
    <w:p w14:paraId="62E53746" w14:textId="0E866AD9" w:rsidR="00632F29" w:rsidRDefault="00632F29" w:rsidP="00C51D8C">
      <w:pPr>
        <w:ind w:firstLine="567"/>
        <w:jc w:val="both"/>
        <w:rPr>
          <w:sz w:val="24"/>
          <w:lang w:val="uz-Latn-UZ"/>
        </w:rPr>
      </w:pPr>
    </w:p>
    <w:p w14:paraId="55BDC852" w14:textId="6CBAC22F" w:rsidR="00632F29" w:rsidRDefault="00632F29" w:rsidP="00C51D8C">
      <w:pPr>
        <w:ind w:firstLine="567"/>
        <w:jc w:val="both"/>
        <w:rPr>
          <w:sz w:val="24"/>
          <w:lang w:val="uz-Latn-UZ"/>
        </w:rPr>
      </w:pPr>
    </w:p>
    <w:p w14:paraId="53B88174" w14:textId="684B2D0F" w:rsidR="00632F29" w:rsidRDefault="00632F29" w:rsidP="00C51D8C">
      <w:pPr>
        <w:ind w:firstLine="567"/>
        <w:jc w:val="both"/>
        <w:rPr>
          <w:sz w:val="24"/>
          <w:lang w:val="uz-Latn-UZ"/>
        </w:rPr>
      </w:pPr>
    </w:p>
    <w:p w14:paraId="270C8433" w14:textId="263853A6" w:rsidR="00632F29" w:rsidRDefault="00632F29" w:rsidP="00C51D8C">
      <w:pPr>
        <w:ind w:firstLine="567"/>
        <w:jc w:val="both"/>
        <w:rPr>
          <w:sz w:val="24"/>
          <w:lang w:val="uz-Latn-UZ"/>
        </w:rPr>
      </w:pPr>
    </w:p>
    <w:p w14:paraId="59EDC6D8" w14:textId="11F22782" w:rsidR="00632F29" w:rsidRDefault="00632F29" w:rsidP="00C51D8C">
      <w:pPr>
        <w:ind w:firstLine="567"/>
        <w:jc w:val="both"/>
        <w:rPr>
          <w:sz w:val="24"/>
          <w:lang w:val="uz-Latn-UZ"/>
        </w:rPr>
      </w:pPr>
    </w:p>
    <w:p w14:paraId="11E2744E" w14:textId="37949227" w:rsidR="00632F29" w:rsidRDefault="00632F29" w:rsidP="00C51D8C">
      <w:pPr>
        <w:ind w:firstLine="567"/>
        <w:jc w:val="both"/>
        <w:rPr>
          <w:sz w:val="24"/>
          <w:lang w:val="uz-Latn-UZ"/>
        </w:rPr>
      </w:pPr>
    </w:p>
    <w:p w14:paraId="59B7B663" w14:textId="77DCD418" w:rsidR="00632F29" w:rsidRDefault="00632F29" w:rsidP="00C51D8C">
      <w:pPr>
        <w:ind w:firstLine="567"/>
        <w:jc w:val="both"/>
        <w:rPr>
          <w:sz w:val="24"/>
          <w:lang w:val="uz-Latn-UZ"/>
        </w:rPr>
      </w:pPr>
    </w:p>
    <w:p w14:paraId="6DC19EA4" w14:textId="37EFF895" w:rsidR="00632F29" w:rsidRDefault="00632F29" w:rsidP="00C51D8C">
      <w:pPr>
        <w:ind w:firstLine="567"/>
        <w:jc w:val="both"/>
        <w:rPr>
          <w:sz w:val="24"/>
          <w:lang w:val="uz-Latn-UZ"/>
        </w:rPr>
      </w:pPr>
    </w:p>
    <w:p w14:paraId="413B32AF" w14:textId="77777777" w:rsidR="00632F29" w:rsidRPr="00632F29" w:rsidRDefault="00632F29" w:rsidP="00632F29">
      <w:pPr>
        <w:pStyle w:val="1"/>
      </w:pPr>
      <w:bookmarkStart w:id="36" w:name="_STUDYING_THE_HYPOGLYCEMIC"/>
      <w:bookmarkEnd w:id="36"/>
      <w:r w:rsidRPr="00632F29">
        <w:lastRenderedPageBreak/>
        <w:t>STUDYING THE HYPOGLYCEMIC PROPERTIES OF THE EXTRACTS OF SOME MEDICINAL PLANTS ON THE MODEL OF EXPERIMENTAL DIABETES</w:t>
      </w:r>
    </w:p>
    <w:p w14:paraId="17143519" w14:textId="77777777" w:rsidR="00632F29" w:rsidRPr="00632F29" w:rsidRDefault="00632F29" w:rsidP="00632F29">
      <w:pPr>
        <w:spacing w:line="276" w:lineRule="auto"/>
        <w:ind w:firstLine="567"/>
        <w:jc w:val="both"/>
        <w:rPr>
          <w:rFonts w:cs="Times New Roman"/>
          <w:b/>
          <w:sz w:val="24"/>
          <w:szCs w:val="24"/>
        </w:rPr>
      </w:pPr>
    </w:p>
    <w:p w14:paraId="7D45CB88" w14:textId="77777777" w:rsidR="00632F29" w:rsidRPr="00632F29" w:rsidRDefault="00632F29" w:rsidP="00632F29">
      <w:pPr>
        <w:spacing w:line="276" w:lineRule="auto"/>
        <w:jc w:val="center"/>
        <w:rPr>
          <w:rFonts w:cs="Times New Roman"/>
          <w:b/>
          <w:iCs/>
          <w:sz w:val="24"/>
          <w:szCs w:val="24"/>
        </w:rPr>
      </w:pPr>
      <w:r w:rsidRPr="00632F29">
        <w:rPr>
          <w:rFonts w:cs="Times New Roman"/>
          <w:b/>
          <w:iCs/>
          <w:sz w:val="24"/>
          <w:szCs w:val="24"/>
        </w:rPr>
        <w:t>Irgasheva S.U., Ibragimova E.</w:t>
      </w:r>
      <w:r w:rsidRPr="00632F29">
        <w:rPr>
          <w:rFonts w:cs="Times New Roman"/>
          <w:b/>
          <w:iCs/>
          <w:sz w:val="24"/>
          <w:szCs w:val="24"/>
          <w:lang w:val="ru-RU"/>
        </w:rPr>
        <w:t>А</w:t>
      </w:r>
      <w:r w:rsidRPr="00632F29">
        <w:rPr>
          <w:rFonts w:cs="Times New Roman"/>
          <w:b/>
          <w:iCs/>
          <w:sz w:val="24"/>
          <w:szCs w:val="24"/>
        </w:rPr>
        <w:t xml:space="preserve">., Alimukhamedova </w:t>
      </w:r>
      <w:r w:rsidRPr="00632F29">
        <w:rPr>
          <w:rFonts w:cs="Times New Roman"/>
          <w:b/>
          <w:iCs/>
          <w:sz w:val="24"/>
          <w:szCs w:val="24"/>
          <w:lang w:val="ru-RU"/>
        </w:rPr>
        <w:t>М</w:t>
      </w:r>
      <w:r w:rsidRPr="00632F29">
        <w:rPr>
          <w:rFonts w:cs="Times New Roman"/>
          <w:b/>
          <w:iCs/>
          <w:sz w:val="24"/>
          <w:szCs w:val="24"/>
        </w:rPr>
        <w:t>.P.</w:t>
      </w:r>
    </w:p>
    <w:p w14:paraId="799E1D3C" w14:textId="77777777" w:rsidR="00632F29" w:rsidRPr="00632F29" w:rsidRDefault="00632F29" w:rsidP="00632F29">
      <w:pPr>
        <w:spacing w:line="276" w:lineRule="auto"/>
        <w:jc w:val="center"/>
        <w:rPr>
          <w:rFonts w:cs="Times New Roman"/>
          <w:iCs/>
          <w:sz w:val="24"/>
          <w:szCs w:val="24"/>
        </w:rPr>
      </w:pPr>
      <w:r w:rsidRPr="00632F29">
        <w:rPr>
          <w:rFonts w:cs="Times New Roman"/>
          <w:iCs/>
          <w:sz w:val="24"/>
          <w:szCs w:val="24"/>
        </w:rPr>
        <w:t>Institute of Biophysics and Biochemistry at the Mirzo Ulugbek National University of Uzbekistan</w:t>
      </w:r>
    </w:p>
    <w:p w14:paraId="41D47850" w14:textId="77777777" w:rsidR="00632F29" w:rsidRPr="00632F29" w:rsidRDefault="00632F29" w:rsidP="00632F29">
      <w:pPr>
        <w:spacing w:line="276" w:lineRule="auto"/>
        <w:jc w:val="center"/>
        <w:rPr>
          <w:rFonts w:cs="Times New Roman"/>
          <w:iCs/>
          <w:sz w:val="24"/>
          <w:szCs w:val="24"/>
        </w:rPr>
      </w:pPr>
      <w:r w:rsidRPr="00632F29">
        <w:rPr>
          <w:rFonts w:cs="Times New Roman"/>
          <w:iCs/>
          <w:sz w:val="24"/>
          <w:szCs w:val="24"/>
        </w:rPr>
        <w:t>Tashkent Medical Academy, Tashkent, Uzbekistan</w:t>
      </w:r>
    </w:p>
    <w:p w14:paraId="0F187619" w14:textId="77777777" w:rsidR="00632F29" w:rsidRPr="00632F29" w:rsidRDefault="00632F29" w:rsidP="00632F29">
      <w:pPr>
        <w:spacing w:line="276" w:lineRule="auto"/>
        <w:ind w:firstLine="567"/>
        <w:jc w:val="both"/>
        <w:rPr>
          <w:rFonts w:cs="Times New Roman"/>
          <w:b/>
          <w:sz w:val="24"/>
          <w:szCs w:val="24"/>
        </w:rPr>
      </w:pPr>
    </w:p>
    <w:p w14:paraId="3877592D" w14:textId="77777777" w:rsidR="00632F29" w:rsidRPr="00632F29" w:rsidRDefault="00632F29" w:rsidP="00632F29">
      <w:pPr>
        <w:spacing w:line="276" w:lineRule="auto"/>
        <w:ind w:firstLine="567"/>
        <w:jc w:val="both"/>
        <w:rPr>
          <w:rFonts w:cs="Times New Roman"/>
          <w:i/>
          <w:sz w:val="24"/>
          <w:szCs w:val="24"/>
        </w:rPr>
      </w:pPr>
      <w:r w:rsidRPr="00632F29">
        <w:rPr>
          <w:rFonts w:cs="Times New Roman"/>
          <w:b/>
          <w:i/>
          <w:sz w:val="24"/>
          <w:szCs w:val="24"/>
        </w:rPr>
        <w:t>Summary.</w:t>
      </w:r>
      <w:r w:rsidRPr="00632F29">
        <w:rPr>
          <w:rFonts w:cs="Times New Roman"/>
          <w:i/>
          <w:sz w:val="24"/>
          <w:szCs w:val="24"/>
        </w:rPr>
        <w:t xml:space="preserve"> The hypoglycemic activity of medicinal plants was studied by intragastric administration of hydroalcoholic extracts of safflower flowers and celery leaves and a mixture of their extracts to rats with alloxan diabetes. As a result, with the course application of a mixture of extracts, the blood glucose level of animals decreased and approached normal values.</w:t>
      </w:r>
    </w:p>
    <w:p w14:paraId="55A4E0BF" w14:textId="77777777" w:rsidR="00632F29" w:rsidRPr="00632F29" w:rsidRDefault="00632F29" w:rsidP="00632F29">
      <w:pPr>
        <w:spacing w:line="276" w:lineRule="auto"/>
        <w:ind w:firstLine="567"/>
        <w:jc w:val="both"/>
        <w:rPr>
          <w:rFonts w:cs="Times New Roman"/>
          <w:i/>
          <w:sz w:val="24"/>
          <w:szCs w:val="24"/>
        </w:rPr>
      </w:pPr>
      <w:r w:rsidRPr="00632F29">
        <w:rPr>
          <w:rFonts w:cs="Times New Roman"/>
          <w:b/>
          <w:i/>
          <w:sz w:val="24"/>
          <w:szCs w:val="24"/>
        </w:rPr>
        <w:t>Keywords:</w:t>
      </w:r>
      <w:r w:rsidRPr="00632F29">
        <w:rPr>
          <w:rFonts w:cs="Times New Roman"/>
          <w:i/>
          <w:sz w:val="24"/>
          <w:szCs w:val="24"/>
        </w:rPr>
        <w:t xml:space="preserve"> hypoglycemic activity, extracts of medicinal plants, alloxan diabetes, blood glucose level.</w:t>
      </w:r>
    </w:p>
    <w:p w14:paraId="6E6FE6D0" w14:textId="77777777" w:rsidR="00632F29" w:rsidRDefault="00632F29" w:rsidP="00632F29">
      <w:pPr>
        <w:spacing w:line="276" w:lineRule="auto"/>
        <w:jc w:val="both"/>
        <w:rPr>
          <w:rFonts w:cs="Times New Roman"/>
          <w:b/>
          <w:sz w:val="24"/>
          <w:szCs w:val="24"/>
        </w:rPr>
      </w:pPr>
    </w:p>
    <w:p w14:paraId="717B9167" w14:textId="77777777" w:rsidR="00632F29" w:rsidRDefault="00632F29" w:rsidP="00632F29">
      <w:pPr>
        <w:spacing w:line="276" w:lineRule="auto"/>
        <w:jc w:val="both"/>
        <w:rPr>
          <w:rFonts w:cs="Times New Roman"/>
          <w:b/>
          <w:sz w:val="24"/>
          <w:szCs w:val="24"/>
        </w:rPr>
      </w:pPr>
    </w:p>
    <w:p w14:paraId="3C968DB6" w14:textId="55F6A097" w:rsidR="00632F29" w:rsidRPr="00632F29" w:rsidRDefault="00632F29" w:rsidP="00632F29">
      <w:pPr>
        <w:spacing w:line="276" w:lineRule="auto"/>
        <w:jc w:val="center"/>
        <w:rPr>
          <w:rFonts w:cs="Times New Roman"/>
          <w:b/>
          <w:sz w:val="24"/>
          <w:szCs w:val="24"/>
          <w:lang w:val="uz-Cyrl-UZ"/>
        </w:rPr>
      </w:pPr>
      <w:r w:rsidRPr="00632F29">
        <w:rPr>
          <w:rFonts w:cs="Times New Roman"/>
          <w:b/>
          <w:sz w:val="24"/>
          <w:szCs w:val="24"/>
          <w:lang w:val="ru-RU"/>
        </w:rPr>
        <w:t>ИЗУЧЕНИЕ</w:t>
      </w:r>
      <w:r w:rsidRPr="00632F29">
        <w:rPr>
          <w:rFonts w:cs="Times New Roman"/>
          <w:b/>
          <w:sz w:val="24"/>
          <w:szCs w:val="24"/>
          <w:lang w:val="uz-Cyrl-UZ"/>
        </w:rPr>
        <w:t xml:space="preserve"> САХАРОСНИЖАЮЩИХ СВОЙСТВ ЭКСТРАКТОВ НЕКОТОРЫХ ЛЕКАРСТВЕННЫХ РАСТЕНИЙ НА МОДЕЛИ ЭКСПЕРИМЕНТАЛЬНОГО ДИАБЕТА</w:t>
      </w:r>
    </w:p>
    <w:p w14:paraId="76C75BE0" w14:textId="77777777" w:rsidR="00632F29" w:rsidRPr="00632F29" w:rsidRDefault="00632F29" w:rsidP="00632F29">
      <w:pPr>
        <w:spacing w:line="276" w:lineRule="auto"/>
        <w:ind w:firstLine="567"/>
        <w:jc w:val="both"/>
        <w:rPr>
          <w:rFonts w:cs="Times New Roman"/>
          <w:b/>
          <w:sz w:val="24"/>
          <w:szCs w:val="24"/>
          <w:lang w:val="uz-Cyrl-UZ"/>
        </w:rPr>
      </w:pPr>
    </w:p>
    <w:p w14:paraId="591C9BA1" w14:textId="77777777" w:rsidR="00632F29" w:rsidRPr="00632F29" w:rsidRDefault="00632F29" w:rsidP="00632F29">
      <w:pPr>
        <w:spacing w:line="276" w:lineRule="auto"/>
        <w:jc w:val="center"/>
        <w:rPr>
          <w:rFonts w:cs="Times New Roman"/>
          <w:b/>
          <w:iCs/>
          <w:sz w:val="24"/>
          <w:szCs w:val="24"/>
          <w:lang w:val="ru-RU"/>
        </w:rPr>
      </w:pPr>
      <w:r w:rsidRPr="00632F29">
        <w:rPr>
          <w:rFonts w:cs="Times New Roman"/>
          <w:b/>
          <w:iCs/>
          <w:sz w:val="24"/>
          <w:szCs w:val="24"/>
          <w:lang w:val="ru-RU"/>
        </w:rPr>
        <w:t>Иргашева С.У., Ибрагимова Э.А., Алимухамедова М.П.</w:t>
      </w:r>
    </w:p>
    <w:p w14:paraId="44DE0252" w14:textId="77777777" w:rsidR="00632F29" w:rsidRPr="00632F29" w:rsidRDefault="00632F29" w:rsidP="00632F29">
      <w:pPr>
        <w:spacing w:line="276" w:lineRule="auto"/>
        <w:jc w:val="center"/>
        <w:rPr>
          <w:rFonts w:cs="Times New Roman"/>
          <w:iCs/>
          <w:sz w:val="24"/>
          <w:szCs w:val="24"/>
          <w:lang w:val="ru-RU"/>
        </w:rPr>
      </w:pPr>
      <w:r w:rsidRPr="00632F29">
        <w:rPr>
          <w:rFonts w:cs="Times New Roman"/>
          <w:iCs/>
          <w:sz w:val="24"/>
          <w:szCs w:val="24"/>
          <w:lang w:val="ru-RU"/>
        </w:rPr>
        <w:t xml:space="preserve">Институт биофизики и биохимии при Национальном университете </w:t>
      </w:r>
    </w:p>
    <w:p w14:paraId="398B680C" w14:textId="1AF1AF47" w:rsidR="00632F29" w:rsidRPr="00632F29" w:rsidRDefault="00632F29" w:rsidP="00632F29">
      <w:pPr>
        <w:spacing w:line="276" w:lineRule="auto"/>
        <w:jc w:val="center"/>
        <w:rPr>
          <w:rFonts w:cs="Times New Roman"/>
          <w:iCs/>
          <w:sz w:val="24"/>
          <w:szCs w:val="24"/>
          <w:lang w:val="ru-RU"/>
        </w:rPr>
      </w:pPr>
      <w:r w:rsidRPr="00632F29">
        <w:rPr>
          <w:rFonts w:cs="Times New Roman"/>
          <w:iCs/>
          <w:sz w:val="24"/>
          <w:szCs w:val="24"/>
          <w:lang w:val="ru-RU"/>
        </w:rPr>
        <w:t>Узбекистана им. Мирзо Улугбека</w:t>
      </w:r>
    </w:p>
    <w:p w14:paraId="3423782A" w14:textId="77777777" w:rsidR="00632F29" w:rsidRPr="00632F29" w:rsidRDefault="00632F29" w:rsidP="00632F29">
      <w:pPr>
        <w:spacing w:line="276" w:lineRule="auto"/>
        <w:jc w:val="center"/>
        <w:rPr>
          <w:rFonts w:cs="Times New Roman"/>
          <w:iCs/>
          <w:sz w:val="24"/>
          <w:szCs w:val="24"/>
          <w:lang w:val="ru-RU"/>
        </w:rPr>
      </w:pPr>
      <w:r w:rsidRPr="00632F29">
        <w:rPr>
          <w:rFonts w:cs="Times New Roman"/>
          <w:iCs/>
          <w:sz w:val="24"/>
          <w:szCs w:val="24"/>
          <w:lang w:val="ru-RU"/>
        </w:rPr>
        <w:t>Ташкентская медицинская академия, Ташкент, Узбекистан</w:t>
      </w:r>
    </w:p>
    <w:p w14:paraId="4FC5BB00" w14:textId="77777777" w:rsidR="00632F29" w:rsidRPr="00632F29" w:rsidRDefault="00632F29" w:rsidP="00632F29">
      <w:pPr>
        <w:spacing w:line="276" w:lineRule="auto"/>
        <w:ind w:firstLine="567"/>
        <w:jc w:val="both"/>
        <w:rPr>
          <w:rFonts w:cs="Times New Roman"/>
          <w:sz w:val="24"/>
          <w:szCs w:val="24"/>
          <w:lang w:val="ru-RU"/>
        </w:rPr>
      </w:pPr>
    </w:p>
    <w:p w14:paraId="6FA3BD5F" w14:textId="77777777" w:rsidR="00632F29" w:rsidRPr="00632F29" w:rsidRDefault="00632F29" w:rsidP="00632F29">
      <w:pPr>
        <w:spacing w:line="276" w:lineRule="auto"/>
        <w:ind w:firstLine="567"/>
        <w:jc w:val="both"/>
        <w:rPr>
          <w:rFonts w:cs="Times New Roman"/>
          <w:i/>
          <w:sz w:val="24"/>
          <w:szCs w:val="24"/>
          <w:lang w:val="ru-RU"/>
        </w:rPr>
      </w:pPr>
      <w:r w:rsidRPr="00632F29">
        <w:rPr>
          <w:rFonts w:cs="Times New Roman"/>
          <w:b/>
          <w:i/>
          <w:sz w:val="24"/>
          <w:szCs w:val="24"/>
          <w:lang w:val="ru-RU"/>
        </w:rPr>
        <w:t>Резюме.</w:t>
      </w:r>
      <w:r w:rsidRPr="00632F29">
        <w:rPr>
          <w:rFonts w:cs="Times New Roman"/>
          <w:i/>
          <w:sz w:val="24"/>
          <w:szCs w:val="24"/>
          <w:lang w:val="ru-RU"/>
        </w:rPr>
        <w:t xml:space="preserve"> Исследована гипогликемическая активность лекарственных растений путем интрагастрального введения водно-спиртовых экстрактов цветков сафлора и листьев сельдерея и смеси их экстрактов крысам с аллоксановым диабетом. В результате при курсовом применении смеси экстрактов уровень глюкозы крови животных снижался и приближался к нормальным показателям.</w:t>
      </w:r>
    </w:p>
    <w:p w14:paraId="77A4E590" w14:textId="77777777" w:rsidR="00632F29" w:rsidRPr="00632F29" w:rsidRDefault="00632F29" w:rsidP="00632F29">
      <w:pPr>
        <w:spacing w:line="276" w:lineRule="auto"/>
        <w:ind w:firstLine="567"/>
        <w:jc w:val="both"/>
        <w:rPr>
          <w:rFonts w:cs="Times New Roman"/>
          <w:i/>
          <w:sz w:val="24"/>
          <w:szCs w:val="24"/>
          <w:lang w:val="ru-RU"/>
        </w:rPr>
      </w:pPr>
      <w:r w:rsidRPr="00632F29">
        <w:rPr>
          <w:rFonts w:cs="Times New Roman"/>
          <w:b/>
          <w:i/>
          <w:sz w:val="24"/>
          <w:szCs w:val="24"/>
          <w:lang w:val="ru-RU"/>
        </w:rPr>
        <w:t>Ключевые слова:</w:t>
      </w:r>
      <w:r w:rsidRPr="00632F29">
        <w:rPr>
          <w:rFonts w:cs="Times New Roman"/>
          <w:i/>
          <w:sz w:val="24"/>
          <w:szCs w:val="24"/>
          <w:lang w:val="ru-RU"/>
        </w:rPr>
        <w:t xml:space="preserve"> гипогликемическая активность, экстракты лекарственных растений, аллоксановый диабет, уровень глюкозы крови.</w:t>
      </w:r>
    </w:p>
    <w:p w14:paraId="0C07AF7D" w14:textId="140BE13A" w:rsidR="00632F29" w:rsidRDefault="00632F29" w:rsidP="00632F29">
      <w:pPr>
        <w:spacing w:line="276" w:lineRule="auto"/>
        <w:ind w:firstLine="567"/>
        <w:jc w:val="both"/>
        <w:rPr>
          <w:rFonts w:cs="Times New Roman"/>
          <w:b/>
          <w:sz w:val="24"/>
          <w:szCs w:val="24"/>
          <w:lang w:val="ru-RU"/>
        </w:rPr>
      </w:pPr>
    </w:p>
    <w:p w14:paraId="26CC34F4" w14:textId="77777777" w:rsidR="00632F29" w:rsidRPr="00632F29" w:rsidRDefault="00632F29" w:rsidP="00632F29">
      <w:pPr>
        <w:spacing w:line="276" w:lineRule="auto"/>
        <w:ind w:firstLine="567"/>
        <w:jc w:val="both"/>
        <w:rPr>
          <w:rFonts w:cs="Times New Roman"/>
          <w:b/>
          <w:sz w:val="24"/>
          <w:szCs w:val="24"/>
          <w:lang w:val="ru-RU"/>
        </w:rPr>
      </w:pPr>
    </w:p>
    <w:p w14:paraId="1DE410B9" w14:textId="77777777" w:rsidR="00632F29" w:rsidRPr="00632F29" w:rsidRDefault="00632F29" w:rsidP="00632F29">
      <w:pPr>
        <w:spacing w:line="276" w:lineRule="auto"/>
        <w:jc w:val="center"/>
        <w:rPr>
          <w:rFonts w:cs="Times New Roman"/>
          <w:b/>
          <w:sz w:val="24"/>
          <w:szCs w:val="24"/>
          <w:lang w:val="ru-RU"/>
        </w:rPr>
      </w:pPr>
      <w:r w:rsidRPr="00632F29">
        <w:rPr>
          <w:rFonts w:cs="Times New Roman"/>
          <w:b/>
          <w:sz w:val="24"/>
          <w:szCs w:val="24"/>
        </w:rPr>
        <w:t>AYRIM</w:t>
      </w:r>
      <w:r w:rsidRPr="00632F29">
        <w:rPr>
          <w:rFonts w:cs="Times New Roman"/>
          <w:b/>
          <w:sz w:val="24"/>
          <w:szCs w:val="24"/>
          <w:lang w:val="ru-RU"/>
        </w:rPr>
        <w:t xml:space="preserve"> </w:t>
      </w:r>
      <w:r w:rsidRPr="00632F29">
        <w:rPr>
          <w:rFonts w:cs="Times New Roman"/>
          <w:b/>
          <w:sz w:val="24"/>
          <w:szCs w:val="24"/>
        </w:rPr>
        <w:t>DORIVOR</w:t>
      </w:r>
      <w:r w:rsidRPr="00632F29">
        <w:rPr>
          <w:rFonts w:cs="Times New Roman"/>
          <w:b/>
          <w:sz w:val="24"/>
          <w:szCs w:val="24"/>
          <w:lang w:val="ru-RU"/>
        </w:rPr>
        <w:t xml:space="preserve"> </w:t>
      </w:r>
      <w:r w:rsidRPr="00632F29">
        <w:rPr>
          <w:rFonts w:cs="Times New Roman"/>
          <w:b/>
          <w:sz w:val="24"/>
          <w:szCs w:val="24"/>
        </w:rPr>
        <w:t>O</w:t>
      </w:r>
      <w:r w:rsidRPr="00632F29">
        <w:rPr>
          <w:rFonts w:cs="Times New Roman"/>
          <w:b/>
          <w:sz w:val="24"/>
          <w:szCs w:val="24"/>
          <w:lang w:val="ru-RU"/>
        </w:rPr>
        <w:t>‘</w:t>
      </w:r>
      <w:r w:rsidRPr="00632F29">
        <w:rPr>
          <w:rFonts w:cs="Times New Roman"/>
          <w:b/>
          <w:sz w:val="24"/>
          <w:szCs w:val="24"/>
        </w:rPr>
        <w:t>SIMLIKLAR</w:t>
      </w:r>
      <w:r w:rsidRPr="00632F29">
        <w:rPr>
          <w:rFonts w:cs="Times New Roman"/>
          <w:b/>
          <w:sz w:val="24"/>
          <w:szCs w:val="24"/>
          <w:lang w:val="ru-RU"/>
        </w:rPr>
        <w:t xml:space="preserve"> </w:t>
      </w:r>
      <w:r w:rsidRPr="00632F29">
        <w:rPr>
          <w:rFonts w:cs="Times New Roman"/>
          <w:b/>
          <w:sz w:val="24"/>
          <w:szCs w:val="24"/>
        </w:rPr>
        <w:t>EKSTRAKTLARINING</w:t>
      </w:r>
      <w:r w:rsidRPr="00632F29">
        <w:rPr>
          <w:rFonts w:cs="Times New Roman"/>
          <w:b/>
          <w:sz w:val="24"/>
          <w:szCs w:val="24"/>
          <w:lang w:val="ru-RU"/>
        </w:rPr>
        <w:t xml:space="preserve"> </w:t>
      </w:r>
      <w:r w:rsidRPr="00632F29">
        <w:rPr>
          <w:rFonts w:cs="Times New Roman"/>
          <w:b/>
          <w:sz w:val="24"/>
          <w:szCs w:val="24"/>
        </w:rPr>
        <w:t>QANDNI</w:t>
      </w:r>
      <w:r w:rsidRPr="00632F29">
        <w:rPr>
          <w:rFonts w:cs="Times New Roman"/>
          <w:b/>
          <w:sz w:val="24"/>
          <w:szCs w:val="24"/>
          <w:lang w:val="ru-RU"/>
        </w:rPr>
        <w:t xml:space="preserve"> </w:t>
      </w:r>
      <w:r w:rsidRPr="00632F29">
        <w:rPr>
          <w:rFonts w:cs="Times New Roman"/>
          <w:b/>
          <w:sz w:val="24"/>
          <w:szCs w:val="24"/>
        </w:rPr>
        <w:t>KAMAYTIRUVCHI</w:t>
      </w:r>
      <w:r w:rsidRPr="00632F29">
        <w:rPr>
          <w:rFonts w:cs="Times New Roman"/>
          <w:b/>
          <w:sz w:val="24"/>
          <w:szCs w:val="24"/>
          <w:lang w:val="ru-RU"/>
        </w:rPr>
        <w:t xml:space="preserve"> </w:t>
      </w:r>
      <w:r w:rsidRPr="00632F29">
        <w:rPr>
          <w:rFonts w:cs="Times New Roman"/>
          <w:b/>
          <w:sz w:val="24"/>
          <w:szCs w:val="24"/>
        </w:rPr>
        <w:t>XUSUSIYATLARINI</w:t>
      </w:r>
      <w:r w:rsidRPr="00632F29">
        <w:rPr>
          <w:rFonts w:cs="Times New Roman"/>
          <w:b/>
          <w:sz w:val="24"/>
          <w:szCs w:val="24"/>
          <w:lang w:val="ru-RU"/>
        </w:rPr>
        <w:t xml:space="preserve"> </w:t>
      </w:r>
      <w:r w:rsidRPr="00632F29">
        <w:rPr>
          <w:rFonts w:cs="Times New Roman"/>
          <w:b/>
          <w:sz w:val="24"/>
          <w:szCs w:val="24"/>
        </w:rPr>
        <w:t>EKSPERMENTAL</w:t>
      </w:r>
      <w:r w:rsidRPr="00632F29">
        <w:rPr>
          <w:rFonts w:cs="Times New Roman"/>
          <w:b/>
          <w:sz w:val="24"/>
          <w:szCs w:val="24"/>
          <w:lang w:val="ru-RU"/>
        </w:rPr>
        <w:t xml:space="preserve"> </w:t>
      </w:r>
      <w:r w:rsidRPr="00632F29">
        <w:rPr>
          <w:rFonts w:cs="Times New Roman"/>
          <w:b/>
          <w:sz w:val="24"/>
          <w:szCs w:val="24"/>
        </w:rPr>
        <w:t>QANDLI</w:t>
      </w:r>
      <w:r w:rsidRPr="00632F29">
        <w:rPr>
          <w:rFonts w:cs="Times New Roman"/>
          <w:b/>
          <w:sz w:val="24"/>
          <w:szCs w:val="24"/>
          <w:lang w:val="ru-RU"/>
        </w:rPr>
        <w:t xml:space="preserve"> </w:t>
      </w:r>
      <w:r w:rsidRPr="00632F29">
        <w:rPr>
          <w:rFonts w:cs="Times New Roman"/>
          <w:b/>
          <w:sz w:val="24"/>
          <w:szCs w:val="24"/>
        </w:rPr>
        <w:t>DIABET</w:t>
      </w:r>
      <w:r w:rsidRPr="00632F29">
        <w:rPr>
          <w:rFonts w:cs="Times New Roman"/>
          <w:b/>
          <w:sz w:val="24"/>
          <w:szCs w:val="24"/>
          <w:lang w:val="ru-RU"/>
        </w:rPr>
        <w:t xml:space="preserve"> </w:t>
      </w:r>
      <w:r w:rsidRPr="00632F29">
        <w:rPr>
          <w:rFonts w:cs="Times New Roman"/>
          <w:b/>
          <w:sz w:val="24"/>
          <w:szCs w:val="24"/>
        </w:rPr>
        <w:t>MODELIDA</w:t>
      </w:r>
      <w:r w:rsidRPr="00632F29">
        <w:rPr>
          <w:rFonts w:cs="Times New Roman"/>
          <w:b/>
          <w:sz w:val="24"/>
          <w:szCs w:val="24"/>
          <w:lang w:val="ru-RU"/>
        </w:rPr>
        <w:t xml:space="preserve"> </w:t>
      </w:r>
      <w:r w:rsidRPr="00632F29">
        <w:rPr>
          <w:rFonts w:cs="Times New Roman"/>
          <w:b/>
          <w:sz w:val="24"/>
          <w:szCs w:val="24"/>
        </w:rPr>
        <w:t>O</w:t>
      </w:r>
      <w:r w:rsidRPr="00632F29">
        <w:rPr>
          <w:rFonts w:cs="Times New Roman"/>
          <w:b/>
          <w:sz w:val="24"/>
          <w:szCs w:val="24"/>
          <w:lang w:val="ru-RU"/>
        </w:rPr>
        <w:t>‘</w:t>
      </w:r>
      <w:r w:rsidRPr="00632F29">
        <w:rPr>
          <w:rFonts w:cs="Times New Roman"/>
          <w:b/>
          <w:sz w:val="24"/>
          <w:szCs w:val="24"/>
        </w:rPr>
        <w:t>RGANISH</w:t>
      </w:r>
    </w:p>
    <w:p w14:paraId="51625988" w14:textId="77777777" w:rsidR="00632F29" w:rsidRPr="00632F29" w:rsidRDefault="00632F29" w:rsidP="00632F29">
      <w:pPr>
        <w:spacing w:line="276" w:lineRule="auto"/>
        <w:ind w:firstLine="567"/>
        <w:jc w:val="both"/>
        <w:rPr>
          <w:rFonts w:cs="Times New Roman"/>
          <w:b/>
          <w:sz w:val="24"/>
          <w:szCs w:val="24"/>
          <w:lang w:val="uz-Cyrl-UZ"/>
        </w:rPr>
      </w:pPr>
    </w:p>
    <w:p w14:paraId="45118575" w14:textId="77777777" w:rsidR="00632F29" w:rsidRPr="00632F29" w:rsidRDefault="00632F29" w:rsidP="00632F29">
      <w:pPr>
        <w:spacing w:line="276" w:lineRule="auto"/>
        <w:jc w:val="center"/>
        <w:rPr>
          <w:rFonts w:cs="Times New Roman"/>
          <w:b/>
          <w:iCs/>
          <w:sz w:val="24"/>
          <w:szCs w:val="24"/>
          <w:lang w:val="uz-Cyrl-UZ"/>
        </w:rPr>
      </w:pPr>
      <w:r w:rsidRPr="00632F29">
        <w:rPr>
          <w:rFonts w:cs="Times New Roman"/>
          <w:b/>
          <w:iCs/>
          <w:sz w:val="24"/>
          <w:szCs w:val="24"/>
          <w:lang w:val="uz-Cyrl-UZ"/>
        </w:rPr>
        <w:t>Irgasheva S.U., Ibragimova E.А., Alimuxamedova М.P.</w:t>
      </w:r>
    </w:p>
    <w:p w14:paraId="79F9A4F6" w14:textId="77777777" w:rsidR="00632F29" w:rsidRDefault="00632F29" w:rsidP="00632F29">
      <w:pPr>
        <w:spacing w:line="276" w:lineRule="auto"/>
        <w:jc w:val="center"/>
        <w:rPr>
          <w:rFonts w:cs="Times New Roman"/>
          <w:iCs/>
          <w:sz w:val="24"/>
          <w:szCs w:val="24"/>
          <w:lang w:val="uz-Cyrl-UZ"/>
        </w:rPr>
      </w:pPr>
      <w:r w:rsidRPr="00632F29">
        <w:rPr>
          <w:rFonts w:cs="Times New Roman"/>
          <w:iCs/>
          <w:sz w:val="24"/>
          <w:szCs w:val="24"/>
          <w:lang w:val="uz-Cyrl-UZ"/>
        </w:rPr>
        <w:t xml:space="preserve">Mirzo Ulug’bek nomidagi O’zbekiston Milliy universiteti huzuridagi Biofizika </w:t>
      </w:r>
    </w:p>
    <w:p w14:paraId="4C39A52E" w14:textId="6608C850" w:rsidR="00632F29" w:rsidRPr="00632F29" w:rsidRDefault="00632F29" w:rsidP="00632F29">
      <w:pPr>
        <w:spacing w:line="276" w:lineRule="auto"/>
        <w:jc w:val="center"/>
        <w:rPr>
          <w:rFonts w:cs="Times New Roman"/>
          <w:iCs/>
          <w:sz w:val="24"/>
          <w:szCs w:val="24"/>
          <w:lang w:val="uz-Cyrl-UZ"/>
        </w:rPr>
      </w:pPr>
      <w:r w:rsidRPr="00632F29">
        <w:rPr>
          <w:rFonts w:cs="Times New Roman"/>
          <w:iCs/>
          <w:sz w:val="24"/>
          <w:szCs w:val="24"/>
          <w:lang w:val="uz-Cyrl-UZ"/>
        </w:rPr>
        <w:t>va biokimyo instituti</w:t>
      </w:r>
    </w:p>
    <w:p w14:paraId="5A82C115" w14:textId="77777777" w:rsidR="00632F29" w:rsidRPr="00632F29" w:rsidRDefault="00632F29" w:rsidP="00632F29">
      <w:pPr>
        <w:spacing w:line="276" w:lineRule="auto"/>
        <w:jc w:val="center"/>
        <w:rPr>
          <w:rFonts w:cs="Times New Roman"/>
          <w:iCs/>
          <w:sz w:val="24"/>
          <w:szCs w:val="24"/>
          <w:lang w:val="uz-Cyrl-UZ"/>
        </w:rPr>
      </w:pPr>
      <w:r w:rsidRPr="00632F29">
        <w:rPr>
          <w:rFonts w:cs="Times New Roman"/>
          <w:iCs/>
          <w:sz w:val="24"/>
          <w:szCs w:val="24"/>
          <w:lang w:val="uz-Cyrl-UZ"/>
        </w:rPr>
        <w:t>Toshkent tibbiyot akademiyasi, Toshkent, O’zbekiston</w:t>
      </w:r>
    </w:p>
    <w:p w14:paraId="653627A1" w14:textId="77777777" w:rsidR="00632F29" w:rsidRPr="00632F29" w:rsidRDefault="00632F29" w:rsidP="00632F29">
      <w:pPr>
        <w:spacing w:line="276" w:lineRule="auto"/>
        <w:ind w:firstLine="567"/>
        <w:jc w:val="both"/>
        <w:rPr>
          <w:rFonts w:cs="Times New Roman"/>
          <w:sz w:val="24"/>
          <w:szCs w:val="24"/>
          <w:lang w:val="uz-Cyrl-UZ"/>
        </w:rPr>
      </w:pPr>
    </w:p>
    <w:p w14:paraId="699B45FE" w14:textId="77777777" w:rsidR="00632F29" w:rsidRPr="00632F29" w:rsidRDefault="00632F29" w:rsidP="00632F29">
      <w:pPr>
        <w:spacing w:line="276" w:lineRule="auto"/>
        <w:ind w:firstLine="567"/>
        <w:jc w:val="both"/>
        <w:rPr>
          <w:rFonts w:cs="Times New Roman"/>
          <w:i/>
          <w:sz w:val="24"/>
          <w:szCs w:val="24"/>
          <w:lang w:val="uz-Cyrl-UZ"/>
        </w:rPr>
      </w:pPr>
      <w:r w:rsidRPr="00632F29">
        <w:rPr>
          <w:rFonts w:cs="Times New Roman"/>
          <w:b/>
          <w:i/>
          <w:sz w:val="24"/>
          <w:szCs w:val="24"/>
          <w:lang w:val="uz-Cyrl-UZ"/>
        </w:rPr>
        <w:t>Xulosa.</w:t>
      </w:r>
      <w:r w:rsidRPr="00632F29">
        <w:rPr>
          <w:rFonts w:cs="Times New Roman"/>
          <w:i/>
          <w:sz w:val="24"/>
          <w:szCs w:val="24"/>
          <w:lang w:val="uz-Cyrl-UZ"/>
        </w:rPr>
        <w:t xml:space="preserve"> Dorivor o‘simliklarning gipoglikemik faolligi alloksan qandli diabet bilan kasallangan kalamushlarga saflora gullari va selderey barglarining gidroalkogolli ekstrakti va ularning ekstrakti </w:t>
      </w:r>
      <w:r w:rsidRPr="00632F29">
        <w:rPr>
          <w:rFonts w:cs="Times New Roman"/>
          <w:i/>
          <w:sz w:val="24"/>
          <w:szCs w:val="24"/>
          <w:lang w:val="uz-Cyrl-UZ"/>
        </w:rPr>
        <w:lastRenderedPageBreak/>
        <w:t>aralashmasini oshqozon ichiga yuborish orqali o‘rganildi. Natijada, ekstraktlar aralashmasini kurs qo'llash bilan hayvonlarning qondagi glyukoza darajasi pasayib, normal qiymatlarga yaqinlashdi.</w:t>
      </w:r>
    </w:p>
    <w:p w14:paraId="04D920CE" w14:textId="77777777" w:rsidR="00632F29" w:rsidRPr="00A83DAE" w:rsidRDefault="00632F29" w:rsidP="00632F29">
      <w:pPr>
        <w:spacing w:line="276" w:lineRule="auto"/>
        <w:ind w:firstLine="567"/>
        <w:jc w:val="both"/>
        <w:rPr>
          <w:rFonts w:cs="Times New Roman"/>
          <w:i/>
          <w:sz w:val="24"/>
          <w:szCs w:val="24"/>
          <w:lang w:val="uz-Cyrl-UZ"/>
        </w:rPr>
      </w:pPr>
      <w:r w:rsidRPr="00A83DAE">
        <w:rPr>
          <w:rFonts w:cs="Times New Roman"/>
          <w:b/>
          <w:i/>
          <w:sz w:val="24"/>
          <w:szCs w:val="24"/>
          <w:lang w:val="uz-Cyrl-UZ"/>
        </w:rPr>
        <w:t>Kalit so'zlar:</w:t>
      </w:r>
      <w:r w:rsidRPr="00A83DAE">
        <w:rPr>
          <w:rFonts w:cs="Times New Roman"/>
          <w:i/>
          <w:sz w:val="24"/>
          <w:szCs w:val="24"/>
          <w:lang w:val="uz-Cyrl-UZ"/>
        </w:rPr>
        <w:t xml:space="preserve"> gipoglikemik faollik, dorivor o'simliklarning ekstraktlari, alloksan diabet, qondagi glyukoza darajasi.</w:t>
      </w:r>
    </w:p>
    <w:p w14:paraId="18CC3829" w14:textId="77777777" w:rsidR="00632F29" w:rsidRPr="00A83DAE" w:rsidRDefault="00632F29" w:rsidP="00632F29">
      <w:pPr>
        <w:spacing w:line="276" w:lineRule="auto"/>
        <w:ind w:firstLine="567"/>
        <w:jc w:val="both"/>
        <w:rPr>
          <w:rFonts w:cs="Times New Roman"/>
          <w:b/>
          <w:sz w:val="24"/>
          <w:szCs w:val="24"/>
          <w:lang w:val="uz-Cyrl-UZ"/>
        </w:rPr>
      </w:pPr>
    </w:p>
    <w:p w14:paraId="527CDBDA" w14:textId="77777777" w:rsidR="00632F29" w:rsidRPr="00A83DAE" w:rsidRDefault="00632F29" w:rsidP="00632F29">
      <w:pPr>
        <w:spacing w:line="276" w:lineRule="auto"/>
        <w:ind w:firstLine="567"/>
        <w:jc w:val="both"/>
        <w:rPr>
          <w:rFonts w:cs="Times New Roman"/>
          <w:sz w:val="24"/>
          <w:szCs w:val="24"/>
          <w:lang w:val="uz-Cyrl-UZ"/>
        </w:rPr>
        <w:sectPr w:rsidR="00632F29" w:rsidRPr="00A83DAE" w:rsidSect="00995DC2">
          <w:type w:val="continuous"/>
          <w:pgSz w:w="11907" w:h="16840" w:code="9"/>
          <w:pgMar w:top="1418" w:right="1134" w:bottom="1134" w:left="1134" w:header="907" w:footer="794" w:gutter="0"/>
          <w:cols w:space="708"/>
          <w:docGrid w:linePitch="381"/>
        </w:sectPr>
      </w:pPr>
    </w:p>
    <w:p w14:paraId="6D932EA5" w14:textId="29D54EFB" w:rsidR="00632F29" w:rsidRPr="00632F29" w:rsidRDefault="00632F29" w:rsidP="00632F29">
      <w:pPr>
        <w:spacing w:line="276" w:lineRule="auto"/>
        <w:ind w:firstLine="567"/>
        <w:jc w:val="both"/>
        <w:rPr>
          <w:rFonts w:cs="Times New Roman"/>
          <w:sz w:val="24"/>
          <w:szCs w:val="24"/>
        </w:rPr>
      </w:pPr>
      <w:r w:rsidRPr="00632F29">
        <w:rPr>
          <w:rFonts w:cs="Times New Roman"/>
          <w:sz w:val="24"/>
          <w:szCs w:val="24"/>
        </w:rPr>
        <w:t>Phytotherapy is an integral part of the complex treatment of diabetes mellitus. A large number of plants with hypoglycemic ac</w:t>
      </w:r>
      <w:r>
        <w:rPr>
          <w:rFonts w:cs="Times New Roman"/>
          <w:sz w:val="24"/>
          <w:szCs w:val="24"/>
        </w:rPr>
        <w:softHyphen/>
      </w:r>
      <w:r w:rsidRPr="00632F29">
        <w:rPr>
          <w:rFonts w:cs="Times New Roman"/>
          <w:sz w:val="24"/>
          <w:szCs w:val="24"/>
        </w:rPr>
        <w:t>tivity are described in the literature, but only a small part of them are used. The hypoglycemic effect of medicinal plants is due to the presence in their composition of a wide range of com</w:t>
      </w:r>
      <w:r>
        <w:rPr>
          <w:rFonts w:cs="Times New Roman"/>
          <w:sz w:val="24"/>
          <w:szCs w:val="24"/>
        </w:rPr>
        <w:softHyphen/>
      </w:r>
      <w:r w:rsidRPr="00632F29">
        <w:rPr>
          <w:rFonts w:cs="Times New Roman"/>
          <w:sz w:val="24"/>
          <w:szCs w:val="24"/>
        </w:rPr>
        <w:t xml:space="preserve">pounds with biological activity. Safflower flowers (Carthamus tinctorius) and celery leaves (Apium graveolens) have a number of therapeutic effects. </w:t>
      </w:r>
    </w:p>
    <w:p w14:paraId="42716129" w14:textId="471F639F" w:rsidR="00632F29" w:rsidRPr="00632F29" w:rsidRDefault="00632F29" w:rsidP="00632F29">
      <w:pPr>
        <w:spacing w:line="276" w:lineRule="auto"/>
        <w:ind w:firstLine="567"/>
        <w:jc w:val="both"/>
        <w:rPr>
          <w:rFonts w:cs="Times New Roman"/>
          <w:sz w:val="24"/>
          <w:szCs w:val="24"/>
        </w:rPr>
      </w:pPr>
      <w:r w:rsidRPr="00632F29">
        <w:rPr>
          <w:rFonts w:cs="Times New Roman"/>
          <w:sz w:val="24"/>
          <w:szCs w:val="24"/>
        </w:rPr>
        <w:t>It is known that biologically active sub</w:t>
      </w:r>
      <w:r>
        <w:rPr>
          <w:rFonts w:cs="Times New Roman"/>
          <w:sz w:val="24"/>
          <w:szCs w:val="24"/>
        </w:rPr>
        <w:softHyphen/>
      </w:r>
      <w:r w:rsidRPr="00632F29">
        <w:rPr>
          <w:rFonts w:cs="Times New Roman"/>
          <w:sz w:val="24"/>
          <w:szCs w:val="24"/>
        </w:rPr>
        <w:t>stances, when used together, can enhance the effect of each other. In this regard, we studied the hypoglycemic activity of aqueous-alco</w:t>
      </w:r>
      <w:r>
        <w:rPr>
          <w:rFonts w:cs="Times New Roman"/>
          <w:sz w:val="24"/>
          <w:szCs w:val="24"/>
        </w:rPr>
        <w:softHyphen/>
      </w:r>
      <w:r w:rsidRPr="00632F29">
        <w:rPr>
          <w:rFonts w:cs="Times New Roman"/>
          <w:sz w:val="24"/>
          <w:szCs w:val="24"/>
        </w:rPr>
        <w:t>holic extracts of safflower flowers and celery leaves and a mixture of their extracts in rats with alloxan diabetes.</w:t>
      </w:r>
    </w:p>
    <w:p w14:paraId="12A9270E" w14:textId="5DFB658B" w:rsidR="00632F29" w:rsidRPr="00632F29" w:rsidRDefault="00632F29" w:rsidP="00632F29">
      <w:pPr>
        <w:spacing w:line="276" w:lineRule="auto"/>
        <w:ind w:firstLine="567"/>
        <w:jc w:val="both"/>
        <w:rPr>
          <w:rFonts w:cs="Times New Roman"/>
          <w:sz w:val="24"/>
          <w:szCs w:val="24"/>
        </w:rPr>
      </w:pPr>
      <w:r w:rsidRPr="00632F29">
        <w:rPr>
          <w:rFonts w:cs="Times New Roman"/>
          <w:b/>
          <w:sz w:val="24"/>
          <w:szCs w:val="24"/>
        </w:rPr>
        <w:t>Material and methods</w:t>
      </w:r>
      <w:r w:rsidRPr="00632F29">
        <w:rPr>
          <w:rFonts w:cs="Times New Roman"/>
          <w:sz w:val="24"/>
          <w:szCs w:val="24"/>
        </w:rPr>
        <w:t>. The studied ex</w:t>
      </w:r>
      <w:r>
        <w:rPr>
          <w:rFonts w:cs="Times New Roman"/>
          <w:sz w:val="24"/>
          <w:szCs w:val="24"/>
        </w:rPr>
        <w:softHyphen/>
      </w:r>
      <w:r w:rsidRPr="00632F29">
        <w:rPr>
          <w:rFonts w:cs="Times New Roman"/>
          <w:sz w:val="24"/>
          <w:szCs w:val="24"/>
        </w:rPr>
        <w:t>tracts were administered intragastrically for 2 weeks. Experimental animals were divided into 5 groups. group 1 - intact animals; group 2 - animals with alloxan diabetes (alloxan con</w:t>
      </w:r>
      <w:r>
        <w:rPr>
          <w:rFonts w:cs="Times New Roman"/>
          <w:sz w:val="24"/>
          <w:szCs w:val="24"/>
        </w:rPr>
        <w:softHyphen/>
      </w:r>
      <w:r w:rsidRPr="00632F29">
        <w:rPr>
          <w:rFonts w:cs="Times New Roman"/>
          <w:sz w:val="24"/>
          <w:szCs w:val="24"/>
        </w:rPr>
        <w:t xml:space="preserve">trol); group 3 - animals with alloxan diabetes </w:t>
      </w:r>
      <w:r w:rsidRPr="00632F29">
        <w:rPr>
          <w:rFonts w:cs="Times New Roman"/>
          <w:sz w:val="24"/>
          <w:szCs w:val="24"/>
        </w:rPr>
        <w:t>treated with safflower flower extract; group 4 - animals with alloxan diabetes treated with cel</w:t>
      </w:r>
      <w:r>
        <w:rPr>
          <w:rFonts w:cs="Times New Roman"/>
          <w:sz w:val="24"/>
          <w:szCs w:val="24"/>
        </w:rPr>
        <w:softHyphen/>
      </w:r>
      <w:r w:rsidRPr="00632F29">
        <w:rPr>
          <w:rFonts w:cs="Times New Roman"/>
          <w:sz w:val="24"/>
          <w:szCs w:val="24"/>
        </w:rPr>
        <w:t>ery leaf extract; group 5 - animals with alloxan diabetes treated with a mixture of extracts of safflower flowers and celery leaves (1: 1).</w:t>
      </w:r>
    </w:p>
    <w:p w14:paraId="7E4C10A9" w14:textId="76A5D4A8" w:rsidR="00632F29" w:rsidRPr="00632F29" w:rsidRDefault="00632F29" w:rsidP="00632F29">
      <w:pPr>
        <w:spacing w:line="276" w:lineRule="auto"/>
        <w:ind w:firstLine="567"/>
        <w:jc w:val="both"/>
        <w:rPr>
          <w:rFonts w:cs="Times New Roman"/>
          <w:sz w:val="24"/>
          <w:szCs w:val="24"/>
        </w:rPr>
      </w:pPr>
      <w:r w:rsidRPr="00632F29">
        <w:rPr>
          <w:rFonts w:cs="Times New Roman"/>
          <w:b/>
          <w:sz w:val="24"/>
          <w:szCs w:val="24"/>
        </w:rPr>
        <w:t>Research results.</w:t>
      </w:r>
      <w:r w:rsidRPr="00632F29">
        <w:rPr>
          <w:rFonts w:cs="Times New Roman"/>
          <w:sz w:val="24"/>
          <w:szCs w:val="24"/>
        </w:rPr>
        <w:t xml:space="preserve"> The results of the studies showed that the blood glucose level in animals with experimental diabetes after a course of extracts decreased compared with alloxan control in all groups studied. Thus, the blood glucose level in rats with alloxan diabe</w:t>
      </w:r>
      <w:r>
        <w:rPr>
          <w:rFonts w:cs="Times New Roman"/>
          <w:sz w:val="24"/>
          <w:szCs w:val="24"/>
        </w:rPr>
        <w:softHyphen/>
      </w:r>
      <w:r w:rsidRPr="00632F29">
        <w:rPr>
          <w:rFonts w:cs="Times New Roman"/>
          <w:sz w:val="24"/>
          <w:szCs w:val="24"/>
        </w:rPr>
        <w:t>tes treated for two weeks with a mixture of ex</w:t>
      </w:r>
      <w:r>
        <w:rPr>
          <w:rFonts w:cs="Times New Roman"/>
          <w:sz w:val="24"/>
          <w:szCs w:val="24"/>
        </w:rPr>
        <w:softHyphen/>
      </w:r>
      <w:r w:rsidRPr="00632F29">
        <w:rPr>
          <w:rFonts w:cs="Times New Roman"/>
          <w:sz w:val="24"/>
          <w:szCs w:val="24"/>
        </w:rPr>
        <w:t>tracts of safflower flowers and celery leaves decreased from 18.4 mmol/l to 5.7 mmol/l and 8.5 mmol/l, respectively, while in rats with alloxan diabetes, it decreased due to spontane</w:t>
      </w:r>
      <w:r>
        <w:rPr>
          <w:rFonts w:cs="Times New Roman"/>
          <w:sz w:val="24"/>
          <w:szCs w:val="24"/>
        </w:rPr>
        <w:softHyphen/>
      </w:r>
      <w:r w:rsidRPr="00632F29">
        <w:rPr>
          <w:rFonts w:cs="Times New Roman"/>
          <w:sz w:val="24"/>
          <w:szCs w:val="24"/>
        </w:rPr>
        <w:t xml:space="preserve">ous regeneration of </w:t>
      </w:r>
      <w:r w:rsidRPr="00632F29">
        <w:rPr>
          <w:rFonts w:cs="Times New Roman"/>
          <w:sz w:val="24"/>
          <w:szCs w:val="24"/>
          <w:lang w:val="ru-RU"/>
        </w:rPr>
        <w:t>β</w:t>
      </w:r>
      <w:r w:rsidRPr="00632F29">
        <w:rPr>
          <w:rFonts w:cs="Times New Roman"/>
          <w:sz w:val="24"/>
          <w:szCs w:val="24"/>
        </w:rPr>
        <w:t xml:space="preserve">-cells to 13.5 mmol/l. </w:t>
      </w:r>
    </w:p>
    <w:p w14:paraId="1B0B14F0" w14:textId="73F5DA53" w:rsidR="00632F29" w:rsidRDefault="00632F29" w:rsidP="00632F29">
      <w:pPr>
        <w:spacing w:line="276" w:lineRule="auto"/>
        <w:ind w:firstLine="567"/>
        <w:jc w:val="both"/>
        <w:rPr>
          <w:rFonts w:cs="Times New Roman"/>
          <w:sz w:val="24"/>
          <w:szCs w:val="24"/>
        </w:rPr>
        <w:sectPr w:rsidR="00632F29" w:rsidSect="00632F29">
          <w:type w:val="continuous"/>
          <w:pgSz w:w="11907" w:h="16840" w:code="9"/>
          <w:pgMar w:top="1418" w:right="1134" w:bottom="1134" w:left="1134" w:header="907" w:footer="794" w:gutter="0"/>
          <w:cols w:num="2" w:space="708"/>
          <w:docGrid w:linePitch="381"/>
        </w:sectPr>
      </w:pPr>
      <w:r w:rsidRPr="00632F29">
        <w:rPr>
          <w:rFonts w:cs="Times New Roman"/>
          <w:b/>
          <w:sz w:val="24"/>
          <w:szCs w:val="24"/>
        </w:rPr>
        <w:t xml:space="preserve">Conclusion. </w:t>
      </w:r>
      <w:r w:rsidRPr="00632F29">
        <w:rPr>
          <w:rFonts w:cs="Times New Roman"/>
          <w:sz w:val="24"/>
          <w:szCs w:val="24"/>
        </w:rPr>
        <w:t>With the course application of a mixture of extracts, the blood glucose level of animals also decreased and approached nor</w:t>
      </w:r>
      <w:r>
        <w:rPr>
          <w:rFonts w:cs="Times New Roman"/>
          <w:sz w:val="24"/>
          <w:szCs w:val="24"/>
        </w:rPr>
        <w:softHyphen/>
      </w:r>
      <w:r w:rsidRPr="00632F29">
        <w:rPr>
          <w:rFonts w:cs="Times New Roman"/>
          <w:sz w:val="24"/>
          <w:szCs w:val="24"/>
        </w:rPr>
        <w:t>mal values. The hypoglycemic effect of the studied extracts increased in the following or</w:t>
      </w:r>
      <w:r>
        <w:rPr>
          <w:rFonts w:cs="Times New Roman"/>
          <w:sz w:val="24"/>
          <w:szCs w:val="24"/>
        </w:rPr>
        <w:softHyphen/>
      </w:r>
      <w:r w:rsidRPr="00632F29">
        <w:rPr>
          <w:rFonts w:cs="Times New Roman"/>
          <w:sz w:val="24"/>
          <w:szCs w:val="24"/>
        </w:rPr>
        <w:t>der: celery extract, mixture of safflower-celery extracts, safflower extract.</w:t>
      </w:r>
    </w:p>
    <w:p w14:paraId="0C20417A" w14:textId="472815A9" w:rsidR="00632F29" w:rsidRPr="00632F29" w:rsidRDefault="00632F29" w:rsidP="00632F29">
      <w:pPr>
        <w:spacing w:line="276" w:lineRule="auto"/>
        <w:ind w:firstLine="567"/>
        <w:jc w:val="both"/>
        <w:rPr>
          <w:rFonts w:cs="Times New Roman"/>
          <w:sz w:val="24"/>
          <w:szCs w:val="24"/>
          <w:lang w:val="uz-Latn-UZ"/>
        </w:rPr>
      </w:pPr>
    </w:p>
    <w:p w14:paraId="625AC327" w14:textId="4EFD8D47" w:rsidR="00632F29" w:rsidRPr="00632F29" w:rsidRDefault="00632F29" w:rsidP="00632F29">
      <w:pPr>
        <w:spacing w:line="276" w:lineRule="auto"/>
        <w:ind w:firstLine="567"/>
        <w:jc w:val="both"/>
        <w:rPr>
          <w:rFonts w:cs="Times New Roman"/>
          <w:sz w:val="24"/>
          <w:szCs w:val="24"/>
          <w:lang w:val="uz-Latn-UZ"/>
        </w:rPr>
      </w:pPr>
    </w:p>
    <w:p w14:paraId="7021BC06" w14:textId="59372D36" w:rsidR="00632F29" w:rsidRPr="00632F29" w:rsidRDefault="00632F29" w:rsidP="00632F29">
      <w:pPr>
        <w:spacing w:line="276" w:lineRule="auto"/>
        <w:ind w:firstLine="567"/>
        <w:jc w:val="both"/>
        <w:rPr>
          <w:rFonts w:cs="Times New Roman"/>
          <w:szCs w:val="28"/>
          <w:lang w:val="uz-Latn-UZ"/>
        </w:rPr>
      </w:pPr>
    </w:p>
    <w:p w14:paraId="34CE5459" w14:textId="6A86AB1A" w:rsidR="00632F29" w:rsidRPr="00632F29" w:rsidRDefault="00632F29" w:rsidP="00632F29">
      <w:pPr>
        <w:spacing w:line="276" w:lineRule="auto"/>
        <w:ind w:firstLine="567"/>
        <w:jc w:val="both"/>
        <w:rPr>
          <w:rFonts w:cs="Times New Roman"/>
          <w:szCs w:val="28"/>
          <w:lang w:val="uz-Latn-UZ"/>
        </w:rPr>
      </w:pPr>
    </w:p>
    <w:p w14:paraId="4B5EFD4E" w14:textId="162872A7" w:rsidR="00632F29" w:rsidRPr="00632F29" w:rsidRDefault="00632F29" w:rsidP="00632F29">
      <w:pPr>
        <w:spacing w:line="276" w:lineRule="auto"/>
        <w:ind w:firstLine="567"/>
        <w:jc w:val="both"/>
        <w:rPr>
          <w:rFonts w:cs="Times New Roman"/>
          <w:szCs w:val="28"/>
          <w:lang w:val="uz-Latn-UZ"/>
        </w:rPr>
      </w:pPr>
    </w:p>
    <w:p w14:paraId="28C337ED" w14:textId="64454EF8" w:rsidR="00632F29" w:rsidRPr="00632F29" w:rsidRDefault="00632F29" w:rsidP="00632F29">
      <w:pPr>
        <w:spacing w:line="276" w:lineRule="auto"/>
        <w:ind w:firstLine="567"/>
        <w:jc w:val="both"/>
        <w:rPr>
          <w:rFonts w:cs="Times New Roman"/>
          <w:szCs w:val="28"/>
          <w:lang w:val="uz-Latn-UZ"/>
        </w:rPr>
      </w:pPr>
    </w:p>
    <w:p w14:paraId="51F3720F" w14:textId="036B8DDB" w:rsidR="00632F29" w:rsidRPr="00632F29" w:rsidRDefault="00632F29" w:rsidP="00C51D8C">
      <w:pPr>
        <w:ind w:firstLine="567"/>
        <w:jc w:val="both"/>
        <w:rPr>
          <w:rFonts w:cs="Times New Roman"/>
          <w:szCs w:val="28"/>
          <w:lang w:val="uz-Latn-UZ"/>
        </w:rPr>
      </w:pPr>
    </w:p>
    <w:p w14:paraId="502DCD52" w14:textId="082A9690" w:rsidR="00632F29" w:rsidRPr="00632F29" w:rsidRDefault="00632F29" w:rsidP="00C51D8C">
      <w:pPr>
        <w:ind w:firstLine="567"/>
        <w:jc w:val="both"/>
        <w:rPr>
          <w:rFonts w:cs="Times New Roman"/>
          <w:szCs w:val="28"/>
          <w:lang w:val="uz-Latn-UZ"/>
        </w:rPr>
      </w:pPr>
    </w:p>
    <w:p w14:paraId="64DEC8A2" w14:textId="51C3E324" w:rsidR="00632F29" w:rsidRPr="00632F29" w:rsidRDefault="00632F29" w:rsidP="00C51D8C">
      <w:pPr>
        <w:ind w:firstLine="567"/>
        <w:jc w:val="both"/>
        <w:rPr>
          <w:rFonts w:cs="Times New Roman"/>
          <w:szCs w:val="28"/>
          <w:lang w:val="uz-Latn-UZ"/>
        </w:rPr>
      </w:pPr>
    </w:p>
    <w:p w14:paraId="62EDB252" w14:textId="53DED040" w:rsidR="00632F29" w:rsidRPr="00632F29" w:rsidRDefault="00632F29" w:rsidP="00C51D8C">
      <w:pPr>
        <w:ind w:firstLine="567"/>
        <w:jc w:val="both"/>
        <w:rPr>
          <w:rFonts w:cs="Times New Roman"/>
          <w:szCs w:val="28"/>
          <w:lang w:val="uz-Latn-UZ"/>
        </w:rPr>
      </w:pPr>
    </w:p>
    <w:p w14:paraId="25E806A3" w14:textId="51535775" w:rsidR="00632F29" w:rsidRPr="00632F29" w:rsidRDefault="00632F29" w:rsidP="00C51D8C">
      <w:pPr>
        <w:ind w:firstLine="567"/>
        <w:jc w:val="both"/>
        <w:rPr>
          <w:rFonts w:cs="Times New Roman"/>
          <w:szCs w:val="28"/>
          <w:lang w:val="uz-Latn-UZ"/>
        </w:rPr>
      </w:pPr>
    </w:p>
    <w:p w14:paraId="054EFED8" w14:textId="4293680E" w:rsidR="00632F29" w:rsidRPr="00632F29" w:rsidRDefault="00632F29" w:rsidP="00C51D8C">
      <w:pPr>
        <w:ind w:firstLine="567"/>
        <w:jc w:val="both"/>
        <w:rPr>
          <w:rFonts w:cs="Times New Roman"/>
          <w:szCs w:val="28"/>
          <w:lang w:val="uz-Latn-UZ"/>
        </w:rPr>
      </w:pPr>
    </w:p>
    <w:p w14:paraId="2C0BB4C8" w14:textId="58233260" w:rsidR="00632F29" w:rsidRPr="00632F29" w:rsidRDefault="00632F29" w:rsidP="00C51D8C">
      <w:pPr>
        <w:ind w:firstLine="567"/>
        <w:jc w:val="both"/>
        <w:rPr>
          <w:rFonts w:cs="Times New Roman"/>
          <w:szCs w:val="28"/>
          <w:lang w:val="uz-Latn-UZ"/>
        </w:rPr>
      </w:pPr>
    </w:p>
    <w:p w14:paraId="59505EEC" w14:textId="7B565999" w:rsidR="00632F29" w:rsidRPr="00632F29" w:rsidRDefault="00632F29" w:rsidP="00C51D8C">
      <w:pPr>
        <w:ind w:firstLine="567"/>
        <w:jc w:val="both"/>
        <w:rPr>
          <w:rFonts w:cs="Times New Roman"/>
          <w:szCs w:val="28"/>
          <w:lang w:val="uz-Latn-UZ"/>
        </w:rPr>
      </w:pPr>
    </w:p>
    <w:p w14:paraId="3AB848EE" w14:textId="4AD2A029" w:rsidR="00632F29" w:rsidRPr="00632F29" w:rsidRDefault="00632F29" w:rsidP="00C51D8C">
      <w:pPr>
        <w:ind w:firstLine="567"/>
        <w:jc w:val="both"/>
        <w:rPr>
          <w:rFonts w:cs="Times New Roman"/>
          <w:szCs w:val="28"/>
          <w:lang w:val="uz-Latn-UZ"/>
        </w:rPr>
      </w:pPr>
    </w:p>
    <w:p w14:paraId="7A803E7A" w14:textId="276D4380" w:rsidR="00AA571D" w:rsidRPr="000E51E4" w:rsidRDefault="000A294C" w:rsidP="00AA571D">
      <w:pPr>
        <w:jc w:val="center"/>
        <w:rPr>
          <w:rFonts w:ascii="Cambria" w:hAnsi="Cambria"/>
          <w:b/>
          <w:bCs/>
          <w:sz w:val="48"/>
          <w:szCs w:val="40"/>
          <w:lang w:val="ru-RU"/>
        </w:rPr>
      </w:pPr>
      <w:bookmarkStart w:id="37" w:name="_Hlk104748015"/>
      <w:r w:rsidRPr="000A294C">
        <w:rPr>
          <w:rFonts w:ascii="Cambria" w:hAnsi="Cambria"/>
          <w:b/>
          <w:bCs/>
          <w:sz w:val="48"/>
          <w:szCs w:val="40"/>
          <w:lang w:val="ru-RU"/>
        </w:rPr>
        <w:lastRenderedPageBreak/>
        <w:t>EVIDENCE-BASED MEDICINE</w:t>
      </w:r>
    </w:p>
    <w:bookmarkEnd w:id="37"/>
    <w:tbl>
      <w:tblPr>
        <w:tblW w:w="0" w:type="auto"/>
        <w:tblLook w:val="04A0" w:firstRow="1" w:lastRow="0" w:firstColumn="1" w:lastColumn="0" w:noHBand="0" w:noVBand="1"/>
      </w:tblPr>
      <w:tblGrid>
        <w:gridCol w:w="9629"/>
      </w:tblGrid>
      <w:tr w:rsidR="00AA571D" w14:paraId="36B652AC" w14:textId="77777777" w:rsidTr="009823A8">
        <w:tc>
          <w:tcPr>
            <w:tcW w:w="9629" w:type="dxa"/>
            <w:tcBorders>
              <w:top w:val="nil"/>
              <w:left w:val="nil"/>
              <w:bottom w:val="thinThickSmallGap" w:sz="12" w:space="0" w:color="2E74B5" w:themeColor="accent5" w:themeShade="BF"/>
              <w:right w:val="nil"/>
            </w:tcBorders>
          </w:tcPr>
          <w:p w14:paraId="24E9C1A3" w14:textId="77777777" w:rsidR="00AA571D" w:rsidRPr="00D4390E" w:rsidRDefault="00AA571D" w:rsidP="009823A8">
            <w:pPr>
              <w:rPr>
                <w:rFonts w:ascii="Cambria" w:hAnsi="Cambria"/>
                <w:sz w:val="20"/>
                <w:szCs w:val="16"/>
                <w:lang w:val="ru-RU"/>
              </w:rPr>
            </w:pPr>
          </w:p>
        </w:tc>
      </w:tr>
    </w:tbl>
    <w:p w14:paraId="0B8E5CC4" w14:textId="77777777" w:rsidR="00AA571D" w:rsidRPr="00C51D8C" w:rsidRDefault="00AA571D" w:rsidP="00AA571D">
      <w:pPr>
        <w:ind w:firstLine="567"/>
        <w:jc w:val="both"/>
        <w:rPr>
          <w:sz w:val="24"/>
          <w:szCs w:val="20"/>
          <w:lang w:val="ru-RU"/>
        </w:rPr>
      </w:pPr>
    </w:p>
    <w:p w14:paraId="6F897B3B" w14:textId="12209F87" w:rsidR="00AA571D" w:rsidRPr="003A71E9" w:rsidRDefault="00AA571D" w:rsidP="0068419D">
      <w:pPr>
        <w:spacing w:line="276" w:lineRule="auto"/>
        <w:jc w:val="both"/>
        <w:rPr>
          <w:rFonts w:eastAsia="Calibri" w:cs="Times New Roman"/>
          <w:bCs/>
          <w:sz w:val="24"/>
          <w:szCs w:val="28"/>
          <w:lang w:val="ru-RU"/>
        </w:rPr>
      </w:pPr>
      <w:r>
        <w:rPr>
          <w:rFonts w:eastAsia="Calibri" w:cs="Times New Roman"/>
          <w:bCs/>
          <w:sz w:val="24"/>
          <w:szCs w:val="28"/>
        </w:rPr>
        <w:t>UDC</w:t>
      </w:r>
      <w:r w:rsidRPr="00A35AD6">
        <w:rPr>
          <w:rFonts w:eastAsia="Calibri" w:cs="Times New Roman"/>
          <w:bCs/>
          <w:sz w:val="24"/>
          <w:szCs w:val="28"/>
          <w:lang w:val="ru-RU"/>
        </w:rPr>
        <w:t>: 614.2. 613.96/378.172</w:t>
      </w:r>
    </w:p>
    <w:p w14:paraId="084970D6" w14:textId="77777777" w:rsidR="00AA571D" w:rsidRPr="00A35AD6" w:rsidRDefault="00AA571D" w:rsidP="0068419D">
      <w:pPr>
        <w:spacing w:line="276" w:lineRule="auto"/>
        <w:jc w:val="both"/>
        <w:rPr>
          <w:rFonts w:eastAsia="Calibri" w:cs="Times New Roman"/>
          <w:sz w:val="24"/>
          <w:szCs w:val="28"/>
          <w:lang w:val="ru-RU"/>
        </w:rPr>
      </w:pPr>
    </w:p>
    <w:p w14:paraId="047A7286" w14:textId="77777777" w:rsidR="00AA571D" w:rsidRPr="000C14D9" w:rsidRDefault="00AA571D" w:rsidP="0068419D">
      <w:pPr>
        <w:pStyle w:val="1"/>
      </w:pPr>
      <w:bookmarkStart w:id="38" w:name="_Toc101545856"/>
      <w:bookmarkStart w:id="39" w:name="_Toc101545906"/>
      <w:bookmarkStart w:id="40" w:name="_Toc104745761"/>
      <w:r w:rsidRPr="00A35AD6">
        <w:t>VALEOLOGICAL CULTURE AS A COMPONENT OF THE EDUCATIONAL PROCESS IN THE FORMATION OF A HEALTHY LIFESTYLE</w:t>
      </w:r>
      <w:bookmarkEnd w:id="38"/>
      <w:bookmarkEnd w:id="39"/>
      <w:bookmarkEnd w:id="40"/>
    </w:p>
    <w:p w14:paraId="68883BAB" w14:textId="77777777" w:rsidR="00AA571D" w:rsidRPr="00A35AD6" w:rsidRDefault="00AA571D" w:rsidP="0068419D">
      <w:pPr>
        <w:spacing w:line="276" w:lineRule="auto"/>
        <w:jc w:val="both"/>
        <w:rPr>
          <w:rFonts w:eastAsia="Calibri" w:cs="Times New Roman"/>
          <w:b/>
          <w:color w:val="000000"/>
          <w:sz w:val="24"/>
          <w:szCs w:val="28"/>
        </w:rPr>
      </w:pPr>
    </w:p>
    <w:p w14:paraId="4D6609C7" w14:textId="77777777" w:rsidR="00AA571D" w:rsidRPr="00790E81" w:rsidRDefault="00AA571D" w:rsidP="0068419D">
      <w:pPr>
        <w:spacing w:line="276" w:lineRule="auto"/>
        <w:jc w:val="center"/>
        <w:rPr>
          <w:rFonts w:eastAsia="Calibri" w:cs="Times New Roman"/>
          <w:b/>
          <w:iCs/>
          <w:color w:val="000000"/>
          <w:sz w:val="24"/>
          <w:szCs w:val="28"/>
        </w:rPr>
      </w:pPr>
      <w:r w:rsidRPr="00790E81">
        <w:rPr>
          <w:rFonts w:eastAsia="Calibri" w:cs="Times New Roman"/>
          <w:b/>
          <w:iCs/>
          <w:color w:val="000000"/>
          <w:sz w:val="24"/>
          <w:szCs w:val="28"/>
        </w:rPr>
        <w:t>Azizova Feruza Lutpillaevna</w:t>
      </w:r>
    </w:p>
    <w:p w14:paraId="5E91FE65" w14:textId="77777777" w:rsidR="00AA571D" w:rsidRPr="00790E81" w:rsidRDefault="00AA571D" w:rsidP="0068419D">
      <w:pPr>
        <w:spacing w:line="276" w:lineRule="auto"/>
        <w:jc w:val="center"/>
        <w:rPr>
          <w:rFonts w:eastAsia="Calibri" w:cs="Times New Roman"/>
          <w:iCs/>
          <w:color w:val="000000"/>
          <w:sz w:val="24"/>
          <w:szCs w:val="28"/>
        </w:rPr>
      </w:pPr>
      <w:r w:rsidRPr="00790E81">
        <w:rPr>
          <w:rFonts w:eastAsia="Calibri" w:cs="Times New Roman"/>
          <w:iCs/>
          <w:color w:val="222222"/>
          <w:sz w:val="24"/>
          <w:szCs w:val="27"/>
        </w:rPr>
        <w:t xml:space="preserve">Vice-rector for research and innovation of the </w:t>
      </w:r>
      <w:r w:rsidRPr="00790E81">
        <w:rPr>
          <w:rFonts w:eastAsia="Calibri" w:cs="Times New Roman"/>
          <w:iCs/>
          <w:color w:val="000000"/>
          <w:sz w:val="24"/>
          <w:szCs w:val="28"/>
        </w:rPr>
        <w:t>Tashkent Medical Academy;</w:t>
      </w:r>
    </w:p>
    <w:p w14:paraId="0853C960" w14:textId="77777777" w:rsidR="0068419D" w:rsidRPr="00790E81" w:rsidRDefault="00AA571D" w:rsidP="0068419D">
      <w:pPr>
        <w:spacing w:line="276" w:lineRule="auto"/>
        <w:jc w:val="center"/>
        <w:rPr>
          <w:rFonts w:eastAsia="Calibri" w:cs="Times New Roman"/>
          <w:iCs/>
          <w:color w:val="000000"/>
          <w:sz w:val="24"/>
          <w:szCs w:val="28"/>
        </w:rPr>
      </w:pPr>
      <w:r w:rsidRPr="00790E81">
        <w:rPr>
          <w:rFonts w:eastAsia="Calibri" w:cs="Times New Roman"/>
          <w:iCs/>
          <w:color w:val="000000"/>
          <w:sz w:val="24"/>
          <w:szCs w:val="28"/>
        </w:rPr>
        <w:t xml:space="preserve">Doctor of Medical Sciences, Associate Professor of the Department of Hygiene of Adolescent Children and Food Hygiene </w:t>
      </w:r>
    </w:p>
    <w:p w14:paraId="267E3138" w14:textId="2A92302F" w:rsidR="00AA571D" w:rsidRPr="00790E81" w:rsidRDefault="0068419D" w:rsidP="0068419D">
      <w:pPr>
        <w:spacing w:line="276" w:lineRule="auto"/>
        <w:jc w:val="center"/>
        <w:rPr>
          <w:rFonts w:eastAsia="Calibri" w:cs="Times New Roman"/>
          <w:iCs/>
          <w:color w:val="000000"/>
          <w:sz w:val="24"/>
          <w:szCs w:val="28"/>
        </w:rPr>
      </w:pPr>
      <w:r w:rsidRPr="00790E81">
        <w:rPr>
          <w:rFonts w:eastAsia="Calibri" w:cs="Times New Roman"/>
          <w:iCs/>
          <w:color w:val="000000"/>
          <w:sz w:val="24"/>
          <w:szCs w:val="28"/>
        </w:rPr>
        <w:t>Tashkent Medical Academy, Tashkent, Uzbekistan</w:t>
      </w:r>
    </w:p>
    <w:p w14:paraId="0D09A2BF" w14:textId="77777777" w:rsidR="0068419D" w:rsidRPr="00790E81" w:rsidRDefault="0068419D" w:rsidP="0068419D">
      <w:pPr>
        <w:spacing w:line="276" w:lineRule="auto"/>
        <w:jc w:val="center"/>
        <w:rPr>
          <w:rFonts w:eastAsia="Calibri" w:cs="Times New Roman"/>
          <w:b/>
          <w:iCs/>
          <w:color w:val="000000"/>
          <w:sz w:val="24"/>
          <w:szCs w:val="28"/>
        </w:rPr>
      </w:pPr>
    </w:p>
    <w:p w14:paraId="5232F527" w14:textId="454F44A7" w:rsidR="00AA571D" w:rsidRPr="00790E81" w:rsidRDefault="00AA571D" w:rsidP="0068419D">
      <w:pPr>
        <w:spacing w:line="276" w:lineRule="auto"/>
        <w:jc w:val="center"/>
        <w:rPr>
          <w:rFonts w:eastAsia="Calibri" w:cs="Times New Roman"/>
          <w:b/>
          <w:iCs/>
          <w:color w:val="000000"/>
          <w:sz w:val="24"/>
          <w:szCs w:val="28"/>
        </w:rPr>
      </w:pPr>
      <w:r w:rsidRPr="00790E81">
        <w:rPr>
          <w:rFonts w:eastAsia="Calibri" w:cs="Times New Roman"/>
          <w:b/>
          <w:iCs/>
          <w:color w:val="000000"/>
          <w:sz w:val="24"/>
          <w:szCs w:val="28"/>
        </w:rPr>
        <w:t>Khamraeva Feruza Marifkhodjaevna</w:t>
      </w:r>
    </w:p>
    <w:p w14:paraId="543EB82B" w14:textId="77777777" w:rsidR="0068419D" w:rsidRPr="00790E81" w:rsidRDefault="00AA571D" w:rsidP="0068419D">
      <w:pPr>
        <w:spacing w:line="276" w:lineRule="auto"/>
        <w:jc w:val="center"/>
        <w:rPr>
          <w:rFonts w:eastAsia="Calibri" w:cs="Times New Roman"/>
          <w:bCs/>
          <w:iCs/>
          <w:color w:val="000000"/>
          <w:sz w:val="24"/>
          <w:szCs w:val="28"/>
        </w:rPr>
      </w:pPr>
      <w:r w:rsidRPr="00790E81">
        <w:rPr>
          <w:rFonts w:eastAsia="Calibri" w:cs="Times New Roman"/>
          <w:bCs/>
          <w:iCs/>
          <w:color w:val="000000"/>
          <w:sz w:val="24"/>
          <w:szCs w:val="28"/>
        </w:rPr>
        <w:t xml:space="preserve">Assistant of the Department of Public Health and Health Administration of the </w:t>
      </w:r>
    </w:p>
    <w:p w14:paraId="07F3C1C6" w14:textId="1F3A4897" w:rsidR="00AA571D" w:rsidRPr="00790E81" w:rsidRDefault="00AA571D" w:rsidP="0068419D">
      <w:pPr>
        <w:spacing w:line="276" w:lineRule="auto"/>
        <w:jc w:val="center"/>
        <w:rPr>
          <w:rFonts w:eastAsia="Calibri" w:cs="Times New Roman"/>
          <w:bCs/>
          <w:iCs/>
          <w:color w:val="000000"/>
          <w:sz w:val="24"/>
          <w:szCs w:val="28"/>
        </w:rPr>
      </w:pPr>
      <w:r w:rsidRPr="00790E81">
        <w:rPr>
          <w:rFonts w:eastAsia="Calibri" w:cs="Times New Roman"/>
          <w:bCs/>
          <w:iCs/>
          <w:color w:val="000000"/>
          <w:sz w:val="24"/>
          <w:szCs w:val="28"/>
        </w:rPr>
        <w:t>Tashkent Pediatric Medical Institute</w:t>
      </w:r>
      <w:r w:rsidR="0068419D" w:rsidRPr="00790E81">
        <w:rPr>
          <w:rFonts w:eastAsia="Calibri" w:cs="Times New Roman"/>
          <w:bCs/>
          <w:iCs/>
          <w:color w:val="000000"/>
          <w:sz w:val="24"/>
          <w:szCs w:val="28"/>
        </w:rPr>
        <w:t>, Tashkent, Uzbekistan</w:t>
      </w:r>
    </w:p>
    <w:p w14:paraId="2D5D6BEC" w14:textId="77777777" w:rsidR="00AA571D" w:rsidRDefault="00AA571D" w:rsidP="0068419D">
      <w:pPr>
        <w:spacing w:line="276" w:lineRule="auto"/>
        <w:ind w:firstLine="567"/>
        <w:jc w:val="both"/>
        <w:rPr>
          <w:rFonts w:eastAsia="Calibri" w:cs="Times New Roman"/>
          <w:b/>
          <w:i/>
          <w:color w:val="000000"/>
          <w:sz w:val="24"/>
          <w:szCs w:val="28"/>
        </w:rPr>
      </w:pPr>
    </w:p>
    <w:p w14:paraId="74020FE7" w14:textId="77777777" w:rsidR="00AA571D" w:rsidRPr="00A35AD6" w:rsidRDefault="00AA571D" w:rsidP="0068419D">
      <w:pPr>
        <w:spacing w:line="276" w:lineRule="auto"/>
        <w:ind w:firstLine="567"/>
        <w:jc w:val="both"/>
        <w:rPr>
          <w:rFonts w:eastAsia="Calibri" w:cs="Times New Roman"/>
          <w:i/>
          <w:color w:val="000000"/>
          <w:sz w:val="24"/>
          <w:szCs w:val="28"/>
        </w:rPr>
      </w:pPr>
      <w:r w:rsidRPr="00A35AD6">
        <w:rPr>
          <w:rFonts w:eastAsia="Calibri" w:cs="Times New Roman"/>
          <w:b/>
          <w:i/>
          <w:color w:val="000000"/>
          <w:sz w:val="24"/>
          <w:szCs w:val="28"/>
        </w:rPr>
        <w:t>Abstract</w:t>
      </w:r>
      <w:r w:rsidRPr="00A35AD6">
        <w:rPr>
          <w:rFonts w:eastAsia="Calibri" w:cs="Times New Roman"/>
          <w:i/>
          <w:color w:val="000000"/>
          <w:sz w:val="24"/>
          <w:szCs w:val="28"/>
        </w:rPr>
        <w:t>: the cause of all non-communicable diseases is the lack of personal attention among young people to a healthy lifestyle, care for the continuation of their generation. Today's youth is ready to accept everything new and unknown, without thinking about the consequences. The for</w:t>
      </w:r>
      <w:r>
        <w:rPr>
          <w:rFonts w:eastAsia="Calibri" w:cs="Times New Roman"/>
          <w:i/>
          <w:color w:val="000000"/>
          <w:sz w:val="24"/>
          <w:szCs w:val="28"/>
        </w:rPr>
        <w:softHyphen/>
      </w:r>
      <w:r w:rsidRPr="00A35AD6">
        <w:rPr>
          <w:rFonts w:eastAsia="Calibri" w:cs="Times New Roman"/>
          <w:i/>
          <w:color w:val="000000"/>
          <w:sz w:val="24"/>
          <w:szCs w:val="28"/>
        </w:rPr>
        <w:t xml:space="preserve">mation of a healthy lifestyle is a key area of reform of the health care system in Uzbekistan. The study of the problem of healthy lifestyle of the younger generation in the sociological aspect is due to the peculiarity of this socio-demographic group, its individual formation and role in the educational process. </w:t>
      </w:r>
    </w:p>
    <w:p w14:paraId="5654FD19" w14:textId="77777777" w:rsidR="00AA571D" w:rsidRPr="00A35AD6" w:rsidRDefault="00AA571D" w:rsidP="0068419D">
      <w:pPr>
        <w:spacing w:line="276" w:lineRule="auto"/>
        <w:ind w:firstLine="567"/>
        <w:jc w:val="both"/>
        <w:rPr>
          <w:rFonts w:eastAsia="Calibri" w:cs="Times New Roman"/>
          <w:i/>
          <w:color w:val="000000"/>
          <w:sz w:val="24"/>
          <w:szCs w:val="28"/>
        </w:rPr>
      </w:pPr>
      <w:r w:rsidRPr="00A35AD6">
        <w:rPr>
          <w:rFonts w:eastAsia="Calibri" w:cs="Times New Roman"/>
          <w:b/>
          <w:i/>
          <w:color w:val="000000"/>
          <w:sz w:val="24"/>
          <w:szCs w:val="28"/>
        </w:rPr>
        <w:t>Keywords:</w:t>
      </w:r>
      <w:r w:rsidRPr="00A35AD6">
        <w:rPr>
          <w:rFonts w:eastAsia="Calibri" w:cs="Times New Roman"/>
          <w:i/>
          <w:color w:val="000000"/>
          <w:sz w:val="24"/>
          <w:szCs w:val="28"/>
        </w:rPr>
        <w:t xml:space="preserve"> health, healthy lifestyle, valeological education, valeological culture of students.</w:t>
      </w:r>
    </w:p>
    <w:p w14:paraId="157E824C" w14:textId="77777777" w:rsidR="00AA571D" w:rsidRDefault="00AA571D" w:rsidP="0068419D">
      <w:pPr>
        <w:spacing w:line="276" w:lineRule="auto"/>
        <w:jc w:val="both"/>
        <w:rPr>
          <w:rFonts w:eastAsia="Calibri" w:cs="Times New Roman"/>
          <w:b/>
          <w:iCs/>
          <w:caps/>
          <w:color w:val="000000"/>
          <w:sz w:val="24"/>
          <w:szCs w:val="27"/>
          <w:bdr w:val="none" w:sz="0" w:space="0" w:color="auto" w:frame="1"/>
        </w:rPr>
      </w:pPr>
    </w:p>
    <w:p w14:paraId="31596BC3" w14:textId="77777777" w:rsidR="00AA571D" w:rsidRPr="000B0123" w:rsidRDefault="00AA571D" w:rsidP="0068419D">
      <w:pPr>
        <w:spacing w:line="276" w:lineRule="auto"/>
        <w:jc w:val="center"/>
        <w:rPr>
          <w:rFonts w:eastAsia="Calibri" w:cs="Times New Roman"/>
          <w:b/>
          <w:iCs/>
          <w:caps/>
          <w:color w:val="000000"/>
          <w:sz w:val="24"/>
          <w:szCs w:val="27"/>
          <w:bdr w:val="none" w:sz="0" w:space="0" w:color="auto" w:frame="1"/>
        </w:rPr>
      </w:pPr>
    </w:p>
    <w:p w14:paraId="4E87DCA0" w14:textId="77777777" w:rsidR="00AA571D" w:rsidRDefault="00AA571D" w:rsidP="0068419D">
      <w:pPr>
        <w:spacing w:line="276" w:lineRule="auto"/>
        <w:jc w:val="center"/>
        <w:rPr>
          <w:rFonts w:eastAsia="Calibri" w:cs="Times New Roman"/>
          <w:b/>
          <w:sz w:val="24"/>
          <w:szCs w:val="28"/>
          <w:lang w:val="ru-RU"/>
        </w:rPr>
      </w:pPr>
      <w:r w:rsidRPr="00A35AD6">
        <w:rPr>
          <w:rFonts w:eastAsia="Calibri" w:cs="Times New Roman"/>
          <w:b/>
          <w:iCs/>
          <w:caps/>
          <w:color w:val="000000"/>
          <w:sz w:val="24"/>
          <w:szCs w:val="27"/>
          <w:bdr w:val="none" w:sz="0" w:space="0" w:color="auto" w:frame="1"/>
          <w:lang w:val="ru-RU"/>
        </w:rPr>
        <w:t xml:space="preserve">ВАЛЕОЛОГИЧСКАЯ КУЛЬТУРА КАК КОМПОНЕНТ </w:t>
      </w:r>
      <w:r w:rsidRPr="00A35AD6">
        <w:rPr>
          <w:rFonts w:eastAsia="Calibri" w:cs="Times New Roman"/>
          <w:b/>
          <w:sz w:val="24"/>
          <w:szCs w:val="28"/>
          <w:lang w:val="ru-RU"/>
        </w:rPr>
        <w:t xml:space="preserve">ОБРАЗОВАТЕЛЬНОГО </w:t>
      </w:r>
    </w:p>
    <w:p w14:paraId="4D27B639" w14:textId="77777777" w:rsidR="00AA571D" w:rsidRPr="00A35AD6" w:rsidRDefault="00AA571D" w:rsidP="0068419D">
      <w:pPr>
        <w:spacing w:line="276" w:lineRule="auto"/>
        <w:jc w:val="center"/>
        <w:rPr>
          <w:rFonts w:eastAsia="Calibri" w:cs="Times New Roman"/>
          <w:b/>
          <w:sz w:val="24"/>
          <w:szCs w:val="28"/>
          <w:lang w:val="ru-RU"/>
        </w:rPr>
      </w:pPr>
      <w:r w:rsidRPr="00A35AD6">
        <w:rPr>
          <w:rFonts w:eastAsia="Calibri" w:cs="Times New Roman"/>
          <w:b/>
          <w:sz w:val="24"/>
          <w:szCs w:val="28"/>
          <w:lang w:val="ru-RU"/>
        </w:rPr>
        <w:t>ПРО</w:t>
      </w:r>
      <w:r>
        <w:rPr>
          <w:rFonts w:eastAsia="Calibri" w:cs="Times New Roman"/>
          <w:b/>
          <w:sz w:val="24"/>
          <w:szCs w:val="28"/>
          <w:lang w:val="ru-RU"/>
        </w:rPr>
        <w:softHyphen/>
      </w:r>
      <w:r w:rsidRPr="00A35AD6">
        <w:rPr>
          <w:rFonts w:eastAsia="Calibri" w:cs="Times New Roman"/>
          <w:b/>
          <w:sz w:val="24"/>
          <w:szCs w:val="28"/>
          <w:lang w:val="ru-RU"/>
        </w:rPr>
        <w:t>ЦЕССА ПРИ ФОРМИРОВАНИИ ЗДОРОВОГО ОБРАЗА ЖИЗНИ</w:t>
      </w:r>
    </w:p>
    <w:p w14:paraId="07868938" w14:textId="77777777" w:rsidR="00AA571D" w:rsidRDefault="00AA571D" w:rsidP="0068419D">
      <w:pPr>
        <w:spacing w:line="276" w:lineRule="auto"/>
        <w:ind w:firstLine="567"/>
        <w:jc w:val="both"/>
        <w:rPr>
          <w:rFonts w:eastAsia="Calibri" w:cs="Times New Roman"/>
          <w:b/>
          <w:i/>
          <w:sz w:val="24"/>
          <w:szCs w:val="28"/>
          <w:lang w:val="ru-RU"/>
        </w:rPr>
      </w:pPr>
    </w:p>
    <w:p w14:paraId="4F4ADB05" w14:textId="77777777" w:rsidR="00AA571D" w:rsidRPr="00790E81" w:rsidRDefault="00AA571D" w:rsidP="0068419D">
      <w:pPr>
        <w:spacing w:line="276" w:lineRule="auto"/>
        <w:jc w:val="center"/>
        <w:rPr>
          <w:rFonts w:eastAsia="Calibri" w:cs="Times New Roman"/>
          <w:b/>
          <w:iCs/>
          <w:sz w:val="24"/>
          <w:szCs w:val="28"/>
          <w:lang w:val="ru-RU"/>
        </w:rPr>
      </w:pPr>
      <w:r w:rsidRPr="00790E81">
        <w:rPr>
          <w:rFonts w:eastAsia="Calibri" w:cs="Times New Roman"/>
          <w:b/>
          <w:iCs/>
          <w:sz w:val="24"/>
          <w:szCs w:val="28"/>
          <w:lang w:val="ru-RU"/>
        </w:rPr>
        <w:t>Азизова Феруза Лютпиллаевна</w:t>
      </w:r>
    </w:p>
    <w:p w14:paraId="0B929E51" w14:textId="77777777" w:rsidR="00790E81" w:rsidRPr="00790E81" w:rsidRDefault="00AA571D" w:rsidP="0068419D">
      <w:pPr>
        <w:spacing w:line="276" w:lineRule="auto"/>
        <w:jc w:val="center"/>
        <w:rPr>
          <w:rFonts w:eastAsia="Calibri" w:cs="Times New Roman"/>
          <w:bCs/>
          <w:iCs/>
          <w:sz w:val="24"/>
          <w:szCs w:val="28"/>
          <w:lang w:val="ru-RU"/>
        </w:rPr>
      </w:pPr>
      <w:r w:rsidRPr="00790E81">
        <w:rPr>
          <w:rFonts w:eastAsia="Calibri" w:cs="Times New Roman"/>
          <w:bCs/>
          <w:iCs/>
          <w:sz w:val="24"/>
          <w:szCs w:val="28"/>
          <w:lang w:val="ru-RU"/>
        </w:rPr>
        <w:t>д.м.н., доцент кафедры гигиены детей подростков и гигиены питания</w:t>
      </w:r>
    </w:p>
    <w:p w14:paraId="60B70A61" w14:textId="3894D5C0" w:rsidR="00AA571D" w:rsidRPr="00790E81" w:rsidRDefault="00AA571D" w:rsidP="0068419D">
      <w:pPr>
        <w:spacing w:line="276" w:lineRule="auto"/>
        <w:jc w:val="center"/>
        <w:rPr>
          <w:rFonts w:eastAsia="Calibri" w:cs="Times New Roman"/>
          <w:bCs/>
          <w:iCs/>
          <w:sz w:val="24"/>
          <w:szCs w:val="28"/>
          <w:lang w:val="ru-RU"/>
        </w:rPr>
      </w:pPr>
      <w:r w:rsidRPr="00790E81">
        <w:rPr>
          <w:rFonts w:eastAsia="Calibri" w:cs="Times New Roman"/>
          <w:bCs/>
          <w:iCs/>
          <w:sz w:val="24"/>
          <w:szCs w:val="28"/>
          <w:lang w:val="ru-RU"/>
        </w:rPr>
        <w:t xml:space="preserve"> Ташкентск</w:t>
      </w:r>
      <w:r w:rsidR="00790E81" w:rsidRPr="00790E81">
        <w:rPr>
          <w:rFonts w:eastAsia="Calibri" w:cs="Times New Roman"/>
          <w:bCs/>
          <w:iCs/>
          <w:sz w:val="24"/>
          <w:szCs w:val="28"/>
          <w:lang w:val="ru-RU"/>
        </w:rPr>
        <w:t xml:space="preserve">ая </w:t>
      </w:r>
      <w:r w:rsidRPr="00790E81">
        <w:rPr>
          <w:rFonts w:eastAsia="Calibri" w:cs="Times New Roman"/>
          <w:bCs/>
          <w:iCs/>
          <w:sz w:val="24"/>
          <w:szCs w:val="28"/>
          <w:lang w:val="ru-RU"/>
        </w:rPr>
        <w:t>Меди</w:t>
      </w:r>
      <w:r w:rsidRPr="00790E81">
        <w:rPr>
          <w:rFonts w:eastAsia="Calibri" w:cs="Times New Roman"/>
          <w:bCs/>
          <w:iCs/>
          <w:sz w:val="24"/>
          <w:szCs w:val="28"/>
          <w:lang w:val="ru-RU"/>
        </w:rPr>
        <w:softHyphen/>
        <w:t>цинск</w:t>
      </w:r>
      <w:r w:rsidR="00790E81" w:rsidRPr="00790E81">
        <w:rPr>
          <w:rFonts w:eastAsia="Calibri" w:cs="Times New Roman"/>
          <w:bCs/>
          <w:iCs/>
          <w:sz w:val="24"/>
          <w:szCs w:val="28"/>
          <w:lang w:val="ru-RU"/>
        </w:rPr>
        <w:t>ая</w:t>
      </w:r>
      <w:r w:rsidRPr="00790E81">
        <w:rPr>
          <w:rFonts w:eastAsia="Calibri" w:cs="Times New Roman"/>
          <w:bCs/>
          <w:iCs/>
          <w:sz w:val="24"/>
          <w:szCs w:val="28"/>
          <w:lang w:val="ru-RU"/>
        </w:rPr>
        <w:t xml:space="preserve"> Академи</w:t>
      </w:r>
      <w:r w:rsidR="00790E81" w:rsidRPr="00790E81">
        <w:rPr>
          <w:rFonts w:eastAsia="Calibri" w:cs="Times New Roman"/>
          <w:bCs/>
          <w:iCs/>
          <w:sz w:val="24"/>
          <w:szCs w:val="28"/>
          <w:lang w:val="ru-RU"/>
        </w:rPr>
        <w:t>я, Ташкент, Узбекистан</w:t>
      </w:r>
    </w:p>
    <w:p w14:paraId="5E158841" w14:textId="77777777" w:rsidR="00790E81" w:rsidRPr="00790E81" w:rsidRDefault="00790E81" w:rsidP="0068419D">
      <w:pPr>
        <w:spacing w:line="276" w:lineRule="auto"/>
        <w:jc w:val="center"/>
        <w:rPr>
          <w:rFonts w:eastAsia="Calibri" w:cs="Times New Roman"/>
          <w:b/>
          <w:bCs/>
          <w:iCs/>
          <w:sz w:val="24"/>
          <w:szCs w:val="28"/>
          <w:lang w:val="ru-RU"/>
        </w:rPr>
      </w:pPr>
    </w:p>
    <w:p w14:paraId="691616D5" w14:textId="40D8F400" w:rsidR="00AA571D" w:rsidRPr="00790E81" w:rsidRDefault="00AA571D" w:rsidP="0068419D">
      <w:pPr>
        <w:spacing w:line="276" w:lineRule="auto"/>
        <w:jc w:val="center"/>
        <w:rPr>
          <w:rFonts w:eastAsia="Calibri" w:cs="Times New Roman"/>
          <w:b/>
          <w:bCs/>
          <w:iCs/>
          <w:sz w:val="24"/>
          <w:szCs w:val="28"/>
          <w:lang w:val="ru-RU"/>
        </w:rPr>
      </w:pPr>
      <w:r w:rsidRPr="00790E81">
        <w:rPr>
          <w:rFonts w:eastAsia="Calibri" w:cs="Times New Roman"/>
          <w:b/>
          <w:bCs/>
          <w:iCs/>
          <w:sz w:val="24"/>
          <w:szCs w:val="28"/>
          <w:lang w:val="ru-RU"/>
        </w:rPr>
        <w:t>Хамраева Феруза Марифходжаевна</w:t>
      </w:r>
    </w:p>
    <w:p w14:paraId="0940947D" w14:textId="77777777" w:rsidR="00790E81" w:rsidRPr="00790E81" w:rsidRDefault="00AA571D" w:rsidP="0068419D">
      <w:pPr>
        <w:spacing w:line="276" w:lineRule="auto"/>
        <w:jc w:val="center"/>
        <w:rPr>
          <w:rFonts w:eastAsia="Calibri" w:cs="Times New Roman"/>
          <w:iCs/>
          <w:sz w:val="24"/>
          <w:szCs w:val="28"/>
          <w:lang w:val="ru-RU"/>
        </w:rPr>
      </w:pPr>
      <w:r w:rsidRPr="00790E81">
        <w:rPr>
          <w:rFonts w:eastAsia="Calibri" w:cs="Times New Roman"/>
          <w:iCs/>
          <w:sz w:val="24"/>
          <w:szCs w:val="28"/>
          <w:lang w:val="ru-RU"/>
        </w:rPr>
        <w:t xml:space="preserve">ассистент кафедры общественного здоровья и управления здравоохранения </w:t>
      </w:r>
    </w:p>
    <w:p w14:paraId="0F76E34A" w14:textId="606EF4EA" w:rsidR="00AA571D" w:rsidRPr="00790E81" w:rsidRDefault="00AA571D" w:rsidP="0068419D">
      <w:pPr>
        <w:spacing w:line="276" w:lineRule="auto"/>
        <w:jc w:val="center"/>
        <w:rPr>
          <w:rFonts w:eastAsia="Calibri" w:cs="Times New Roman"/>
          <w:iCs/>
          <w:sz w:val="24"/>
          <w:szCs w:val="28"/>
          <w:lang w:val="ru-RU"/>
        </w:rPr>
      </w:pPr>
      <w:r w:rsidRPr="00790E81">
        <w:rPr>
          <w:rFonts w:eastAsia="Calibri" w:cs="Times New Roman"/>
          <w:iCs/>
          <w:sz w:val="24"/>
          <w:szCs w:val="28"/>
          <w:lang w:val="ru-RU"/>
        </w:rPr>
        <w:t>Ташкентск</w:t>
      </w:r>
      <w:r w:rsidR="00790E81" w:rsidRPr="00790E81">
        <w:rPr>
          <w:rFonts w:eastAsia="Calibri" w:cs="Times New Roman"/>
          <w:iCs/>
          <w:sz w:val="24"/>
          <w:szCs w:val="28"/>
          <w:lang w:val="ru-RU"/>
        </w:rPr>
        <w:t>ий</w:t>
      </w:r>
      <w:r w:rsidRPr="00790E81">
        <w:rPr>
          <w:rFonts w:eastAsia="Calibri" w:cs="Times New Roman"/>
          <w:iCs/>
          <w:sz w:val="24"/>
          <w:szCs w:val="28"/>
          <w:lang w:val="ru-RU"/>
        </w:rPr>
        <w:t xml:space="preserve"> Педиатрическ</w:t>
      </w:r>
      <w:r w:rsidR="00790E81" w:rsidRPr="00790E81">
        <w:rPr>
          <w:rFonts w:eastAsia="Calibri" w:cs="Times New Roman"/>
          <w:iCs/>
          <w:sz w:val="24"/>
          <w:szCs w:val="28"/>
          <w:lang w:val="ru-RU"/>
        </w:rPr>
        <w:t>ий</w:t>
      </w:r>
      <w:r w:rsidRPr="00790E81">
        <w:rPr>
          <w:rFonts w:eastAsia="Calibri" w:cs="Times New Roman"/>
          <w:iCs/>
          <w:sz w:val="24"/>
          <w:szCs w:val="28"/>
          <w:lang w:val="ru-RU"/>
        </w:rPr>
        <w:t xml:space="preserve"> Медицинск</w:t>
      </w:r>
      <w:r w:rsidR="00790E81" w:rsidRPr="00790E81">
        <w:rPr>
          <w:rFonts w:eastAsia="Calibri" w:cs="Times New Roman"/>
          <w:iCs/>
          <w:sz w:val="24"/>
          <w:szCs w:val="28"/>
          <w:lang w:val="ru-RU"/>
        </w:rPr>
        <w:t>ий</w:t>
      </w:r>
      <w:r w:rsidRPr="00790E81">
        <w:rPr>
          <w:rFonts w:eastAsia="Calibri" w:cs="Times New Roman"/>
          <w:iCs/>
          <w:sz w:val="24"/>
          <w:szCs w:val="28"/>
          <w:lang w:val="ru-RU"/>
        </w:rPr>
        <w:t xml:space="preserve"> Институт</w:t>
      </w:r>
      <w:r w:rsidR="00790E81" w:rsidRPr="00790E81">
        <w:rPr>
          <w:rFonts w:eastAsia="Calibri" w:cs="Times New Roman"/>
          <w:iCs/>
          <w:sz w:val="24"/>
          <w:szCs w:val="28"/>
          <w:lang w:val="ru-RU"/>
        </w:rPr>
        <w:t>, Ташкент, Узбекистан</w:t>
      </w:r>
    </w:p>
    <w:p w14:paraId="5EFA55AA" w14:textId="77777777" w:rsidR="00AA571D" w:rsidRPr="00A35AD6" w:rsidRDefault="00AA571D" w:rsidP="0068419D">
      <w:pPr>
        <w:spacing w:line="276" w:lineRule="auto"/>
        <w:ind w:firstLine="567"/>
        <w:jc w:val="both"/>
        <w:rPr>
          <w:rFonts w:eastAsia="Calibri" w:cs="Times New Roman"/>
          <w:b/>
          <w:sz w:val="24"/>
          <w:szCs w:val="28"/>
          <w:lang w:val="ru-RU"/>
        </w:rPr>
      </w:pPr>
    </w:p>
    <w:p w14:paraId="44B5350C" w14:textId="77777777" w:rsidR="00AA571D" w:rsidRPr="00A35AD6" w:rsidRDefault="00AA571D" w:rsidP="0068419D">
      <w:pPr>
        <w:spacing w:line="276" w:lineRule="auto"/>
        <w:ind w:firstLine="567"/>
        <w:jc w:val="both"/>
        <w:rPr>
          <w:rFonts w:eastAsia="Calibri" w:cs="Times New Roman"/>
          <w:i/>
          <w:sz w:val="24"/>
          <w:szCs w:val="28"/>
          <w:lang w:val="ru-RU"/>
        </w:rPr>
      </w:pPr>
      <w:r w:rsidRPr="00A35AD6">
        <w:rPr>
          <w:rFonts w:eastAsia="Calibri" w:cs="Times New Roman"/>
          <w:b/>
          <w:i/>
          <w:sz w:val="24"/>
          <w:szCs w:val="28"/>
          <w:lang w:val="ru-RU"/>
        </w:rPr>
        <w:t xml:space="preserve">Аннотация: </w:t>
      </w:r>
      <w:r w:rsidRPr="00A35AD6">
        <w:rPr>
          <w:rFonts w:eastAsia="Calibri" w:cs="Times New Roman"/>
          <w:i/>
          <w:sz w:val="24"/>
          <w:szCs w:val="28"/>
          <w:shd w:val="clear" w:color="auto" w:fill="FFFFFF"/>
          <w:lang w:val="ru-RU"/>
        </w:rPr>
        <w:t>Причиной всех неинфекционных заболеваний (НИЗ) является отсутствие личного внимания у молодёжи к здоровому образу жизни, заботе о продолжении своего поко</w:t>
      </w:r>
      <w:r>
        <w:rPr>
          <w:rFonts w:eastAsia="Calibri" w:cs="Times New Roman"/>
          <w:i/>
          <w:sz w:val="24"/>
          <w:szCs w:val="28"/>
          <w:shd w:val="clear" w:color="auto" w:fill="FFFFFF"/>
          <w:lang w:val="ru-RU"/>
        </w:rPr>
        <w:softHyphen/>
      </w:r>
      <w:r w:rsidRPr="00A35AD6">
        <w:rPr>
          <w:rFonts w:eastAsia="Calibri" w:cs="Times New Roman"/>
          <w:i/>
          <w:sz w:val="24"/>
          <w:szCs w:val="28"/>
          <w:shd w:val="clear" w:color="auto" w:fill="FFFFFF"/>
          <w:lang w:val="ru-RU"/>
        </w:rPr>
        <w:t>ления. Сегодняшняя молодежь готова воспринимать всё новое и неизведанное, не задумыва</w:t>
      </w:r>
      <w:r>
        <w:rPr>
          <w:rFonts w:eastAsia="Calibri" w:cs="Times New Roman"/>
          <w:i/>
          <w:sz w:val="24"/>
          <w:szCs w:val="28"/>
          <w:shd w:val="clear" w:color="auto" w:fill="FFFFFF"/>
          <w:lang w:val="ru-RU"/>
        </w:rPr>
        <w:softHyphen/>
      </w:r>
      <w:r w:rsidRPr="00A35AD6">
        <w:rPr>
          <w:rFonts w:eastAsia="Calibri" w:cs="Times New Roman"/>
          <w:i/>
          <w:sz w:val="24"/>
          <w:szCs w:val="28"/>
          <w:shd w:val="clear" w:color="auto" w:fill="FFFFFF"/>
          <w:lang w:val="ru-RU"/>
        </w:rPr>
        <w:t>ясь о последствиях. Формирование</w:t>
      </w:r>
      <w:r w:rsidRPr="00A35AD6">
        <w:rPr>
          <w:rFonts w:eastAsia="Calibri" w:cs="Times New Roman"/>
          <w:i/>
          <w:sz w:val="24"/>
          <w:szCs w:val="28"/>
          <w:lang w:val="ru-RU"/>
        </w:rPr>
        <w:t xml:space="preserve"> здорового образа жизни (ЗОЖ) является ключевым направлением реформирования системы здравоохранения Узбекистана. Изучение проблемы </w:t>
      </w:r>
      <w:r w:rsidRPr="00A35AD6">
        <w:rPr>
          <w:rFonts w:eastAsia="Calibri" w:cs="Times New Roman"/>
          <w:i/>
          <w:sz w:val="24"/>
          <w:szCs w:val="28"/>
          <w:lang w:val="ru-RU"/>
        </w:rPr>
        <w:lastRenderedPageBreak/>
        <w:t>ЗОЖ молодого поколения в социологическом аспекте обусловлено своеобразием данной соци</w:t>
      </w:r>
      <w:r>
        <w:rPr>
          <w:rFonts w:eastAsia="Calibri" w:cs="Times New Roman"/>
          <w:i/>
          <w:sz w:val="24"/>
          <w:szCs w:val="28"/>
          <w:lang w:val="ru-RU"/>
        </w:rPr>
        <w:softHyphen/>
      </w:r>
      <w:r w:rsidRPr="00A35AD6">
        <w:rPr>
          <w:rFonts w:eastAsia="Calibri" w:cs="Times New Roman"/>
          <w:i/>
          <w:sz w:val="24"/>
          <w:szCs w:val="28"/>
          <w:lang w:val="ru-RU"/>
        </w:rPr>
        <w:t>ально-демографической группы, индивидуальностями ее формирования и роли в образова</w:t>
      </w:r>
      <w:r>
        <w:rPr>
          <w:rFonts w:eastAsia="Calibri" w:cs="Times New Roman"/>
          <w:i/>
          <w:sz w:val="24"/>
          <w:szCs w:val="28"/>
          <w:lang w:val="ru-RU"/>
        </w:rPr>
        <w:softHyphen/>
      </w:r>
      <w:r w:rsidRPr="00A35AD6">
        <w:rPr>
          <w:rFonts w:eastAsia="Calibri" w:cs="Times New Roman"/>
          <w:i/>
          <w:sz w:val="24"/>
          <w:szCs w:val="28"/>
          <w:lang w:val="ru-RU"/>
        </w:rPr>
        <w:t xml:space="preserve">тельном процессе. </w:t>
      </w:r>
    </w:p>
    <w:p w14:paraId="60BD4958" w14:textId="77777777" w:rsidR="00AA571D" w:rsidRPr="00A35AD6" w:rsidRDefault="00AA571D" w:rsidP="0068419D">
      <w:pPr>
        <w:spacing w:line="276" w:lineRule="auto"/>
        <w:ind w:firstLine="567"/>
        <w:jc w:val="both"/>
        <w:rPr>
          <w:rFonts w:eastAsia="Calibri" w:cs="Times New Roman"/>
          <w:i/>
          <w:color w:val="000000"/>
          <w:sz w:val="24"/>
          <w:szCs w:val="28"/>
          <w:lang w:val="ru-RU"/>
        </w:rPr>
      </w:pPr>
      <w:r w:rsidRPr="00A35AD6">
        <w:rPr>
          <w:rFonts w:eastAsia="Calibri" w:cs="Times New Roman"/>
          <w:b/>
          <w:i/>
          <w:color w:val="000000"/>
          <w:sz w:val="24"/>
          <w:szCs w:val="28"/>
          <w:lang w:val="ru-RU"/>
        </w:rPr>
        <w:t>Ключевые слова:</w:t>
      </w:r>
      <w:r w:rsidRPr="00A35AD6">
        <w:rPr>
          <w:rFonts w:eastAsia="Calibri" w:cs="Times New Roman"/>
          <w:i/>
          <w:color w:val="000000"/>
          <w:sz w:val="24"/>
          <w:szCs w:val="28"/>
          <w:lang w:val="ru-RU"/>
        </w:rPr>
        <w:t xml:space="preserve"> здоровье, здоровый образ жизни, валеологическое образование, валео</w:t>
      </w:r>
      <w:r>
        <w:rPr>
          <w:rFonts w:eastAsia="Calibri" w:cs="Times New Roman"/>
          <w:i/>
          <w:color w:val="000000"/>
          <w:sz w:val="24"/>
          <w:szCs w:val="28"/>
          <w:lang w:val="ru-RU"/>
        </w:rPr>
        <w:softHyphen/>
      </w:r>
      <w:r w:rsidRPr="00A35AD6">
        <w:rPr>
          <w:rFonts w:eastAsia="Calibri" w:cs="Times New Roman"/>
          <w:i/>
          <w:color w:val="000000"/>
          <w:sz w:val="24"/>
          <w:szCs w:val="28"/>
          <w:lang w:val="ru-RU"/>
        </w:rPr>
        <w:t>логическая культура студентов.</w:t>
      </w:r>
    </w:p>
    <w:p w14:paraId="58B3ABE1" w14:textId="77777777" w:rsidR="00AA571D" w:rsidRPr="00A35AD6" w:rsidRDefault="00AA571D" w:rsidP="0068419D">
      <w:pPr>
        <w:spacing w:line="276" w:lineRule="auto"/>
        <w:ind w:firstLine="567"/>
        <w:jc w:val="both"/>
        <w:rPr>
          <w:rFonts w:eastAsia="Calibri" w:cs="Times New Roman"/>
          <w:color w:val="000000"/>
          <w:sz w:val="24"/>
          <w:szCs w:val="28"/>
          <w:lang w:val="ru-RU"/>
        </w:rPr>
      </w:pPr>
    </w:p>
    <w:p w14:paraId="7FD5BAB0" w14:textId="77777777" w:rsidR="00AA571D" w:rsidRPr="00A35AD6" w:rsidRDefault="00AA571D" w:rsidP="0068419D">
      <w:pPr>
        <w:spacing w:line="276" w:lineRule="auto"/>
        <w:jc w:val="center"/>
        <w:rPr>
          <w:rFonts w:eastAsia="Calibri" w:cs="Times New Roman"/>
          <w:b/>
          <w:color w:val="000000"/>
          <w:sz w:val="24"/>
          <w:szCs w:val="28"/>
          <w:lang w:val="uz-Cyrl-UZ"/>
        </w:rPr>
      </w:pPr>
      <w:r w:rsidRPr="00A35AD6">
        <w:rPr>
          <w:rFonts w:eastAsia="Calibri" w:cs="Times New Roman"/>
          <w:b/>
          <w:color w:val="000000"/>
          <w:sz w:val="24"/>
          <w:szCs w:val="28"/>
          <w:lang w:val="uz-Cyrl-UZ"/>
        </w:rPr>
        <w:t>СОҒЛОМ ТУРМУШ ТАРЗИНИ ШАКЛЛАНТИРИШДА ВАЛЕОЛОГИК МАДАНИЯТ ТАЪЛИМ ЖАРАЁНИНИНГ КОМПОНЕНТИ СИФАТИДА</w:t>
      </w:r>
    </w:p>
    <w:p w14:paraId="4567FDFA" w14:textId="77777777" w:rsidR="00AA571D" w:rsidRPr="00A35AD6" w:rsidRDefault="00AA571D" w:rsidP="0068419D">
      <w:pPr>
        <w:spacing w:line="276" w:lineRule="auto"/>
        <w:jc w:val="center"/>
        <w:rPr>
          <w:rFonts w:eastAsia="Calibri" w:cs="Times New Roman"/>
          <w:b/>
          <w:color w:val="000000"/>
          <w:sz w:val="24"/>
          <w:szCs w:val="28"/>
          <w:lang w:val="uz-Cyrl-UZ"/>
        </w:rPr>
      </w:pPr>
    </w:p>
    <w:p w14:paraId="41874C64" w14:textId="77777777" w:rsidR="00AA571D" w:rsidRPr="00790E81" w:rsidRDefault="00AA571D" w:rsidP="0068419D">
      <w:pPr>
        <w:spacing w:line="276" w:lineRule="auto"/>
        <w:jc w:val="center"/>
        <w:rPr>
          <w:rFonts w:eastAsia="Calibri" w:cs="Times New Roman"/>
          <w:b/>
          <w:iCs/>
          <w:color w:val="000000"/>
          <w:sz w:val="24"/>
          <w:szCs w:val="28"/>
          <w:lang w:val="uz-Cyrl-UZ"/>
        </w:rPr>
      </w:pPr>
      <w:r w:rsidRPr="00790E81">
        <w:rPr>
          <w:rFonts w:eastAsia="Calibri" w:cs="Times New Roman"/>
          <w:b/>
          <w:iCs/>
          <w:color w:val="000000"/>
          <w:sz w:val="24"/>
          <w:szCs w:val="28"/>
          <w:lang w:val="uz-Cyrl-UZ"/>
        </w:rPr>
        <w:t>Азизова Феруза Лютпиллаевна</w:t>
      </w:r>
    </w:p>
    <w:p w14:paraId="7E8A79BB" w14:textId="77777777" w:rsidR="00AA571D" w:rsidRPr="00790E81" w:rsidRDefault="00AA571D" w:rsidP="0068419D">
      <w:pPr>
        <w:spacing w:line="276" w:lineRule="auto"/>
        <w:jc w:val="center"/>
        <w:rPr>
          <w:rFonts w:eastAsia="Calibri" w:cs="Times New Roman"/>
          <w:bCs/>
          <w:iCs/>
          <w:color w:val="000000"/>
          <w:sz w:val="24"/>
          <w:szCs w:val="28"/>
          <w:lang w:val="uz-Cyrl-UZ"/>
        </w:rPr>
      </w:pPr>
      <w:r w:rsidRPr="00790E81">
        <w:rPr>
          <w:rFonts w:eastAsia="Calibri" w:cs="Times New Roman"/>
          <w:bCs/>
          <w:iCs/>
          <w:color w:val="000000"/>
          <w:sz w:val="24"/>
          <w:szCs w:val="28"/>
          <w:lang w:val="uz-Cyrl-UZ"/>
        </w:rPr>
        <w:t>Тошкент тиббиёт академиясининг илмий ишлар ва инновациялар бўйича проректори;</w:t>
      </w:r>
    </w:p>
    <w:p w14:paraId="216D003C" w14:textId="351B268B" w:rsidR="00AA571D" w:rsidRPr="00790E81" w:rsidRDefault="00AA571D" w:rsidP="0068419D">
      <w:pPr>
        <w:spacing w:line="276" w:lineRule="auto"/>
        <w:jc w:val="center"/>
        <w:rPr>
          <w:rFonts w:eastAsia="Calibri" w:cs="Times New Roman"/>
          <w:bCs/>
          <w:iCs/>
          <w:color w:val="000000"/>
          <w:sz w:val="24"/>
          <w:szCs w:val="28"/>
          <w:lang w:val="uz-Cyrl-UZ"/>
        </w:rPr>
      </w:pPr>
      <w:r w:rsidRPr="00790E81">
        <w:rPr>
          <w:rFonts w:eastAsia="Calibri" w:cs="Times New Roman"/>
          <w:bCs/>
          <w:iCs/>
          <w:color w:val="000000"/>
          <w:sz w:val="24"/>
          <w:szCs w:val="28"/>
          <w:lang w:val="uz-Cyrl-UZ"/>
        </w:rPr>
        <w:t>Тиббиёт фанлари доктори, Тошкент тиббиёт академиясининг ўсмир болалар гигиенаси ва овқатланиш гигиенаси кафедраси доценти</w:t>
      </w:r>
      <w:r w:rsidR="00790E81" w:rsidRPr="00790E81">
        <w:rPr>
          <w:rFonts w:eastAsia="Calibri" w:cs="Times New Roman"/>
          <w:bCs/>
          <w:iCs/>
          <w:color w:val="000000"/>
          <w:sz w:val="24"/>
          <w:szCs w:val="28"/>
          <w:lang w:val="uz-Cyrl-UZ"/>
        </w:rPr>
        <w:t>, Тошкент, Ўзбекистон</w:t>
      </w:r>
    </w:p>
    <w:p w14:paraId="6DAEB6AA" w14:textId="77777777" w:rsidR="00AA571D" w:rsidRPr="00790E81" w:rsidRDefault="00AA571D" w:rsidP="0068419D">
      <w:pPr>
        <w:spacing w:line="276" w:lineRule="auto"/>
        <w:jc w:val="center"/>
        <w:rPr>
          <w:rFonts w:eastAsia="Calibri" w:cs="Times New Roman"/>
          <w:b/>
          <w:iCs/>
          <w:color w:val="000000"/>
          <w:sz w:val="24"/>
          <w:szCs w:val="28"/>
          <w:lang w:val="uz-Cyrl-UZ"/>
        </w:rPr>
      </w:pPr>
    </w:p>
    <w:p w14:paraId="62A292CA" w14:textId="77777777" w:rsidR="00AA571D" w:rsidRPr="00790E81" w:rsidRDefault="00AA571D" w:rsidP="0068419D">
      <w:pPr>
        <w:spacing w:line="276" w:lineRule="auto"/>
        <w:jc w:val="center"/>
        <w:rPr>
          <w:rFonts w:eastAsia="Calibri" w:cs="Times New Roman"/>
          <w:b/>
          <w:iCs/>
          <w:color w:val="000000"/>
          <w:sz w:val="24"/>
          <w:szCs w:val="28"/>
          <w:lang w:val="uz-Cyrl-UZ"/>
        </w:rPr>
      </w:pPr>
      <w:r w:rsidRPr="00790E81">
        <w:rPr>
          <w:rFonts w:eastAsia="Calibri" w:cs="Times New Roman"/>
          <w:b/>
          <w:iCs/>
          <w:color w:val="000000"/>
          <w:sz w:val="24"/>
          <w:szCs w:val="28"/>
          <w:lang w:val="uz-Cyrl-UZ"/>
        </w:rPr>
        <w:t>Хамраева Феруза Марифхўжаевна</w:t>
      </w:r>
    </w:p>
    <w:p w14:paraId="11E6331E" w14:textId="0AFB8A28" w:rsidR="00AA571D" w:rsidRPr="00790E81" w:rsidRDefault="00AA571D" w:rsidP="0068419D">
      <w:pPr>
        <w:spacing w:line="276" w:lineRule="auto"/>
        <w:jc w:val="center"/>
        <w:rPr>
          <w:rFonts w:eastAsia="Calibri" w:cs="Times New Roman"/>
          <w:bCs/>
          <w:iCs/>
          <w:color w:val="000000"/>
          <w:sz w:val="24"/>
          <w:szCs w:val="28"/>
          <w:lang w:val="uz-Cyrl-UZ"/>
        </w:rPr>
      </w:pPr>
      <w:r w:rsidRPr="00790E81">
        <w:rPr>
          <w:rFonts w:eastAsia="Calibri" w:cs="Times New Roman"/>
          <w:bCs/>
          <w:iCs/>
          <w:color w:val="000000"/>
          <w:sz w:val="24"/>
          <w:szCs w:val="28"/>
          <w:lang w:val="uz-Cyrl-UZ"/>
        </w:rPr>
        <w:t>Тошкент Педиатрия Тиббиёт Институти Жамоат саломатлиги ва соғлиқни сақлашни бошқариш кафедраси ассистенти</w:t>
      </w:r>
      <w:r w:rsidR="00790E81" w:rsidRPr="00790E81">
        <w:rPr>
          <w:rFonts w:eastAsia="Calibri" w:cs="Times New Roman"/>
          <w:bCs/>
          <w:iCs/>
          <w:color w:val="000000"/>
          <w:sz w:val="24"/>
          <w:szCs w:val="28"/>
          <w:lang w:val="uz-Cyrl-UZ"/>
        </w:rPr>
        <w:t>, Тошкент, Ўзбекистон</w:t>
      </w:r>
    </w:p>
    <w:p w14:paraId="4743B04F" w14:textId="77777777" w:rsidR="00AA571D" w:rsidRPr="00A35AD6" w:rsidRDefault="00AA571D" w:rsidP="0068419D">
      <w:pPr>
        <w:spacing w:line="276" w:lineRule="auto"/>
        <w:ind w:firstLine="567"/>
        <w:jc w:val="both"/>
        <w:rPr>
          <w:rFonts w:eastAsia="Calibri" w:cs="Times New Roman"/>
          <w:b/>
          <w:i/>
          <w:color w:val="000000"/>
          <w:sz w:val="24"/>
          <w:szCs w:val="28"/>
          <w:lang w:val="uz-Cyrl-UZ"/>
        </w:rPr>
      </w:pPr>
    </w:p>
    <w:p w14:paraId="0ACF9933" w14:textId="77777777" w:rsidR="00AA571D" w:rsidRPr="00A35AD6" w:rsidRDefault="00AA571D" w:rsidP="0068419D">
      <w:pPr>
        <w:spacing w:line="276" w:lineRule="auto"/>
        <w:ind w:firstLine="567"/>
        <w:jc w:val="both"/>
        <w:rPr>
          <w:rFonts w:eastAsia="Calibri" w:cs="Times New Roman"/>
          <w:i/>
          <w:color w:val="000000"/>
          <w:sz w:val="24"/>
          <w:szCs w:val="28"/>
          <w:lang w:val="uz-Cyrl-UZ"/>
        </w:rPr>
      </w:pPr>
      <w:r w:rsidRPr="00A35AD6">
        <w:rPr>
          <w:rFonts w:eastAsia="Calibri" w:cs="Times New Roman"/>
          <w:b/>
          <w:i/>
          <w:color w:val="000000"/>
          <w:sz w:val="24"/>
          <w:szCs w:val="28"/>
          <w:lang w:val="uz-Cyrl-UZ"/>
        </w:rPr>
        <w:t>Хулоса</w:t>
      </w:r>
      <w:r w:rsidRPr="00A35AD6">
        <w:rPr>
          <w:rFonts w:eastAsia="Calibri" w:cs="Times New Roman"/>
          <w:i/>
          <w:color w:val="000000"/>
          <w:sz w:val="24"/>
          <w:szCs w:val="28"/>
          <w:lang w:val="uz-Cyrl-UZ"/>
        </w:rPr>
        <w:t>: барча юқумли бўлмаган касалликларнинг сабаби ёшлар орасида соғлом турмуш тарзига риоя қилмаслик, авлодни давом эттиришга бўлган жавобгарликнинг етишмаслигиир. Бугунги ёшлар оқибатлари ҳақида ўйламасдан умуман янги, номаълум бўлган барча янгиликларни қабул қилишга тайёр. Соғлом турмуш тарзини шакллантириш Ўзбекистонда соғлиқни сақлаш тизимини ислоҳ қилишнинг муҳим йўналишларидан биридир. Ёш авлоднинг соғлом турмуш тарзи муаммосини ижтимоий жиҳатдан ўрганиш ушбу ижтимоий-демографик гуруҳнинг ўзига хос хусусияти, унинг индивидуал шаклланиши ва таълим жараёнидаги роли билан боғлиқ.</w:t>
      </w:r>
    </w:p>
    <w:p w14:paraId="5934EC7A" w14:textId="77777777" w:rsidR="00AA571D" w:rsidRDefault="00AA571D" w:rsidP="0068419D">
      <w:pPr>
        <w:spacing w:line="276" w:lineRule="auto"/>
        <w:ind w:firstLine="567"/>
        <w:jc w:val="both"/>
        <w:rPr>
          <w:rFonts w:eastAsia="Calibri" w:cs="Times New Roman"/>
          <w:b/>
          <w:i/>
          <w:color w:val="000000"/>
          <w:sz w:val="24"/>
          <w:szCs w:val="28"/>
          <w:lang w:val="uz-Cyrl-UZ"/>
        </w:rPr>
      </w:pPr>
    </w:p>
    <w:p w14:paraId="5E60F1F0" w14:textId="77777777" w:rsidR="00AA571D" w:rsidRPr="00A35AD6" w:rsidRDefault="00AA571D" w:rsidP="0068419D">
      <w:pPr>
        <w:spacing w:line="276" w:lineRule="auto"/>
        <w:ind w:firstLine="567"/>
        <w:jc w:val="both"/>
        <w:rPr>
          <w:rFonts w:eastAsia="Calibri" w:cs="Times New Roman"/>
          <w:i/>
          <w:color w:val="000000"/>
          <w:sz w:val="24"/>
          <w:szCs w:val="28"/>
          <w:lang w:val="uz-Cyrl-UZ"/>
        </w:rPr>
      </w:pPr>
      <w:r w:rsidRPr="00A35AD6">
        <w:rPr>
          <w:rFonts w:eastAsia="Calibri" w:cs="Times New Roman"/>
          <w:b/>
          <w:i/>
          <w:color w:val="000000"/>
          <w:sz w:val="24"/>
          <w:szCs w:val="28"/>
          <w:lang w:val="uz-Cyrl-UZ"/>
        </w:rPr>
        <w:t>Калит сўзлар:</w:t>
      </w:r>
      <w:r w:rsidRPr="00A35AD6">
        <w:rPr>
          <w:rFonts w:eastAsia="Calibri" w:cs="Times New Roman"/>
          <w:i/>
          <w:color w:val="000000"/>
          <w:sz w:val="24"/>
          <w:szCs w:val="28"/>
          <w:lang w:val="uz-Cyrl-UZ"/>
        </w:rPr>
        <w:t xml:space="preserve"> саломатлик, соғлом турмуш тарзи, валеологик таълим, талабаларнинг валеологик маданияти.</w:t>
      </w:r>
    </w:p>
    <w:p w14:paraId="482E7A6D" w14:textId="77777777" w:rsidR="00AA571D" w:rsidRPr="00A35AD6" w:rsidRDefault="00AA571D" w:rsidP="0068419D">
      <w:pPr>
        <w:spacing w:line="276" w:lineRule="auto"/>
        <w:ind w:firstLine="567"/>
        <w:jc w:val="both"/>
        <w:rPr>
          <w:rFonts w:eastAsia="Calibri" w:cs="Times New Roman"/>
          <w:color w:val="000000"/>
          <w:sz w:val="24"/>
          <w:szCs w:val="28"/>
          <w:lang w:val="ru-RU"/>
        </w:rPr>
      </w:pPr>
    </w:p>
    <w:p w14:paraId="3A1B7333" w14:textId="77777777" w:rsidR="00AA571D" w:rsidRPr="000B0123" w:rsidRDefault="00AA571D" w:rsidP="0068419D">
      <w:pPr>
        <w:spacing w:line="276" w:lineRule="auto"/>
        <w:ind w:firstLine="567"/>
        <w:jc w:val="both"/>
        <w:rPr>
          <w:rFonts w:eastAsia="Calibri" w:cs="Times New Roman"/>
          <w:sz w:val="24"/>
          <w:szCs w:val="28"/>
          <w:lang w:val="ru-RU"/>
        </w:rPr>
        <w:sectPr w:rsidR="00AA571D" w:rsidRPr="000B0123" w:rsidSect="001B41EC">
          <w:type w:val="continuous"/>
          <w:pgSz w:w="11907" w:h="16840" w:code="9"/>
          <w:pgMar w:top="1418" w:right="1134" w:bottom="1134" w:left="1134" w:header="907" w:footer="794" w:gutter="0"/>
          <w:cols w:space="708"/>
          <w:docGrid w:linePitch="381"/>
        </w:sectPr>
      </w:pPr>
    </w:p>
    <w:p w14:paraId="4A1F4FE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To date, the country has consistently taken measures to prevent, treat and control non-communicable diseases and their risk fac</w:t>
      </w:r>
      <w:r>
        <w:rPr>
          <w:rFonts w:eastAsia="Calibri" w:cs="Times New Roman"/>
          <w:sz w:val="24"/>
          <w:szCs w:val="28"/>
        </w:rPr>
        <w:softHyphen/>
      </w:r>
      <w:r w:rsidRPr="00A35AD6">
        <w:rPr>
          <w:rFonts w:eastAsia="Calibri" w:cs="Times New Roman"/>
          <w:sz w:val="24"/>
          <w:szCs w:val="28"/>
        </w:rPr>
        <w:t>tors, reduce premature mortality and morbidity of the population. At the same time, it is nec</w:t>
      </w:r>
      <w:r>
        <w:rPr>
          <w:rFonts w:eastAsia="Calibri" w:cs="Times New Roman"/>
          <w:sz w:val="24"/>
          <w:szCs w:val="28"/>
        </w:rPr>
        <w:softHyphen/>
      </w:r>
      <w:r w:rsidRPr="00A35AD6">
        <w:rPr>
          <w:rFonts w:eastAsia="Calibri" w:cs="Times New Roman"/>
          <w:sz w:val="24"/>
          <w:szCs w:val="28"/>
        </w:rPr>
        <w:t>essary to introduce an effective management system of preventive measures for the protec</w:t>
      </w:r>
      <w:r>
        <w:rPr>
          <w:rFonts w:eastAsia="Calibri" w:cs="Times New Roman"/>
          <w:sz w:val="24"/>
          <w:szCs w:val="28"/>
        </w:rPr>
        <w:softHyphen/>
      </w:r>
      <w:r w:rsidRPr="00A35AD6">
        <w:rPr>
          <w:rFonts w:eastAsia="Calibri" w:cs="Times New Roman"/>
          <w:sz w:val="24"/>
          <w:szCs w:val="28"/>
        </w:rPr>
        <w:t>tion of public health, which will make it possi</w:t>
      </w:r>
      <w:r>
        <w:rPr>
          <w:rFonts w:eastAsia="Calibri" w:cs="Times New Roman"/>
          <w:sz w:val="24"/>
          <w:szCs w:val="28"/>
        </w:rPr>
        <w:softHyphen/>
      </w:r>
      <w:r w:rsidRPr="00A35AD6">
        <w:rPr>
          <w:rFonts w:eastAsia="Calibri" w:cs="Times New Roman"/>
          <w:sz w:val="24"/>
          <w:szCs w:val="28"/>
        </w:rPr>
        <w:t>ble to apply uniform measures for the manage</w:t>
      </w:r>
      <w:r>
        <w:rPr>
          <w:rFonts w:eastAsia="Calibri" w:cs="Times New Roman"/>
          <w:sz w:val="24"/>
          <w:szCs w:val="28"/>
        </w:rPr>
        <w:softHyphen/>
      </w:r>
      <w:r w:rsidRPr="00A35AD6">
        <w:rPr>
          <w:rFonts w:eastAsia="Calibri" w:cs="Times New Roman"/>
          <w:sz w:val="24"/>
          <w:szCs w:val="28"/>
        </w:rPr>
        <w:t>ment of healthy lifestyle, maintaining a healthy diet and physical activity of the population [9].</w:t>
      </w:r>
    </w:p>
    <w:p w14:paraId="2E4A4696" w14:textId="77777777" w:rsidR="00AA571D" w:rsidRPr="00A35AD6" w:rsidRDefault="00AA571D" w:rsidP="0068419D">
      <w:pPr>
        <w:spacing w:line="276" w:lineRule="auto"/>
        <w:ind w:firstLine="567"/>
        <w:jc w:val="both"/>
        <w:rPr>
          <w:rFonts w:eastAsia="Calibri" w:cs="Times New Roman"/>
          <w:sz w:val="24"/>
          <w:szCs w:val="28"/>
          <w:lang w:val="uz-Cyrl-UZ"/>
        </w:rPr>
      </w:pPr>
      <w:r w:rsidRPr="00A35AD6">
        <w:rPr>
          <w:rFonts w:eastAsia="Calibri" w:cs="Times New Roman"/>
          <w:sz w:val="24"/>
          <w:szCs w:val="28"/>
        </w:rPr>
        <w:t>In the conditions of the deteriorated level of youth health, attention to the healthy life</w:t>
      </w:r>
      <w:r>
        <w:rPr>
          <w:rFonts w:eastAsia="Calibri" w:cs="Times New Roman"/>
          <w:sz w:val="24"/>
          <w:szCs w:val="28"/>
        </w:rPr>
        <w:softHyphen/>
      </w:r>
      <w:r w:rsidRPr="00A35AD6">
        <w:rPr>
          <w:rFonts w:eastAsia="Calibri" w:cs="Times New Roman"/>
          <w:sz w:val="24"/>
          <w:szCs w:val="28"/>
        </w:rPr>
        <w:t>style of students of higher educational institu</w:t>
      </w:r>
      <w:r>
        <w:rPr>
          <w:rFonts w:eastAsia="Calibri" w:cs="Times New Roman"/>
          <w:sz w:val="24"/>
          <w:szCs w:val="28"/>
        </w:rPr>
        <w:softHyphen/>
      </w:r>
      <w:r w:rsidRPr="00A35AD6">
        <w:rPr>
          <w:rFonts w:eastAsia="Calibri" w:cs="Times New Roman"/>
          <w:sz w:val="24"/>
          <w:szCs w:val="28"/>
        </w:rPr>
        <w:t xml:space="preserve">tions is increasing, which indicates the concern </w:t>
      </w:r>
      <w:r w:rsidRPr="00A35AD6">
        <w:rPr>
          <w:rFonts w:eastAsia="Calibri" w:cs="Times New Roman"/>
          <w:sz w:val="24"/>
          <w:szCs w:val="28"/>
        </w:rPr>
        <w:t>of society with the problems of reproduction and the quality of the workforce and the human internal reserve as a whole. It is impossible to ensure a high level of training of specialists without strengthening the cognitive activity of the students themselves. To teach a student the vital need to work, the desire to be socially ac</w:t>
      </w:r>
      <w:r>
        <w:rPr>
          <w:rFonts w:eastAsia="Calibri" w:cs="Times New Roman"/>
          <w:sz w:val="24"/>
          <w:szCs w:val="28"/>
        </w:rPr>
        <w:softHyphen/>
      </w:r>
      <w:r w:rsidRPr="00A35AD6">
        <w:rPr>
          <w:rFonts w:eastAsia="Calibri" w:cs="Times New Roman"/>
          <w:sz w:val="24"/>
          <w:szCs w:val="28"/>
        </w:rPr>
        <w:t>tive, to develop their knowledge, the ability to take care of their own and others' health is one of the main tasks of universities [10].</w:t>
      </w:r>
    </w:p>
    <w:p w14:paraId="7282BC42" w14:textId="77777777" w:rsidR="00AA571D" w:rsidRPr="00A35AD6" w:rsidRDefault="00AA571D" w:rsidP="0068419D">
      <w:pPr>
        <w:spacing w:line="276" w:lineRule="auto"/>
        <w:ind w:firstLine="567"/>
        <w:jc w:val="both"/>
        <w:rPr>
          <w:rFonts w:eastAsia="Calibri" w:cs="Times New Roman"/>
          <w:sz w:val="24"/>
          <w:szCs w:val="28"/>
          <w:lang w:val="uz-Cyrl-UZ"/>
        </w:rPr>
      </w:pPr>
      <w:r w:rsidRPr="00A35AD6">
        <w:rPr>
          <w:rFonts w:eastAsia="Calibri" w:cs="Times New Roman"/>
          <w:sz w:val="24"/>
          <w:szCs w:val="28"/>
          <w:lang w:val="uz-Cyrl-UZ"/>
        </w:rPr>
        <w:t>Valeology is a fundamentally new field of knowledge based on modern ideas about the laws of wildlife and humans.</w:t>
      </w:r>
    </w:p>
    <w:p w14:paraId="1C7D3307" w14:textId="77777777" w:rsidR="00AA571D" w:rsidRPr="00A35AD6" w:rsidRDefault="00AA571D" w:rsidP="0068419D">
      <w:pPr>
        <w:spacing w:line="276" w:lineRule="auto"/>
        <w:ind w:firstLine="567"/>
        <w:jc w:val="both"/>
        <w:rPr>
          <w:rFonts w:eastAsia="Calibri" w:cs="Times New Roman"/>
          <w:sz w:val="24"/>
          <w:szCs w:val="28"/>
          <w:lang w:val="uz-Cyrl-UZ"/>
        </w:rPr>
      </w:pPr>
      <w:r w:rsidRPr="00A35AD6">
        <w:rPr>
          <w:rFonts w:eastAsia="Calibri" w:cs="Times New Roman"/>
          <w:sz w:val="24"/>
          <w:szCs w:val="28"/>
          <w:lang w:val="uz-Cyrl-UZ"/>
        </w:rPr>
        <w:t xml:space="preserve">Promotion of a healthy lifestyle is a very important and irremovable socio-pedagogical </w:t>
      </w:r>
      <w:r w:rsidRPr="00A35AD6">
        <w:rPr>
          <w:rFonts w:eastAsia="Calibri" w:cs="Times New Roman"/>
          <w:sz w:val="24"/>
          <w:szCs w:val="28"/>
          <w:lang w:val="uz-Cyrl-UZ"/>
        </w:rPr>
        <w:lastRenderedPageBreak/>
        <w:t>task. The inclusion of the subject "Valeology" in the list of elective and academic disciplines of higher educational institutions is a natural phenomenon due to vital social and social needs. The problems of maintaining health and harmonious interaction of man and the environment are of a global nature and many spheres of culture, including education, are engaged in solving them.</w:t>
      </w:r>
    </w:p>
    <w:p w14:paraId="0A1B618C" w14:textId="77777777" w:rsidR="00AA571D" w:rsidRPr="00A35AD6" w:rsidRDefault="00AA571D" w:rsidP="0068419D">
      <w:pPr>
        <w:spacing w:line="276" w:lineRule="auto"/>
        <w:ind w:firstLine="567"/>
        <w:jc w:val="both"/>
        <w:rPr>
          <w:rFonts w:eastAsia="Calibri" w:cs="Times New Roman"/>
          <w:sz w:val="24"/>
          <w:szCs w:val="28"/>
          <w:lang w:val="uz-Cyrl-UZ"/>
        </w:rPr>
      </w:pPr>
      <w:r w:rsidRPr="00A35AD6">
        <w:rPr>
          <w:rFonts w:eastAsia="Calibri" w:cs="Times New Roman"/>
          <w:sz w:val="24"/>
          <w:szCs w:val="28"/>
          <w:lang w:val="uz-Cyrl-UZ"/>
        </w:rPr>
        <w:t>Valeogrammativeness has become a mandatory component of versatile education. Since the ability to independently determine the parameters of one's own health, to support, strengthen and, if necessary, correct it is an index of high personal culture.</w:t>
      </w:r>
    </w:p>
    <w:p w14:paraId="5779EEB5" w14:textId="77777777" w:rsidR="00AA571D" w:rsidRPr="00A35AD6" w:rsidRDefault="00AA571D" w:rsidP="0068419D">
      <w:pPr>
        <w:shd w:val="clear" w:color="auto" w:fill="FFFFFF"/>
        <w:spacing w:line="276" w:lineRule="auto"/>
        <w:ind w:firstLine="567"/>
        <w:jc w:val="both"/>
        <w:rPr>
          <w:rFonts w:eastAsia="Calibri" w:cs="Times New Roman"/>
          <w:sz w:val="24"/>
          <w:szCs w:val="28"/>
          <w:shd w:val="clear" w:color="auto" w:fill="FFFFFF"/>
          <w:lang w:val="uz-Latn-UZ"/>
        </w:rPr>
      </w:pPr>
      <w:r w:rsidRPr="00A35AD6">
        <w:rPr>
          <w:rFonts w:eastAsia="Calibri" w:cs="Times New Roman"/>
          <w:sz w:val="24"/>
          <w:szCs w:val="28"/>
          <w:shd w:val="clear" w:color="auto" w:fill="FFFFFF"/>
          <w:lang w:val="uz-Cyrl-UZ"/>
        </w:rPr>
        <w:t xml:space="preserve">In order to improve the mechanisms for organizing and managing the prevention of noncommunicable diseases, the formation of a healthy lifestyle and increasing the level of physical activity of the population, as well as in accordance with the Decree of the President of the Republic of Uzbekistan dated December 7, 2018 </w:t>
      </w:r>
      <w:r w:rsidRPr="00A35AD6">
        <w:rPr>
          <w:rFonts w:eastAsia="Calibri" w:cs="Times New Roman"/>
          <w:sz w:val="24"/>
          <w:szCs w:val="28"/>
          <w:shd w:val="clear" w:color="auto" w:fill="FFFFFF"/>
          <w:lang w:val="uz-Latn-UZ"/>
        </w:rPr>
        <w:t>#</w:t>
      </w:r>
      <w:r w:rsidRPr="00A35AD6">
        <w:rPr>
          <w:rFonts w:eastAsia="Calibri" w:cs="Times New Roman"/>
          <w:sz w:val="24"/>
          <w:szCs w:val="28"/>
          <w:shd w:val="clear" w:color="auto" w:fill="FFFFFF"/>
          <w:lang w:val="uz-Cyrl-UZ"/>
        </w:rPr>
        <w:t xml:space="preserve"> DP-5590 "On comprehensive measures to radically improve the healthcare system of the Republic of Uzbekistan", the Concept for the prevention of noncommunicable diseases, support a healthy lifestyle and an increase in the level of physical activity of the population for 2019 </w:t>
      </w:r>
      <w:r w:rsidRPr="00A35AD6">
        <w:rPr>
          <w:rFonts w:eastAsia="Calibri" w:cs="Times New Roman"/>
          <w:sz w:val="24"/>
          <w:szCs w:val="28"/>
          <w:shd w:val="clear" w:color="auto" w:fill="FFFFFF"/>
          <w:lang w:val="uz-Latn-UZ"/>
        </w:rPr>
        <w:t>–</w:t>
      </w:r>
      <w:r w:rsidRPr="00A35AD6">
        <w:rPr>
          <w:rFonts w:eastAsia="Calibri" w:cs="Times New Roman"/>
          <w:sz w:val="24"/>
          <w:szCs w:val="28"/>
          <w:shd w:val="clear" w:color="auto" w:fill="FFFFFF"/>
          <w:lang w:val="uz-Cyrl-UZ"/>
        </w:rPr>
        <w:t xml:space="preserve"> 2022.</w:t>
      </w:r>
    </w:p>
    <w:p w14:paraId="7BC76E17" w14:textId="77777777" w:rsidR="00AA571D" w:rsidRPr="00A35AD6" w:rsidRDefault="00AA571D" w:rsidP="0068419D">
      <w:pPr>
        <w:spacing w:line="276" w:lineRule="auto"/>
        <w:ind w:firstLine="567"/>
        <w:jc w:val="both"/>
        <w:textAlignment w:val="top"/>
        <w:rPr>
          <w:rFonts w:eastAsia="Times New Roman" w:cs="Times New Roman"/>
          <w:color w:val="000000"/>
          <w:sz w:val="24"/>
          <w:szCs w:val="28"/>
          <w:lang w:eastAsia="ru-RU"/>
        </w:rPr>
      </w:pPr>
      <w:r w:rsidRPr="00A35AD6">
        <w:rPr>
          <w:rFonts w:eastAsia="Times New Roman" w:cs="Times New Roman"/>
          <w:color w:val="000000"/>
          <w:sz w:val="24"/>
          <w:szCs w:val="28"/>
          <w:lang w:eastAsia="ru-RU"/>
        </w:rPr>
        <w:t>The subject of valeological education is the formation of a culture of health, a consci</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entious attitude to one's health and the environ</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ment as a condition and source of its preserva</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tion and development. The result of such edu</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cation is determined, on the one hand, by the level of theoretical knowledge about the prin</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ciples of health and a healthy lifestyle, and on the other hand, by the existence of a valeolog</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ical culture that allows a person to take an ac</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tive position regarding the preservation and strengthening of their own health, to use skills and abilities to develop their probable capabil</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 xml:space="preserve">ities. </w:t>
      </w:r>
    </w:p>
    <w:p w14:paraId="2CD76E7B"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A significant circumstance of the suc</w:t>
      </w:r>
      <w:r>
        <w:rPr>
          <w:rFonts w:eastAsia="Calibri" w:cs="Times New Roman"/>
          <w:sz w:val="24"/>
          <w:szCs w:val="28"/>
        </w:rPr>
        <w:softHyphen/>
      </w:r>
      <w:r w:rsidRPr="00A35AD6">
        <w:rPr>
          <w:rFonts w:eastAsia="Calibri" w:cs="Times New Roman"/>
          <w:sz w:val="24"/>
          <w:szCs w:val="28"/>
        </w:rPr>
        <w:t>cessful introduction of valeology in universi</w:t>
      </w:r>
      <w:r>
        <w:rPr>
          <w:rFonts w:eastAsia="Calibri" w:cs="Times New Roman"/>
          <w:sz w:val="24"/>
          <w:szCs w:val="28"/>
        </w:rPr>
        <w:softHyphen/>
      </w:r>
      <w:r w:rsidRPr="00A35AD6">
        <w:rPr>
          <w:rFonts w:eastAsia="Calibri" w:cs="Times New Roman"/>
          <w:sz w:val="24"/>
          <w:szCs w:val="28"/>
        </w:rPr>
        <w:t>ties is the pedagogical art, highly professional tools. And in order to improve it, it is necessary to generalize and promote such experience. Consequently, the more fully valeology enters the educational and life sphere of higher edu</w:t>
      </w:r>
      <w:r>
        <w:rPr>
          <w:rFonts w:eastAsia="Calibri" w:cs="Times New Roman"/>
          <w:sz w:val="24"/>
          <w:szCs w:val="28"/>
        </w:rPr>
        <w:softHyphen/>
      </w:r>
      <w:r w:rsidRPr="00A35AD6">
        <w:rPr>
          <w:rFonts w:eastAsia="Calibri" w:cs="Times New Roman"/>
          <w:sz w:val="24"/>
          <w:szCs w:val="28"/>
        </w:rPr>
        <w:t>cational institutions, the more effectively the greatest social mission presented to science and education will be realized: preservation of the Uzbek people, their health, their labor, re</w:t>
      </w:r>
      <w:r>
        <w:rPr>
          <w:rFonts w:eastAsia="Calibri" w:cs="Times New Roman"/>
          <w:sz w:val="24"/>
          <w:szCs w:val="28"/>
        </w:rPr>
        <w:softHyphen/>
      </w:r>
      <w:r w:rsidRPr="00A35AD6">
        <w:rPr>
          <w:rFonts w:eastAsia="Calibri" w:cs="Times New Roman"/>
          <w:sz w:val="24"/>
          <w:szCs w:val="28"/>
        </w:rPr>
        <w:t>productive, valeological security.</w:t>
      </w:r>
    </w:p>
    <w:p w14:paraId="5FB61D8D"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Two branches have already separated from the trunk of the general valeology. One is medical valeology, which is practiced by de</w:t>
      </w:r>
      <w:r>
        <w:rPr>
          <w:rFonts w:eastAsia="Calibri" w:cs="Times New Roman"/>
          <w:sz w:val="24"/>
          <w:szCs w:val="28"/>
        </w:rPr>
        <w:softHyphen/>
      </w:r>
      <w:r w:rsidRPr="00A35AD6">
        <w:rPr>
          <w:rFonts w:eastAsia="Calibri" w:cs="Times New Roman"/>
          <w:sz w:val="24"/>
          <w:szCs w:val="28"/>
        </w:rPr>
        <w:t>veloping health–improving mechanisms and methods, evaluating their effectiveness, tasks of preventing aging, strengthening reserve and adaptive capabilities, etc., the second branch is pedagogical valeology. Being in close connec</w:t>
      </w:r>
      <w:r>
        <w:rPr>
          <w:rFonts w:eastAsia="Calibri" w:cs="Times New Roman"/>
          <w:sz w:val="24"/>
          <w:szCs w:val="28"/>
        </w:rPr>
        <w:softHyphen/>
      </w:r>
      <w:r w:rsidRPr="00A35AD6">
        <w:rPr>
          <w:rFonts w:eastAsia="Calibri" w:cs="Times New Roman"/>
          <w:sz w:val="24"/>
          <w:szCs w:val="28"/>
        </w:rPr>
        <w:t>tion with medicine and having been created by medical professionals, valeology has now taken the form of a pedagogical discipline. It's enough to ask the question — what is valeol</w:t>
      </w:r>
      <w:r>
        <w:rPr>
          <w:rFonts w:eastAsia="Calibri" w:cs="Times New Roman"/>
          <w:sz w:val="24"/>
          <w:szCs w:val="28"/>
        </w:rPr>
        <w:softHyphen/>
      </w:r>
      <w:r w:rsidRPr="00A35AD6">
        <w:rPr>
          <w:rFonts w:eastAsia="Calibri" w:cs="Times New Roman"/>
          <w:sz w:val="24"/>
          <w:szCs w:val="28"/>
        </w:rPr>
        <w:t>ogy: Valeology is health through education. It is necessary to deal with health not only and not so much where people come with their ill</w:t>
      </w:r>
      <w:r>
        <w:rPr>
          <w:rFonts w:eastAsia="Calibri" w:cs="Times New Roman"/>
          <w:sz w:val="24"/>
          <w:szCs w:val="28"/>
        </w:rPr>
        <w:softHyphen/>
      </w:r>
      <w:r w:rsidRPr="00A35AD6">
        <w:rPr>
          <w:rFonts w:eastAsia="Calibri" w:cs="Times New Roman"/>
          <w:sz w:val="24"/>
          <w:szCs w:val="28"/>
        </w:rPr>
        <w:t>nesses, but where they study (in kindergarten, school, college, institute), since health care must be taught. And the role of the teacher is assigned to parents, educators and teachers. The valeological approach to the learning pro</w:t>
      </w:r>
      <w:r>
        <w:rPr>
          <w:rFonts w:eastAsia="Calibri" w:cs="Times New Roman"/>
          <w:sz w:val="24"/>
          <w:szCs w:val="28"/>
        </w:rPr>
        <w:softHyphen/>
      </w:r>
      <w:r w:rsidRPr="00A35AD6">
        <w:rPr>
          <w:rFonts w:eastAsia="Calibri" w:cs="Times New Roman"/>
          <w:sz w:val="24"/>
          <w:szCs w:val="28"/>
        </w:rPr>
        <w:t>cess is to find the chances of improving the health of students even before they get sick. And this is not limited to preventive measures. In this case, the task is deeper – to identify the aspirations that would support and develop a person's tendencies to be healthy, to realize himself in an excellent way [12].</w:t>
      </w:r>
    </w:p>
    <w:p w14:paraId="6898A54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following competencies should be included in the basis of healthy lifestyle train</w:t>
      </w:r>
      <w:r>
        <w:rPr>
          <w:rFonts w:eastAsia="Calibri" w:cs="Times New Roman"/>
          <w:sz w:val="24"/>
          <w:szCs w:val="28"/>
        </w:rPr>
        <w:softHyphen/>
      </w:r>
      <w:r w:rsidRPr="00A35AD6">
        <w:rPr>
          <w:rFonts w:eastAsia="Calibri" w:cs="Times New Roman"/>
          <w:sz w:val="24"/>
          <w:szCs w:val="28"/>
        </w:rPr>
        <w:t>ing for medical university students: training in effective methods of disease prevention, taking into account age characteristics; formation of a responsible attitude to one's health and the principles of "responsible parenthood"; dy</w:t>
      </w:r>
      <w:r>
        <w:rPr>
          <w:rFonts w:eastAsia="Calibri" w:cs="Times New Roman"/>
          <w:sz w:val="24"/>
          <w:szCs w:val="28"/>
        </w:rPr>
        <w:softHyphen/>
      </w:r>
      <w:r w:rsidRPr="00A35AD6">
        <w:rPr>
          <w:rFonts w:eastAsia="Calibri" w:cs="Times New Roman"/>
          <w:sz w:val="24"/>
          <w:szCs w:val="28"/>
        </w:rPr>
        <w:t>namic monitoring of patients at risk of devel</w:t>
      </w:r>
      <w:r>
        <w:rPr>
          <w:rFonts w:eastAsia="Calibri" w:cs="Times New Roman"/>
          <w:sz w:val="24"/>
          <w:szCs w:val="28"/>
        </w:rPr>
        <w:softHyphen/>
      </w:r>
      <w:r w:rsidRPr="00A35AD6">
        <w:rPr>
          <w:rFonts w:eastAsia="Calibri" w:cs="Times New Roman"/>
          <w:sz w:val="24"/>
          <w:szCs w:val="28"/>
        </w:rPr>
        <w:lastRenderedPageBreak/>
        <w:t>oping NCDs; monitoring of functional and bi</w:t>
      </w:r>
      <w:r>
        <w:rPr>
          <w:rFonts w:eastAsia="Calibri" w:cs="Times New Roman"/>
          <w:sz w:val="24"/>
          <w:szCs w:val="28"/>
        </w:rPr>
        <w:softHyphen/>
      </w:r>
      <w:r w:rsidRPr="00A35AD6">
        <w:rPr>
          <w:rFonts w:eastAsia="Calibri" w:cs="Times New Roman"/>
          <w:sz w:val="24"/>
          <w:szCs w:val="28"/>
        </w:rPr>
        <w:t>ological reserves of the body taking into ac</w:t>
      </w:r>
      <w:r>
        <w:rPr>
          <w:rFonts w:eastAsia="Calibri" w:cs="Times New Roman"/>
          <w:sz w:val="24"/>
          <w:szCs w:val="28"/>
        </w:rPr>
        <w:softHyphen/>
      </w:r>
      <w:r w:rsidRPr="00A35AD6">
        <w:rPr>
          <w:rFonts w:eastAsia="Calibri" w:cs="Times New Roman"/>
          <w:sz w:val="24"/>
          <w:szCs w:val="28"/>
        </w:rPr>
        <w:t>count age characteristics. Such specialization of future doctors directs students to the fact that they should become valeologists, created to change a person's lifestyle in the direction of preserving his health. Teaching health-saving technologies takes into account the use of vis</w:t>
      </w:r>
      <w:r>
        <w:rPr>
          <w:rFonts w:eastAsia="Calibri" w:cs="Times New Roman"/>
          <w:sz w:val="24"/>
          <w:szCs w:val="28"/>
        </w:rPr>
        <w:softHyphen/>
      </w:r>
      <w:r w:rsidRPr="00A35AD6">
        <w:rPr>
          <w:rFonts w:eastAsia="Calibri" w:cs="Times New Roman"/>
          <w:sz w:val="24"/>
          <w:szCs w:val="28"/>
        </w:rPr>
        <w:t>ual domestic and publicly available foreign In</w:t>
      </w:r>
      <w:r>
        <w:rPr>
          <w:rFonts w:eastAsia="Calibri" w:cs="Times New Roman"/>
          <w:sz w:val="24"/>
          <w:szCs w:val="28"/>
        </w:rPr>
        <w:softHyphen/>
      </w:r>
      <w:r w:rsidRPr="00A35AD6">
        <w:rPr>
          <w:rFonts w:eastAsia="Calibri" w:cs="Times New Roman"/>
          <w:sz w:val="24"/>
          <w:szCs w:val="28"/>
        </w:rPr>
        <w:t>ternet materials adapted to the educational sphere [3].</w:t>
      </w:r>
    </w:p>
    <w:p w14:paraId="4308923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An invariable condition for the effective</w:t>
      </w:r>
      <w:r>
        <w:rPr>
          <w:rFonts w:eastAsia="Calibri" w:cs="Times New Roman"/>
          <w:sz w:val="24"/>
          <w:szCs w:val="28"/>
        </w:rPr>
        <w:softHyphen/>
      </w:r>
      <w:r w:rsidRPr="00A35AD6">
        <w:rPr>
          <w:rFonts w:eastAsia="Calibri" w:cs="Times New Roman"/>
          <w:sz w:val="24"/>
          <w:szCs w:val="28"/>
        </w:rPr>
        <w:t>ness of this work is its purposefulness, regular</w:t>
      </w:r>
      <w:r>
        <w:rPr>
          <w:rFonts w:eastAsia="Calibri" w:cs="Times New Roman"/>
          <w:sz w:val="24"/>
          <w:szCs w:val="28"/>
        </w:rPr>
        <w:softHyphen/>
      </w:r>
      <w:r w:rsidRPr="00A35AD6">
        <w:rPr>
          <w:rFonts w:eastAsia="Calibri" w:cs="Times New Roman"/>
          <w:sz w:val="24"/>
          <w:szCs w:val="28"/>
        </w:rPr>
        <w:t>ity and continuity of implementation. The per</w:t>
      </w:r>
      <w:r>
        <w:rPr>
          <w:rFonts w:eastAsia="Calibri" w:cs="Times New Roman"/>
          <w:sz w:val="24"/>
          <w:szCs w:val="28"/>
        </w:rPr>
        <w:softHyphen/>
      </w:r>
      <w:r w:rsidRPr="00A35AD6">
        <w:rPr>
          <w:rFonts w:eastAsia="Calibri" w:cs="Times New Roman"/>
          <w:sz w:val="24"/>
          <w:szCs w:val="28"/>
        </w:rPr>
        <w:t>sonal and motivational qualities of this individ</w:t>
      </w:r>
      <w:r>
        <w:rPr>
          <w:rFonts w:eastAsia="Calibri" w:cs="Times New Roman"/>
          <w:sz w:val="24"/>
          <w:szCs w:val="28"/>
        </w:rPr>
        <w:softHyphen/>
      </w:r>
      <w:r w:rsidRPr="00A35AD6">
        <w:rPr>
          <w:rFonts w:eastAsia="Calibri" w:cs="Times New Roman"/>
          <w:sz w:val="24"/>
          <w:szCs w:val="28"/>
        </w:rPr>
        <w:t>ual, his life goals are of great importance in the basis of the formation of a healthy lifestyle. It should be noted that if humanity itself does not consciously form an individual style of healthy behavior, then no orders, recommendations, can force a person to lead a healthy lifestyle, protect and strengthen their own health, and even more so to be responsible for it. It follows from this that the promotion of a healthy life</w:t>
      </w:r>
      <w:r>
        <w:rPr>
          <w:rFonts w:eastAsia="Calibri" w:cs="Times New Roman"/>
          <w:sz w:val="24"/>
          <w:szCs w:val="28"/>
        </w:rPr>
        <w:softHyphen/>
      </w:r>
      <w:r w:rsidRPr="00A35AD6">
        <w:rPr>
          <w:rFonts w:eastAsia="Calibri" w:cs="Times New Roman"/>
          <w:sz w:val="24"/>
          <w:szCs w:val="28"/>
        </w:rPr>
        <w:t>style is a very important and responsible so</w:t>
      </w:r>
      <w:r>
        <w:rPr>
          <w:rFonts w:eastAsia="Calibri" w:cs="Times New Roman"/>
          <w:sz w:val="24"/>
          <w:szCs w:val="28"/>
        </w:rPr>
        <w:softHyphen/>
      </w:r>
      <w:r w:rsidRPr="00A35AD6">
        <w:rPr>
          <w:rFonts w:eastAsia="Calibri" w:cs="Times New Roman"/>
          <w:sz w:val="24"/>
          <w:szCs w:val="28"/>
        </w:rPr>
        <w:t>cio—pedagogical task. [1].</w:t>
      </w:r>
    </w:p>
    <w:p w14:paraId="3ADD4B00"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study of practical experience and data from scientific and methodological litera</w:t>
      </w:r>
      <w:r>
        <w:rPr>
          <w:rFonts w:eastAsia="Calibri" w:cs="Times New Roman"/>
          <w:sz w:val="24"/>
          <w:szCs w:val="28"/>
        </w:rPr>
        <w:softHyphen/>
      </w:r>
      <w:r w:rsidRPr="00A35AD6">
        <w:rPr>
          <w:rFonts w:eastAsia="Calibri" w:cs="Times New Roman"/>
          <w:sz w:val="24"/>
          <w:szCs w:val="28"/>
        </w:rPr>
        <w:t>ture allowed us to put forward the following hypothesis: the use of traditional and non-tra</w:t>
      </w:r>
      <w:r>
        <w:rPr>
          <w:rFonts w:eastAsia="Calibri" w:cs="Times New Roman"/>
          <w:sz w:val="24"/>
          <w:szCs w:val="28"/>
        </w:rPr>
        <w:softHyphen/>
      </w:r>
      <w:r w:rsidRPr="00A35AD6">
        <w:rPr>
          <w:rFonts w:eastAsia="Calibri" w:cs="Times New Roman"/>
          <w:sz w:val="24"/>
          <w:szCs w:val="28"/>
        </w:rPr>
        <w:t>ditional means and forms of education with the leading role of active methods in the process of teaching valeology allows not only to form a complete picture of students' health and healthy lifestyle, but also to favorably influ</w:t>
      </w:r>
      <w:r>
        <w:rPr>
          <w:rFonts w:eastAsia="Calibri" w:cs="Times New Roman"/>
          <w:sz w:val="24"/>
          <w:szCs w:val="28"/>
        </w:rPr>
        <w:softHyphen/>
      </w:r>
      <w:r w:rsidRPr="00A35AD6">
        <w:rPr>
          <w:rFonts w:eastAsia="Calibri" w:cs="Times New Roman"/>
          <w:sz w:val="24"/>
          <w:szCs w:val="28"/>
        </w:rPr>
        <w:t>ence the formation of value orientations, struc</w:t>
      </w:r>
      <w:r>
        <w:rPr>
          <w:rFonts w:eastAsia="Calibri" w:cs="Times New Roman"/>
          <w:sz w:val="24"/>
          <w:szCs w:val="28"/>
        </w:rPr>
        <w:softHyphen/>
      </w:r>
      <w:r w:rsidRPr="00A35AD6">
        <w:rPr>
          <w:rFonts w:eastAsia="Calibri" w:cs="Times New Roman"/>
          <w:sz w:val="24"/>
          <w:szCs w:val="28"/>
        </w:rPr>
        <w:t>turing an active attitude to health and responsi</w:t>
      </w:r>
      <w:r>
        <w:rPr>
          <w:rFonts w:eastAsia="Calibri" w:cs="Times New Roman"/>
          <w:sz w:val="24"/>
          <w:szCs w:val="28"/>
        </w:rPr>
        <w:softHyphen/>
      </w:r>
      <w:r w:rsidRPr="00A35AD6">
        <w:rPr>
          <w:rFonts w:eastAsia="Calibri" w:cs="Times New Roman"/>
          <w:sz w:val="24"/>
          <w:szCs w:val="28"/>
        </w:rPr>
        <w:t>bility for their behavior [5].</w:t>
      </w:r>
    </w:p>
    <w:p w14:paraId="569319BD" w14:textId="77777777" w:rsidR="00AA571D" w:rsidRPr="00A35AD6" w:rsidRDefault="00AA571D" w:rsidP="0068419D">
      <w:pPr>
        <w:spacing w:line="276" w:lineRule="auto"/>
        <w:ind w:firstLine="567"/>
        <w:jc w:val="both"/>
        <w:rPr>
          <w:rFonts w:eastAsia="Times New Roman" w:cs="Times New Roman"/>
          <w:color w:val="000000"/>
          <w:sz w:val="24"/>
          <w:szCs w:val="28"/>
          <w:lang w:eastAsia="ru-RU"/>
        </w:rPr>
      </w:pPr>
      <w:r w:rsidRPr="00A35AD6">
        <w:rPr>
          <w:rFonts w:eastAsia="Times New Roman" w:cs="Times New Roman"/>
          <w:color w:val="000000"/>
          <w:sz w:val="24"/>
          <w:szCs w:val="28"/>
          <w:lang w:eastAsia="ru-RU"/>
        </w:rPr>
        <w:t>In order to support the healthy lifestyle of the team of employees, to create all appro</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 xml:space="preserve">priate conditions for increasing their level of physical activity, to form regular activities aimed at achieving these tasks, the following procedures have been introduced into practice: conducting industrial gymnastics exercises </w:t>
      </w:r>
      <w:r w:rsidRPr="00A35AD6">
        <w:rPr>
          <w:rFonts w:eastAsia="Times New Roman" w:cs="Times New Roman"/>
          <w:color w:val="000000"/>
          <w:sz w:val="24"/>
          <w:szCs w:val="28"/>
          <w:lang w:eastAsia="ru-RU"/>
        </w:rPr>
        <w:t>during the working day; holding at least once a week "Health Day" with participation on this day employees in sports and mass events (run</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ning, swimming, football, volleyball, basket</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ball, tennis and others); regular sports compe</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titions in popular sports among employees and other physical culture and mass events [8].</w:t>
      </w:r>
    </w:p>
    <w:p w14:paraId="644F4039" w14:textId="77777777" w:rsidR="00AA571D" w:rsidRPr="00A35AD6" w:rsidRDefault="00AA571D" w:rsidP="0068419D">
      <w:pPr>
        <w:spacing w:line="276" w:lineRule="auto"/>
        <w:ind w:firstLine="567"/>
        <w:jc w:val="both"/>
        <w:rPr>
          <w:rFonts w:eastAsia="Times New Roman" w:cs="Times New Roman"/>
          <w:color w:val="000000"/>
          <w:sz w:val="24"/>
          <w:szCs w:val="28"/>
          <w:lang w:eastAsia="ru-RU"/>
        </w:rPr>
      </w:pPr>
      <w:r w:rsidRPr="00A35AD6">
        <w:rPr>
          <w:rFonts w:eastAsia="Times New Roman" w:cs="Times New Roman"/>
          <w:color w:val="000000"/>
          <w:sz w:val="24"/>
          <w:szCs w:val="28"/>
          <w:lang w:eastAsia="ru-RU"/>
        </w:rPr>
        <w:t>In general, valeological education of stu</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dents with reduced health allows you to regu</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late the process of motivation of healthy life</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style of young people. It is necessary to take into account the dominant values and personal orientations in the minds of young people and the development of the need for health to real</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ize not only the biological, but, first of all, the social essence of a person. Motivation of the general health process in valeology and physi</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cal education classes by teaching students knowledge, skills, and skills of maintaining a healthy lifestyle is inseparably linked with the education of the individual as a whole, the for</w:t>
      </w:r>
      <w:r>
        <w:rPr>
          <w:rFonts w:eastAsia="Times New Roman" w:cs="Times New Roman"/>
          <w:color w:val="000000"/>
          <w:sz w:val="24"/>
          <w:szCs w:val="28"/>
          <w:lang w:eastAsia="ru-RU"/>
        </w:rPr>
        <w:softHyphen/>
      </w:r>
      <w:r w:rsidRPr="00A35AD6">
        <w:rPr>
          <w:rFonts w:eastAsia="Times New Roman" w:cs="Times New Roman"/>
          <w:color w:val="000000"/>
          <w:sz w:val="24"/>
          <w:szCs w:val="28"/>
          <w:lang w:eastAsia="ru-RU"/>
        </w:rPr>
        <w:t>mation of an adequate understanding of human health and individual opportunities for its preservation and development.</w:t>
      </w:r>
    </w:p>
    <w:p w14:paraId="4F5FBF5F" w14:textId="77777777" w:rsidR="00AA571D" w:rsidRPr="00A35AD6" w:rsidRDefault="00AA571D" w:rsidP="0068419D">
      <w:pPr>
        <w:autoSpaceDE w:val="0"/>
        <w:autoSpaceDN w:val="0"/>
        <w:adjustRightInd w:val="0"/>
        <w:spacing w:line="276" w:lineRule="auto"/>
        <w:ind w:firstLine="567"/>
        <w:jc w:val="both"/>
        <w:rPr>
          <w:rFonts w:eastAsia="Calibri" w:cs="Times New Roman"/>
          <w:b/>
          <w:bCs/>
          <w:sz w:val="24"/>
          <w:szCs w:val="28"/>
        </w:rPr>
      </w:pPr>
    </w:p>
    <w:p w14:paraId="273D723C" w14:textId="77777777" w:rsidR="00AA571D" w:rsidRPr="00A35AD6" w:rsidRDefault="00AA571D" w:rsidP="0068419D">
      <w:pPr>
        <w:autoSpaceDE w:val="0"/>
        <w:autoSpaceDN w:val="0"/>
        <w:adjustRightInd w:val="0"/>
        <w:spacing w:line="276" w:lineRule="auto"/>
        <w:jc w:val="center"/>
        <w:rPr>
          <w:rFonts w:eastAsia="Calibri" w:cs="Times New Roman"/>
          <w:b/>
          <w:bCs/>
          <w:sz w:val="24"/>
          <w:szCs w:val="28"/>
        </w:rPr>
      </w:pPr>
      <w:r w:rsidRPr="00A35AD6">
        <w:rPr>
          <w:rFonts w:eastAsia="Calibri" w:cs="Times New Roman"/>
          <w:b/>
          <w:bCs/>
          <w:sz w:val="24"/>
          <w:szCs w:val="28"/>
          <w:lang w:val="ru-RU"/>
        </w:rPr>
        <w:t>LIST OF LITERATURE</w:t>
      </w:r>
    </w:p>
    <w:p w14:paraId="7B542FA6" w14:textId="77777777" w:rsidR="00AA571D" w:rsidRPr="00A35AD6" w:rsidRDefault="00AA571D" w:rsidP="0068419D">
      <w:pPr>
        <w:autoSpaceDE w:val="0"/>
        <w:autoSpaceDN w:val="0"/>
        <w:adjustRightInd w:val="0"/>
        <w:spacing w:line="276" w:lineRule="auto"/>
        <w:ind w:firstLine="567"/>
        <w:jc w:val="both"/>
        <w:rPr>
          <w:rFonts w:eastAsia="Calibri" w:cs="Times New Roman"/>
          <w:b/>
          <w:bCs/>
          <w:sz w:val="24"/>
          <w:szCs w:val="28"/>
        </w:rPr>
      </w:pPr>
    </w:p>
    <w:p w14:paraId="77625B0B" w14:textId="54641558"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Abdurashitova Sh. A. Promotion of a healthy lifestyle is one of the main directions of hygienic education and education of the population // Molodoy ucheny. - 2017. - No. 7. — S. 128-131.</w:t>
      </w:r>
    </w:p>
    <w:p w14:paraId="134BB367" w14:textId="28F88360"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Adilova Z.U., Ermatova A.K. The implementation of the promotion of a healthy lifestyle by paramedical staff in primary health care. International Scientific and Practical Conference - Boston, 2018. - P. 136 -138.</w:t>
      </w:r>
    </w:p>
    <w:p w14:paraId="5A2E3A60" w14:textId="47932056"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Alekseenko S. N. Problems of the formation of a healthy lifestyle in the medical educational environment. Kuban Scientific Medical Bulletin. No. 3 (133). — Krasnodar, 2012. — S.-10–14.</w:t>
      </w:r>
    </w:p>
    <w:p w14:paraId="3A826B6A" w14:textId="14B02376"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 xml:space="preserve">Irgashev Sh. B. Formation of a healthy lifestyle or sanitary educational work. </w:t>
      </w:r>
      <w:r w:rsidRPr="0068419D">
        <w:rPr>
          <w:rFonts w:eastAsia="Times New Roman" w:cs="Times New Roman"/>
          <w:sz w:val="24"/>
          <w:szCs w:val="28"/>
          <w:shd w:val="clear" w:color="auto" w:fill="FFFFFF"/>
          <w:lang w:eastAsia="x-none"/>
        </w:rPr>
        <w:lastRenderedPageBreak/>
        <w:t>Journal “Organization and management of health care № 1 2.2010.</w:t>
      </w:r>
    </w:p>
    <w:p w14:paraId="385F829F" w14:textId="0870172A"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Pavlova I.V. Formation of valeological knowledge among students of a sports university / Materials of Int. congr. and Vseros. scientific-practical. conf. / Ed. V.V. Kolbanova. SPb., 1999.-S.140-142.</w:t>
      </w:r>
    </w:p>
    <w:p w14:paraId="4322E1AE" w14:textId="544D455E"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Decree of the President of the Republic of Uzbekistan dated March 29, 2017 No. PP-2857 “On measures to improve the organization of the activities of primary health care institutions of the Republic of Uzbekistan”.</w:t>
      </w:r>
    </w:p>
    <w:p w14:paraId="2C38BAD6" w14:textId="2EB2E6EF"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Decree of the Cabinet of Ministers of the Republic of Uzbekistan dated September 13, 2017 No. 718 “On additional measures to improve the quality of medical services, increasing responsibility for the effectiveness of preventive measures taken in primary health care institutions help."</w:t>
      </w:r>
    </w:p>
    <w:p w14:paraId="1764696E" w14:textId="2294D356"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 xml:space="preserve">Decree of the President of the Republic of Uzbekistan dated December 18, 2018 No. PP-4063 “On measures to prevent non-communicable diseases, support a healthy </w:t>
      </w:r>
      <w:r w:rsidRPr="0068419D">
        <w:rPr>
          <w:rFonts w:eastAsia="Times New Roman" w:cs="Times New Roman"/>
          <w:sz w:val="24"/>
          <w:szCs w:val="28"/>
          <w:shd w:val="clear" w:color="auto" w:fill="FFFFFF"/>
          <w:lang w:eastAsia="x-none"/>
        </w:rPr>
        <w:t>lifestyle and increase the level of physical activity of the population”.</w:t>
      </w:r>
    </w:p>
    <w:p w14:paraId="022D5198" w14:textId="4D0AE83B" w:rsidR="0068419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Otashekhov, Z. I. The role of medical workers of the polyclinic level in promoting a healthy lifestyle among the population / Z. I. Otashekhov, S. K. Alimdzhanova, K. G. Dzhalilova, Sh. Sh. Mirzarakhmedova. — Text: direct // Young scientist. - 2015. - No. 11 (91). - S. 697-699.</w:t>
      </w:r>
    </w:p>
    <w:p w14:paraId="1F9FE347" w14:textId="4DFCBF68" w:rsidR="0068419D" w:rsidRPr="004A03FB"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shd w:val="clear" w:color="auto" w:fill="FFFFFF"/>
          <w:lang w:eastAsia="x-none"/>
        </w:rPr>
      </w:pPr>
      <w:r w:rsidRPr="0068419D">
        <w:rPr>
          <w:rFonts w:eastAsia="Times New Roman" w:cs="Times New Roman"/>
          <w:sz w:val="24"/>
          <w:szCs w:val="28"/>
          <w:shd w:val="clear" w:color="auto" w:fill="FFFFFF"/>
          <w:lang w:eastAsia="x-none"/>
        </w:rPr>
        <w:t xml:space="preserve">Strakhova I.B. Valeological education as a factor in the restoration of students' health // Interexpo GEO-Siberia-2014. X Intern. scientific Congr.: Inter-dunar. scientific conf. "Global processes in the regional dimension: the experience of history and modernity": Sat. materials in 2 volumes (Novosibirsk, April 8-18, 2014). </w:t>
      </w:r>
      <w:r w:rsidRPr="00632F29">
        <w:rPr>
          <w:rFonts w:eastAsia="Times New Roman" w:cs="Times New Roman"/>
          <w:sz w:val="24"/>
          <w:szCs w:val="28"/>
          <w:shd w:val="clear" w:color="auto" w:fill="FFFFFF"/>
          <w:lang w:eastAsia="x-none"/>
        </w:rPr>
        <w:t xml:space="preserve">Novosibirsk: SSGA, 2014. V. 2. </w:t>
      </w:r>
      <w:r w:rsidRPr="004A03FB">
        <w:rPr>
          <w:rFonts w:eastAsia="Times New Roman" w:cs="Times New Roman"/>
          <w:sz w:val="24"/>
          <w:szCs w:val="28"/>
          <w:shd w:val="clear" w:color="auto" w:fill="FFFFFF"/>
          <w:lang w:eastAsia="x-none"/>
        </w:rPr>
        <w:t>S. 176–178.</w:t>
      </w:r>
    </w:p>
    <w:p w14:paraId="1CC295B8" w14:textId="04059D19" w:rsidR="00AA571D" w:rsidRPr="0068419D" w:rsidRDefault="0068419D" w:rsidP="0068419D">
      <w:pPr>
        <w:numPr>
          <w:ilvl w:val="0"/>
          <w:numId w:val="24"/>
        </w:numPr>
        <w:tabs>
          <w:tab w:val="left" w:pos="851"/>
        </w:tabs>
        <w:spacing w:line="276" w:lineRule="auto"/>
        <w:ind w:left="0" w:firstLine="284"/>
        <w:contextualSpacing/>
        <w:jc w:val="both"/>
        <w:rPr>
          <w:rFonts w:eastAsia="Times New Roman" w:cs="Times New Roman"/>
          <w:sz w:val="24"/>
          <w:szCs w:val="28"/>
          <w:lang w:eastAsia="x-none"/>
        </w:rPr>
      </w:pPr>
      <w:r w:rsidRPr="0068419D">
        <w:rPr>
          <w:rFonts w:eastAsia="Times New Roman" w:cs="Times New Roman"/>
          <w:sz w:val="24"/>
          <w:szCs w:val="28"/>
          <w:shd w:val="clear" w:color="auto" w:fill="FFFFFF"/>
          <w:lang w:eastAsia="x-none"/>
        </w:rPr>
        <w:t>Chumakova, I. N. Valeology is health through education / I. N. Chu-makova. - Text: direct // Pedagogy: traditions and innovations: materials of the V Intern. scientific conf. (Chelyabinsk, June 2014). - T. 0. - Chelyabinsk: Two Komsomol members, 2014. - S. 16-18.</w:t>
      </w:r>
      <w:r w:rsidR="00AA571D" w:rsidRPr="0068419D">
        <w:rPr>
          <w:rFonts w:eastAsia="Times New Roman" w:cs="Times New Roman"/>
          <w:sz w:val="24"/>
          <w:szCs w:val="28"/>
          <w:shd w:val="clear" w:color="auto" w:fill="F6F6F6"/>
          <w:lang w:eastAsia="x-none"/>
        </w:rPr>
        <w:t xml:space="preserve"> </w:t>
      </w:r>
    </w:p>
    <w:p w14:paraId="6FF66F8F" w14:textId="77777777" w:rsidR="00AA571D" w:rsidRPr="0068419D" w:rsidRDefault="00AA571D" w:rsidP="0068419D">
      <w:pPr>
        <w:tabs>
          <w:tab w:val="left" w:pos="851"/>
          <w:tab w:val="left" w:pos="993"/>
          <w:tab w:val="left" w:pos="1276"/>
        </w:tabs>
        <w:autoSpaceDE w:val="0"/>
        <w:autoSpaceDN w:val="0"/>
        <w:adjustRightInd w:val="0"/>
        <w:spacing w:line="276" w:lineRule="auto"/>
        <w:ind w:firstLine="567"/>
        <w:jc w:val="both"/>
        <w:rPr>
          <w:rFonts w:eastAsia="Calibri" w:cs="Times New Roman"/>
          <w:color w:val="000000"/>
          <w:sz w:val="24"/>
          <w:szCs w:val="28"/>
          <w:lang w:eastAsia="ru-RU"/>
        </w:rPr>
        <w:sectPr w:rsidR="00AA571D" w:rsidRPr="0068419D" w:rsidSect="000E51E4">
          <w:type w:val="continuous"/>
          <w:pgSz w:w="11907" w:h="16840" w:code="9"/>
          <w:pgMar w:top="1418" w:right="1134" w:bottom="1134" w:left="1134" w:header="907" w:footer="794" w:gutter="0"/>
          <w:cols w:num="2" w:space="708"/>
          <w:docGrid w:linePitch="381"/>
        </w:sectPr>
      </w:pPr>
    </w:p>
    <w:p w14:paraId="7FD32C85" w14:textId="77777777" w:rsidR="0068419D" w:rsidRDefault="0068419D" w:rsidP="0068419D">
      <w:pPr>
        <w:pStyle w:val="1"/>
      </w:pPr>
      <w:bookmarkStart w:id="41" w:name="_Toc101545857"/>
      <w:bookmarkStart w:id="42" w:name="_Toc101545907"/>
    </w:p>
    <w:p w14:paraId="6E70479F" w14:textId="77777777" w:rsidR="0068419D" w:rsidRDefault="0068419D" w:rsidP="0068419D">
      <w:pPr>
        <w:pStyle w:val="1"/>
      </w:pPr>
    </w:p>
    <w:p w14:paraId="7E248D57" w14:textId="77777777" w:rsidR="0068419D" w:rsidRDefault="0068419D" w:rsidP="0068419D">
      <w:pPr>
        <w:pStyle w:val="1"/>
      </w:pPr>
    </w:p>
    <w:p w14:paraId="0916844B" w14:textId="77777777" w:rsidR="0068419D" w:rsidRDefault="0068419D" w:rsidP="0068419D">
      <w:pPr>
        <w:pStyle w:val="1"/>
      </w:pPr>
    </w:p>
    <w:p w14:paraId="40AA6736" w14:textId="77777777" w:rsidR="0068419D" w:rsidRDefault="0068419D" w:rsidP="0068419D">
      <w:pPr>
        <w:pStyle w:val="1"/>
      </w:pPr>
    </w:p>
    <w:p w14:paraId="7C3B9051" w14:textId="77777777" w:rsidR="0068419D" w:rsidRDefault="0068419D" w:rsidP="0068419D">
      <w:pPr>
        <w:pStyle w:val="1"/>
      </w:pPr>
    </w:p>
    <w:p w14:paraId="2198644E" w14:textId="77777777" w:rsidR="0068419D" w:rsidRDefault="0068419D" w:rsidP="0068419D">
      <w:pPr>
        <w:pStyle w:val="1"/>
      </w:pPr>
    </w:p>
    <w:p w14:paraId="12FA784B" w14:textId="77777777" w:rsidR="0068419D" w:rsidRDefault="0068419D" w:rsidP="0068419D">
      <w:pPr>
        <w:pStyle w:val="1"/>
      </w:pPr>
    </w:p>
    <w:p w14:paraId="5C5B949D" w14:textId="77777777" w:rsidR="0068419D" w:rsidRDefault="0068419D" w:rsidP="0068419D">
      <w:pPr>
        <w:pStyle w:val="1"/>
      </w:pPr>
    </w:p>
    <w:p w14:paraId="6EB5BEA9" w14:textId="77777777" w:rsidR="0068419D" w:rsidRDefault="0068419D" w:rsidP="0068419D">
      <w:pPr>
        <w:pStyle w:val="1"/>
      </w:pPr>
    </w:p>
    <w:p w14:paraId="7F7A8C74" w14:textId="77777777" w:rsidR="0068419D" w:rsidRDefault="0068419D" w:rsidP="0068419D">
      <w:pPr>
        <w:pStyle w:val="1"/>
      </w:pPr>
    </w:p>
    <w:p w14:paraId="7B0FF57A" w14:textId="77777777" w:rsidR="0068419D" w:rsidRDefault="0068419D" w:rsidP="0068419D">
      <w:pPr>
        <w:pStyle w:val="1"/>
      </w:pPr>
    </w:p>
    <w:p w14:paraId="499CADC6" w14:textId="77777777" w:rsidR="0068419D" w:rsidRDefault="0068419D" w:rsidP="0068419D">
      <w:pPr>
        <w:pStyle w:val="1"/>
      </w:pPr>
    </w:p>
    <w:p w14:paraId="530C2944" w14:textId="77777777" w:rsidR="0068419D" w:rsidRDefault="0068419D" w:rsidP="0068419D">
      <w:pPr>
        <w:pStyle w:val="1"/>
      </w:pPr>
    </w:p>
    <w:p w14:paraId="23ADDA98" w14:textId="77777777" w:rsidR="0068419D" w:rsidRDefault="0068419D" w:rsidP="0068419D">
      <w:pPr>
        <w:pStyle w:val="1"/>
      </w:pPr>
    </w:p>
    <w:p w14:paraId="3F930F16" w14:textId="77777777" w:rsidR="0068419D" w:rsidRDefault="0068419D" w:rsidP="0068419D">
      <w:pPr>
        <w:pStyle w:val="1"/>
      </w:pPr>
    </w:p>
    <w:p w14:paraId="0103ECB9" w14:textId="77777777" w:rsidR="0068419D" w:rsidRDefault="0068419D" w:rsidP="0068419D">
      <w:pPr>
        <w:pStyle w:val="1"/>
      </w:pPr>
    </w:p>
    <w:p w14:paraId="3C264AA8" w14:textId="77777777" w:rsidR="0068419D" w:rsidRDefault="0068419D" w:rsidP="0068419D">
      <w:pPr>
        <w:pStyle w:val="1"/>
      </w:pPr>
    </w:p>
    <w:p w14:paraId="5009466E" w14:textId="77777777" w:rsidR="0068419D" w:rsidRDefault="0068419D" w:rsidP="0068419D">
      <w:pPr>
        <w:pStyle w:val="1"/>
      </w:pPr>
    </w:p>
    <w:p w14:paraId="5C22B83C" w14:textId="240ADE92" w:rsidR="00AA571D" w:rsidRPr="00A35AD6" w:rsidRDefault="00AA571D" w:rsidP="0068419D">
      <w:pPr>
        <w:pStyle w:val="1"/>
        <w:spacing w:line="264" w:lineRule="auto"/>
      </w:pPr>
      <w:bookmarkStart w:id="43" w:name="_Toc104745762"/>
      <w:r w:rsidRPr="00A35AD6">
        <w:lastRenderedPageBreak/>
        <w:t>TRANSLATIONAL MEDICINE - A NEW WAY FROM EXPERIMENTAL</w:t>
      </w:r>
      <w:r>
        <w:t xml:space="preserve"> </w:t>
      </w:r>
      <w:r w:rsidRPr="00757FA4">
        <w:t xml:space="preserve">                           </w:t>
      </w:r>
      <w:r w:rsidRPr="00A35AD6">
        <w:t>LABORATORY TO CLINICAL PRACTICE</w:t>
      </w:r>
      <w:bookmarkEnd w:id="41"/>
      <w:bookmarkEnd w:id="42"/>
      <w:bookmarkEnd w:id="43"/>
    </w:p>
    <w:p w14:paraId="3B02B63B" w14:textId="77777777" w:rsidR="00AA571D" w:rsidRDefault="00AA571D" w:rsidP="0068419D">
      <w:pPr>
        <w:spacing w:line="264" w:lineRule="auto"/>
        <w:jc w:val="center"/>
        <w:rPr>
          <w:rFonts w:eastAsia="Calibri" w:cs="Times New Roman"/>
          <w:sz w:val="24"/>
          <w:szCs w:val="28"/>
          <w:lang w:val="en"/>
        </w:rPr>
      </w:pPr>
    </w:p>
    <w:p w14:paraId="7215C681" w14:textId="77777777" w:rsidR="00AA571D" w:rsidRPr="00790E81" w:rsidRDefault="00AA571D" w:rsidP="0068419D">
      <w:pPr>
        <w:spacing w:line="264" w:lineRule="auto"/>
        <w:jc w:val="center"/>
        <w:rPr>
          <w:rFonts w:eastAsia="Calibri" w:cs="Times New Roman"/>
          <w:b/>
          <w:bCs/>
          <w:sz w:val="24"/>
          <w:szCs w:val="28"/>
          <w:lang w:val="en"/>
        </w:rPr>
      </w:pPr>
      <w:r w:rsidRPr="00790E81">
        <w:rPr>
          <w:rFonts w:eastAsia="Calibri" w:cs="Times New Roman"/>
          <w:b/>
          <w:bCs/>
          <w:sz w:val="24"/>
          <w:szCs w:val="28"/>
          <w:lang w:val="en"/>
        </w:rPr>
        <w:t>Shadmanov A.K., Okhunov A.O.</w:t>
      </w:r>
    </w:p>
    <w:p w14:paraId="486D313C" w14:textId="27FC1D14" w:rsidR="00AA571D" w:rsidRPr="00790E81" w:rsidRDefault="00AA571D" w:rsidP="0068419D">
      <w:pPr>
        <w:spacing w:line="264" w:lineRule="auto"/>
        <w:jc w:val="center"/>
        <w:rPr>
          <w:rFonts w:eastAsia="Calibri" w:cs="Times New Roman"/>
          <w:sz w:val="24"/>
          <w:szCs w:val="28"/>
        </w:rPr>
      </w:pPr>
      <w:r w:rsidRPr="00790E81">
        <w:rPr>
          <w:rFonts w:eastAsia="Calibri" w:cs="Times New Roman"/>
          <w:sz w:val="24"/>
          <w:szCs w:val="28"/>
          <w:lang w:val="en"/>
        </w:rPr>
        <w:t>Tashkent Medical Academy</w:t>
      </w:r>
      <w:r w:rsidR="00790E81" w:rsidRPr="00790E81">
        <w:rPr>
          <w:rFonts w:eastAsia="Calibri" w:cs="Times New Roman"/>
          <w:sz w:val="24"/>
          <w:szCs w:val="28"/>
        </w:rPr>
        <w:t>, Tashkent, Uzbekistan</w:t>
      </w:r>
    </w:p>
    <w:p w14:paraId="200693B4" w14:textId="77777777" w:rsidR="00AA571D" w:rsidRPr="00A35AD6" w:rsidRDefault="00AA571D" w:rsidP="0068419D">
      <w:pPr>
        <w:spacing w:line="264" w:lineRule="auto"/>
        <w:jc w:val="center"/>
        <w:rPr>
          <w:rFonts w:eastAsia="Calibri" w:cs="Times New Roman"/>
          <w:sz w:val="24"/>
          <w:szCs w:val="28"/>
        </w:rPr>
      </w:pPr>
    </w:p>
    <w:p w14:paraId="375D301D" w14:textId="77777777" w:rsidR="00AA571D" w:rsidRPr="00A35AD6" w:rsidRDefault="00AA571D" w:rsidP="0068419D">
      <w:pPr>
        <w:spacing w:line="264" w:lineRule="auto"/>
        <w:ind w:firstLine="567"/>
        <w:jc w:val="both"/>
        <w:rPr>
          <w:rFonts w:eastAsia="Calibri" w:cs="Times New Roman"/>
          <w:i/>
          <w:sz w:val="24"/>
          <w:szCs w:val="28"/>
          <w:lang w:val="en"/>
        </w:rPr>
      </w:pPr>
      <w:r w:rsidRPr="00A35AD6">
        <w:rPr>
          <w:rFonts w:eastAsia="Calibri" w:cs="Times New Roman"/>
          <w:i/>
          <w:sz w:val="24"/>
          <w:szCs w:val="28"/>
          <w:lang w:val="en"/>
        </w:rPr>
        <w:t>The review article presents an analysis of modern problems in the development of medical sci</w:t>
      </w:r>
      <w:r>
        <w:rPr>
          <w:rFonts w:eastAsia="Calibri" w:cs="Times New Roman"/>
          <w:i/>
          <w:sz w:val="24"/>
          <w:szCs w:val="28"/>
          <w:lang w:val="en"/>
        </w:rPr>
        <w:softHyphen/>
      </w:r>
      <w:r w:rsidRPr="00A35AD6">
        <w:rPr>
          <w:rFonts w:eastAsia="Calibri" w:cs="Times New Roman"/>
          <w:i/>
          <w:sz w:val="24"/>
          <w:szCs w:val="28"/>
          <w:lang w:val="en"/>
        </w:rPr>
        <w:t>ence. The rationale for the need to develop a new direction in science - translational medicine, by creating conditions for the active transfer of the results of fundamental research to effective medical care is presented. To date, a colossal amount of information on molecular biology has been accumu</w:t>
      </w:r>
      <w:r>
        <w:rPr>
          <w:rFonts w:eastAsia="Calibri" w:cs="Times New Roman"/>
          <w:i/>
          <w:sz w:val="24"/>
          <w:szCs w:val="28"/>
          <w:lang w:val="en"/>
        </w:rPr>
        <w:softHyphen/>
      </w:r>
      <w:r w:rsidRPr="00A35AD6">
        <w:rPr>
          <w:rFonts w:eastAsia="Calibri" w:cs="Times New Roman"/>
          <w:i/>
          <w:sz w:val="24"/>
          <w:szCs w:val="28"/>
          <w:lang w:val="en"/>
        </w:rPr>
        <w:t>lated, subtle mechanisms of regulation of metabolic processes in the body, both under physiological and pathological conditions, have been revealed, and there are clear ideas on a number of patholo</w:t>
      </w:r>
      <w:r>
        <w:rPr>
          <w:rFonts w:eastAsia="Calibri" w:cs="Times New Roman"/>
          <w:i/>
          <w:sz w:val="24"/>
          <w:szCs w:val="28"/>
          <w:lang w:val="en"/>
        </w:rPr>
        <w:softHyphen/>
      </w:r>
      <w:r w:rsidRPr="00A35AD6">
        <w:rPr>
          <w:rFonts w:eastAsia="Calibri" w:cs="Times New Roman"/>
          <w:i/>
          <w:sz w:val="24"/>
          <w:szCs w:val="28"/>
          <w:lang w:val="en"/>
        </w:rPr>
        <w:t>gies, in particular, at the molecular and cellular levels. However, many aspects of such fundamental developments still remain at the level of theoretical material. The growing gap between understand</w:t>
      </w:r>
      <w:r>
        <w:rPr>
          <w:rFonts w:eastAsia="Calibri" w:cs="Times New Roman"/>
          <w:i/>
          <w:sz w:val="24"/>
          <w:szCs w:val="28"/>
          <w:lang w:val="en"/>
        </w:rPr>
        <w:softHyphen/>
      </w:r>
      <w:r w:rsidRPr="00A35AD6">
        <w:rPr>
          <w:rFonts w:eastAsia="Calibri" w:cs="Times New Roman"/>
          <w:i/>
          <w:sz w:val="24"/>
          <w:szCs w:val="28"/>
          <w:lang w:val="en"/>
        </w:rPr>
        <w:t>ing the causes of diseases and methods of their treatment is due to the fact that scientific developments and achievements are being introduced into practice for a long time or remain completely unclaimed in practical healthcare. The reason for this gap is related to the deepening specialization of theoret</w:t>
      </w:r>
      <w:r>
        <w:rPr>
          <w:rFonts w:eastAsia="Calibri" w:cs="Times New Roman"/>
          <w:i/>
          <w:sz w:val="24"/>
          <w:szCs w:val="28"/>
          <w:lang w:val="en"/>
        </w:rPr>
        <w:softHyphen/>
      </w:r>
      <w:r w:rsidRPr="00A35AD6">
        <w:rPr>
          <w:rFonts w:eastAsia="Calibri" w:cs="Times New Roman"/>
          <w:i/>
          <w:sz w:val="24"/>
          <w:szCs w:val="28"/>
          <w:lang w:val="en"/>
        </w:rPr>
        <w:t>ical researchers and experimenters, whose activities, with the amount of knowledge and time required for this, no longer allow them to combine scientific activity with medical practice. Translational med</w:t>
      </w:r>
      <w:r>
        <w:rPr>
          <w:rFonts w:eastAsia="Calibri" w:cs="Times New Roman"/>
          <w:i/>
          <w:sz w:val="24"/>
          <w:szCs w:val="28"/>
          <w:lang w:val="en"/>
        </w:rPr>
        <w:softHyphen/>
      </w:r>
      <w:r w:rsidRPr="00A35AD6">
        <w:rPr>
          <w:rFonts w:eastAsia="Calibri" w:cs="Times New Roman"/>
          <w:i/>
          <w:sz w:val="24"/>
          <w:szCs w:val="28"/>
          <w:lang w:val="en"/>
        </w:rPr>
        <w:t>icine, as a young direction in medical science, is still at the level of its initial translational barrier, and the task is to introduce new biomedical scientific and theoretical provisions and methods to the field of clinical use as much as possible.</w:t>
      </w:r>
    </w:p>
    <w:p w14:paraId="0D0BAC91" w14:textId="77777777" w:rsidR="00AA571D" w:rsidRPr="00A35AD6" w:rsidRDefault="00AA571D" w:rsidP="0068419D">
      <w:pPr>
        <w:spacing w:line="264" w:lineRule="auto"/>
        <w:ind w:firstLine="567"/>
        <w:jc w:val="both"/>
        <w:rPr>
          <w:rFonts w:eastAsia="Calibri" w:cs="Times New Roman"/>
          <w:i/>
          <w:sz w:val="24"/>
          <w:szCs w:val="28"/>
          <w:lang w:val="en"/>
        </w:rPr>
      </w:pPr>
    </w:p>
    <w:p w14:paraId="13E7FCF6" w14:textId="77777777" w:rsidR="00AA571D" w:rsidRDefault="00AA571D" w:rsidP="0068419D">
      <w:pPr>
        <w:spacing w:line="264" w:lineRule="auto"/>
        <w:ind w:firstLine="567"/>
        <w:jc w:val="both"/>
        <w:rPr>
          <w:rFonts w:eastAsia="Calibri" w:cs="Times New Roman"/>
          <w:b/>
          <w:i/>
          <w:sz w:val="24"/>
          <w:szCs w:val="28"/>
          <w:lang w:val="en"/>
        </w:rPr>
      </w:pPr>
    </w:p>
    <w:p w14:paraId="45E02B61" w14:textId="77777777" w:rsidR="00AA571D" w:rsidRPr="00A35AD6" w:rsidRDefault="00AA571D" w:rsidP="0068419D">
      <w:pPr>
        <w:spacing w:line="264" w:lineRule="auto"/>
        <w:jc w:val="center"/>
        <w:rPr>
          <w:rFonts w:eastAsia="Calibri" w:cs="Times New Roman"/>
          <w:b/>
          <w:iCs/>
          <w:sz w:val="24"/>
          <w:szCs w:val="28"/>
          <w:lang w:val="en"/>
        </w:rPr>
      </w:pPr>
      <w:r w:rsidRPr="00A35AD6">
        <w:rPr>
          <w:rFonts w:eastAsia="Calibri" w:cs="Times New Roman"/>
          <w:b/>
          <w:iCs/>
          <w:sz w:val="24"/>
          <w:szCs w:val="28"/>
          <w:lang w:val="en"/>
        </w:rPr>
        <w:t>TARJIMA TIBBIYOTI – EKSPERIMENTAL LABORATORIYADAN KLINIK</w:t>
      </w:r>
      <w:r>
        <w:rPr>
          <w:rFonts w:eastAsia="Calibri" w:cs="Times New Roman"/>
          <w:b/>
          <w:iCs/>
          <w:sz w:val="24"/>
          <w:szCs w:val="28"/>
          <w:lang w:val="en"/>
        </w:rPr>
        <w:t xml:space="preserve"> </w:t>
      </w:r>
      <w:r w:rsidRPr="00A35AD6">
        <w:rPr>
          <w:rFonts w:eastAsia="Calibri" w:cs="Times New Roman"/>
          <w:b/>
          <w:iCs/>
          <w:sz w:val="24"/>
          <w:szCs w:val="28"/>
          <w:lang w:val="en"/>
        </w:rPr>
        <w:t>AMA</w:t>
      </w:r>
      <w:r>
        <w:rPr>
          <w:rFonts w:eastAsia="Calibri" w:cs="Times New Roman"/>
          <w:b/>
          <w:iCs/>
          <w:sz w:val="24"/>
          <w:szCs w:val="28"/>
          <w:lang w:val="en"/>
        </w:rPr>
        <w:softHyphen/>
      </w:r>
      <w:r w:rsidRPr="00A35AD6">
        <w:rPr>
          <w:rFonts w:eastAsia="Calibri" w:cs="Times New Roman"/>
          <w:b/>
          <w:iCs/>
          <w:sz w:val="24"/>
          <w:szCs w:val="28"/>
          <w:lang w:val="en"/>
        </w:rPr>
        <w:t>LIYOTGA YANGI YO‘L</w:t>
      </w:r>
    </w:p>
    <w:p w14:paraId="43ED030D" w14:textId="77777777" w:rsidR="00AA571D" w:rsidRDefault="00AA571D" w:rsidP="0068419D">
      <w:pPr>
        <w:spacing w:line="264" w:lineRule="auto"/>
        <w:jc w:val="center"/>
        <w:rPr>
          <w:rFonts w:eastAsia="Calibri" w:cs="Times New Roman"/>
          <w:iCs/>
          <w:sz w:val="24"/>
          <w:szCs w:val="28"/>
          <w:lang w:val="en"/>
        </w:rPr>
      </w:pPr>
    </w:p>
    <w:p w14:paraId="769AE941" w14:textId="77777777" w:rsidR="00AA571D" w:rsidRPr="00F52DBC" w:rsidRDefault="00AA571D" w:rsidP="0068419D">
      <w:pPr>
        <w:spacing w:line="264" w:lineRule="auto"/>
        <w:jc w:val="center"/>
        <w:rPr>
          <w:rFonts w:eastAsia="Calibri" w:cs="Times New Roman"/>
          <w:sz w:val="24"/>
          <w:szCs w:val="28"/>
          <w:lang w:val="en"/>
        </w:rPr>
      </w:pPr>
      <w:r w:rsidRPr="00F52DBC">
        <w:rPr>
          <w:rFonts w:eastAsia="Calibri" w:cs="Times New Roman"/>
          <w:b/>
          <w:bCs/>
          <w:sz w:val="24"/>
          <w:szCs w:val="28"/>
          <w:lang w:val="en"/>
        </w:rPr>
        <w:t>Shadmanov A.K., Okhunov A.O.</w:t>
      </w:r>
    </w:p>
    <w:p w14:paraId="2FF35328" w14:textId="1506AB11" w:rsidR="00AA571D" w:rsidRPr="00F52DBC" w:rsidRDefault="00AA571D" w:rsidP="0068419D">
      <w:pPr>
        <w:spacing w:line="264" w:lineRule="auto"/>
        <w:jc w:val="center"/>
        <w:rPr>
          <w:rFonts w:eastAsia="Calibri" w:cs="Times New Roman"/>
          <w:sz w:val="24"/>
          <w:szCs w:val="28"/>
          <w:lang w:val="en"/>
        </w:rPr>
      </w:pPr>
      <w:r w:rsidRPr="00F52DBC">
        <w:rPr>
          <w:rFonts w:eastAsia="Calibri" w:cs="Times New Roman"/>
          <w:sz w:val="24"/>
          <w:szCs w:val="28"/>
          <w:lang w:val="en"/>
        </w:rPr>
        <w:t>Toshkent tibbiyot akademiyasi</w:t>
      </w:r>
      <w:r w:rsidR="00790E81" w:rsidRPr="00F52DBC">
        <w:rPr>
          <w:rFonts w:eastAsia="Calibri" w:cs="Times New Roman"/>
          <w:sz w:val="24"/>
          <w:szCs w:val="28"/>
          <w:lang w:val="en"/>
        </w:rPr>
        <w:t>, Toshkent, Oʻzbekiston</w:t>
      </w:r>
    </w:p>
    <w:p w14:paraId="24C9F8C7" w14:textId="77777777" w:rsidR="00AA571D" w:rsidRDefault="00AA571D" w:rsidP="0068419D">
      <w:pPr>
        <w:spacing w:line="264" w:lineRule="auto"/>
        <w:ind w:firstLine="567"/>
        <w:jc w:val="both"/>
        <w:rPr>
          <w:rFonts w:eastAsia="Calibri" w:cs="Times New Roman"/>
          <w:i/>
          <w:sz w:val="24"/>
          <w:szCs w:val="28"/>
          <w:lang w:val="en"/>
        </w:rPr>
      </w:pPr>
    </w:p>
    <w:p w14:paraId="7359BC90" w14:textId="77777777" w:rsidR="00AA571D" w:rsidRPr="00A35AD6" w:rsidRDefault="00AA571D" w:rsidP="0068419D">
      <w:pPr>
        <w:spacing w:line="264" w:lineRule="auto"/>
        <w:ind w:firstLine="567"/>
        <w:jc w:val="both"/>
        <w:rPr>
          <w:rFonts w:eastAsia="Calibri" w:cs="Times New Roman"/>
          <w:i/>
          <w:sz w:val="24"/>
          <w:szCs w:val="28"/>
          <w:lang w:val="en"/>
        </w:rPr>
      </w:pPr>
      <w:r w:rsidRPr="00A35AD6">
        <w:rPr>
          <w:rFonts w:eastAsia="Calibri" w:cs="Times New Roman"/>
          <w:i/>
          <w:sz w:val="24"/>
          <w:szCs w:val="28"/>
          <w:lang w:val="en"/>
        </w:rPr>
        <w:t>Sharh maqolasida tibbiyot fanining rivojlanishidagi zamonaviy muammolar tahlili berilgan. Fundamental tadqiqotlar natijalarini samarali tibbiy yordamga faol o‘tkazish uchun shart-sharoit yaratib, fanning yangi yo‘nalishi – translatsion tibbiyotni rivojlantirish zarurligining asoslari ko‘rsa</w:t>
      </w:r>
      <w:r>
        <w:rPr>
          <w:rFonts w:eastAsia="Calibri" w:cs="Times New Roman"/>
          <w:i/>
          <w:sz w:val="24"/>
          <w:szCs w:val="28"/>
          <w:lang w:val="en"/>
        </w:rPr>
        <w:softHyphen/>
      </w:r>
      <w:r w:rsidRPr="00A35AD6">
        <w:rPr>
          <w:rFonts w:eastAsia="Calibri" w:cs="Times New Roman"/>
          <w:i/>
          <w:sz w:val="24"/>
          <w:szCs w:val="28"/>
          <w:lang w:val="en"/>
        </w:rPr>
        <w:t>tilgan. Bugungi kunga qadar molekulyar biologiya bo'yicha juda ko'p ma'lumotlar to'plangan, or</w:t>
      </w:r>
      <w:r>
        <w:rPr>
          <w:rFonts w:eastAsia="Calibri" w:cs="Times New Roman"/>
          <w:i/>
          <w:sz w:val="24"/>
          <w:szCs w:val="28"/>
          <w:lang w:val="en"/>
        </w:rPr>
        <w:softHyphen/>
      </w:r>
      <w:r w:rsidRPr="00A35AD6">
        <w:rPr>
          <w:rFonts w:eastAsia="Calibri" w:cs="Times New Roman"/>
          <w:i/>
          <w:sz w:val="24"/>
          <w:szCs w:val="28"/>
          <w:lang w:val="en"/>
        </w:rPr>
        <w:t>ganizmdagi metabolik jarayonlarni ham fiziologik, ham patologik sharoitlarda tartibga solishning nozik mexanizmlari aniqlangan va bir qator patologiyalar, xususan, ular haqida aniq fikrlar mavjud, molekulyar va hujayra darajasida. Biroq, bunday fundamental ishlanmalarning ko'p jihatlari hali ham nazariy material darajasida qolmoqda. Kasalliklarning sabablari va ularni davolash usullarini tushunish o'rtasidagi tafovut ilmiy ishlanmalar va yutuqlar uzoq vaqt davomida amaliyotga joriy eti</w:t>
      </w:r>
      <w:r>
        <w:rPr>
          <w:rFonts w:eastAsia="Calibri" w:cs="Times New Roman"/>
          <w:i/>
          <w:sz w:val="24"/>
          <w:szCs w:val="28"/>
          <w:lang w:val="en"/>
        </w:rPr>
        <w:softHyphen/>
      </w:r>
      <w:r w:rsidRPr="00A35AD6">
        <w:rPr>
          <w:rFonts w:eastAsia="Calibri" w:cs="Times New Roman"/>
          <w:i/>
          <w:sz w:val="24"/>
          <w:szCs w:val="28"/>
          <w:lang w:val="en"/>
        </w:rPr>
        <w:t>layotganligi yoki amaliy sog'liqni saqlashda mutlaqo talab qilinmaganligi bilan bog'liq. Ushbu bo'shliqning sababi nazariy tadqiqotchilar va eksperimentchilarning ixtisoslashuvining chuqurlash</w:t>
      </w:r>
      <w:r>
        <w:rPr>
          <w:rFonts w:eastAsia="Calibri" w:cs="Times New Roman"/>
          <w:i/>
          <w:sz w:val="24"/>
          <w:szCs w:val="28"/>
          <w:lang w:val="en"/>
        </w:rPr>
        <w:softHyphen/>
      </w:r>
      <w:r w:rsidRPr="00A35AD6">
        <w:rPr>
          <w:rFonts w:eastAsia="Calibri" w:cs="Times New Roman"/>
          <w:i/>
          <w:sz w:val="24"/>
          <w:szCs w:val="28"/>
          <w:lang w:val="en"/>
        </w:rPr>
        <w:t>ishi bilan bog'liq bo'lib, ularning faoliyati, buning uchun zarur bo'lgan bilim va vaqt miqdori endi ilmiy faoliyatni tibbiy amaliyot bilan birlashtirishga imkon bermaydi. Tarjima tibbiyoti tibbiyot fan</w:t>
      </w:r>
      <w:r>
        <w:rPr>
          <w:rFonts w:eastAsia="Calibri" w:cs="Times New Roman"/>
          <w:i/>
          <w:sz w:val="24"/>
          <w:szCs w:val="28"/>
          <w:lang w:val="en"/>
        </w:rPr>
        <w:softHyphen/>
      </w:r>
      <w:r w:rsidRPr="00A35AD6">
        <w:rPr>
          <w:rFonts w:eastAsia="Calibri" w:cs="Times New Roman"/>
          <w:i/>
          <w:sz w:val="24"/>
          <w:szCs w:val="28"/>
          <w:lang w:val="en"/>
        </w:rPr>
        <w:t>ining yosh yo‘nalishi sifatida hamon o‘zining dastlabki tarjima to‘sig‘i darajasida bo‘lib, klinik foy</w:t>
      </w:r>
      <w:r>
        <w:rPr>
          <w:rFonts w:eastAsia="Calibri" w:cs="Times New Roman"/>
          <w:i/>
          <w:sz w:val="24"/>
          <w:szCs w:val="28"/>
          <w:lang w:val="en"/>
        </w:rPr>
        <w:softHyphen/>
      </w:r>
      <w:r w:rsidRPr="00A35AD6">
        <w:rPr>
          <w:rFonts w:eastAsia="Calibri" w:cs="Times New Roman"/>
          <w:i/>
          <w:sz w:val="24"/>
          <w:szCs w:val="28"/>
          <w:lang w:val="en"/>
        </w:rPr>
        <w:t>dalanish sohasiga imkon qadar yangi biotibbiyot ilmiy-nazariy qoidalar va usullarni joriy etish va</w:t>
      </w:r>
      <w:r>
        <w:rPr>
          <w:rFonts w:eastAsia="Calibri" w:cs="Times New Roman"/>
          <w:i/>
          <w:sz w:val="24"/>
          <w:szCs w:val="28"/>
          <w:lang w:val="en"/>
        </w:rPr>
        <w:softHyphen/>
      </w:r>
      <w:r w:rsidRPr="00A35AD6">
        <w:rPr>
          <w:rFonts w:eastAsia="Calibri" w:cs="Times New Roman"/>
          <w:i/>
          <w:sz w:val="24"/>
          <w:szCs w:val="28"/>
          <w:lang w:val="en"/>
        </w:rPr>
        <w:t>zifasi qo‘yiladi.</w:t>
      </w:r>
    </w:p>
    <w:p w14:paraId="54A3CB16" w14:textId="77777777" w:rsidR="00AA571D" w:rsidRDefault="00AA571D" w:rsidP="0068419D">
      <w:pPr>
        <w:spacing w:line="276" w:lineRule="auto"/>
        <w:ind w:firstLine="567"/>
        <w:jc w:val="both"/>
        <w:rPr>
          <w:rFonts w:eastAsia="Calibri" w:cs="Times New Roman"/>
          <w:i/>
          <w:sz w:val="24"/>
          <w:szCs w:val="28"/>
          <w:lang w:val="en"/>
        </w:rPr>
      </w:pPr>
    </w:p>
    <w:p w14:paraId="00988E15" w14:textId="77777777" w:rsidR="00AA571D" w:rsidRPr="00A35AD6" w:rsidRDefault="00AA571D" w:rsidP="0068419D">
      <w:pPr>
        <w:spacing w:line="276" w:lineRule="auto"/>
        <w:jc w:val="center"/>
        <w:rPr>
          <w:rFonts w:eastAsia="Calibri" w:cs="Times New Roman"/>
          <w:b/>
          <w:iCs/>
          <w:sz w:val="24"/>
          <w:szCs w:val="28"/>
          <w:lang w:val="ru-RU"/>
        </w:rPr>
      </w:pPr>
      <w:r w:rsidRPr="00A35AD6">
        <w:rPr>
          <w:rFonts w:eastAsia="Calibri" w:cs="Times New Roman"/>
          <w:b/>
          <w:iCs/>
          <w:sz w:val="24"/>
          <w:szCs w:val="28"/>
          <w:lang w:val="ru-RU"/>
        </w:rPr>
        <w:lastRenderedPageBreak/>
        <w:t>ТРАНСЛЯЦИОННАЯ МЕДИЦИНА - НОВЫЙ ПУТЬ ОТ ЭКСПЕРИМЕНТАЛЬНОЙ ЛАБОРАТОРИИ К КЛИНИЧЕСКОЙ ПРАКТИКЕ</w:t>
      </w:r>
    </w:p>
    <w:p w14:paraId="778F6B21" w14:textId="77777777" w:rsidR="00AA571D" w:rsidRDefault="00AA571D" w:rsidP="0068419D">
      <w:pPr>
        <w:spacing w:line="276" w:lineRule="auto"/>
        <w:jc w:val="center"/>
        <w:rPr>
          <w:rFonts w:eastAsia="Calibri" w:cs="Times New Roman"/>
          <w:b/>
          <w:i/>
          <w:sz w:val="24"/>
          <w:szCs w:val="28"/>
          <w:lang w:val="ru-RU"/>
        </w:rPr>
      </w:pPr>
    </w:p>
    <w:p w14:paraId="540DD756" w14:textId="77777777" w:rsidR="00AA571D" w:rsidRPr="00F52DBC" w:rsidRDefault="00AA571D" w:rsidP="0068419D">
      <w:pPr>
        <w:spacing w:line="276" w:lineRule="auto"/>
        <w:jc w:val="center"/>
        <w:rPr>
          <w:rFonts w:eastAsia="Calibri" w:cs="Times New Roman"/>
          <w:b/>
          <w:iCs/>
          <w:sz w:val="24"/>
          <w:szCs w:val="28"/>
          <w:lang w:val="ru-RU"/>
        </w:rPr>
      </w:pPr>
      <w:r w:rsidRPr="00F52DBC">
        <w:rPr>
          <w:rFonts w:eastAsia="Calibri" w:cs="Times New Roman"/>
          <w:b/>
          <w:iCs/>
          <w:sz w:val="24"/>
          <w:szCs w:val="28"/>
          <w:lang w:val="ru-RU"/>
        </w:rPr>
        <w:t>Шадманов А.К., Охунов А.О.</w:t>
      </w:r>
    </w:p>
    <w:p w14:paraId="320AD77C" w14:textId="4168B700" w:rsidR="00AA571D" w:rsidRPr="00F52DBC" w:rsidRDefault="00AA571D" w:rsidP="0068419D">
      <w:pPr>
        <w:spacing w:line="276" w:lineRule="auto"/>
        <w:jc w:val="center"/>
        <w:rPr>
          <w:rFonts w:eastAsia="Calibri" w:cs="Times New Roman"/>
          <w:iCs/>
          <w:sz w:val="24"/>
          <w:szCs w:val="28"/>
          <w:lang w:val="ru-RU"/>
        </w:rPr>
      </w:pPr>
      <w:r w:rsidRPr="00F52DBC">
        <w:rPr>
          <w:rFonts w:eastAsia="Calibri" w:cs="Times New Roman"/>
          <w:iCs/>
          <w:sz w:val="24"/>
          <w:szCs w:val="28"/>
          <w:lang w:val="ru-RU"/>
        </w:rPr>
        <w:t>Ташкентская медицинская академия</w:t>
      </w:r>
      <w:r w:rsidR="00F52DBC" w:rsidRPr="00F52DBC">
        <w:rPr>
          <w:rFonts w:eastAsia="Calibri" w:cs="Times New Roman"/>
          <w:iCs/>
          <w:sz w:val="24"/>
          <w:szCs w:val="28"/>
          <w:lang w:val="ru-RU"/>
        </w:rPr>
        <w:t>, Ташкент, Узбекистан</w:t>
      </w:r>
    </w:p>
    <w:p w14:paraId="64F97055" w14:textId="77777777" w:rsidR="00AA571D" w:rsidRPr="00A35AD6" w:rsidRDefault="00AA571D" w:rsidP="0068419D">
      <w:pPr>
        <w:spacing w:line="276" w:lineRule="auto"/>
        <w:ind w:firstLine="567"/>
        <w:jc w:val="both"/>
        <w:rPr>
          <w:rFonts w:eastAsia="Calibri" w:cs="Times New Roman"/>
          <w:i/>
          <w:sz w:val="24"/>
          <w:szCs w:val="28"/>
          <w:lang w:val="ru-RU"/>
        </w:rPr>
      </w:pPr>
    </w:p>
    <w:p w14:paraId="5057673C" w14:textId="77777777" w:rsidR="00AA571D" w:rsidRPr="00A35AD6" w:rsidRDefault="00AA571D" w:rsidP="0068419D">
      <w:pPr>
        <w:spacing w:line="276" w:lineRule="auto"/>
        <w:ind w:firstLine="567"/>
        <w:jc w:val="both"/>
        <w:rPr>
          <w:rFonts w:eastAsia="Calibri" w:cs="Times New Roman"/>
          <w:i/>
          <w:sz w:val="24"/>
          <w:szCs w:val="28"/>
          <w:lang w:val="ru-RU"/>
        </w:rPr>
      </w:pPr>
      <w:r w:rsidRPr="00A35AD6">
        <w:rPr>
          <w:rFonts w:eastAsia="Calibri" w:cs="Times New Roman"/>
          <w:i/>
          <w:sz w:val="24"/>
          <w:szCs w:val="28"/>
          <w:lang w:val="ru-RU"/>
        </w:rPr>
        <w:t>В обзорной статье представлен анализ современных проблем развития медицинской науки. Представлено обоснование необходимости развития нового направления в науке – трансляционной медицины, путем создания условий для активного переноса результатов фундаментальных исследований в эффективную медицинскую помощь. К настоящему вре</w:t>
      </w:r>
      <w:r>
        <w:rPr>
          <w:rFonts w:eastAsia="Calibri" w:cs="Times New Roman"/>
          <w:i/>
          <w:sz w:val="24"/>
          <w:szCs w:val="28"/>
          <w:lang w:val="ru-RU"/>
        </w:rPr>
        <w:softHyphen/>
      </w:r>
      <w:r w:rsidRPr="00A35AD6">
        <w:rPr>
          <w:rFonts w:eastAsia="Calibri" w:cs="Times New Roman"/>
          <w:i/>
          <w:sz w:val="24"/>
          <w:szCs w:val="28"/>
          <w:lang w:val="ru-RU"/>
        </w:rPr>
        <w:t>мени накоплен колоссальный объем информации по молекулярной биологии, выявлены тонкие механизмы регуляции обменных процессов в организме как в физиологических, так и в пато</w:t>
      </w:r>
      <w:r>
        <w:rPr>
          <w:rFonts w:eastAsia="Calibri" w:cs="Times New Roman"/>
          <w:i/>
          <w:sz w:val="24"/>
          <w:szCs w:val="28"/>
          <w:lang w:val="ru-RU"/>
        </w:rPr>
        <w:softHyphen/>
      </w:r>
      <w:r w:rsidRPr="00A35AD6">
        <w:rPr>
          <w:rFonts w:eastAsia="Calibri" w:cs="Times New Roman"/>
          <w:i/>
          <w:sz w:val="24"/>
          <w:szCs w:val="28"/>
          <w:lang w:val="ru-RU"/>
        </w:rPr>
        <w:t>логических условиях, имеются четкие представления о ряде патологий, в частности, на мо</w:t>
      </w:r>
      <w:r>
        <w:rPr>
          <w:rFonts w:eastAsia="Calibri" w:cs="Times New Roman"/>
          <w:i/>
          <w:sz w:val="24"/>
          <w:szCs w:val="28"/>
          <w:lang w:val="ru-RU"/>
        </w:rPr>
        <w:softHyphen/>
      </w:r>
      <w:r w:rsidRPr="00A35AD6">
        <w:rPr>
          <w:rFonts w:eastAsia="Calibri" w:cs="Times New Roman"/>
          <w:i/>
          <w:sz w:val="24"/>
          <w:szCs w:val="28"/>
          <w:lang w:val="ru-RU"/>
        </w:rPr>
        <w:t>лекулярном и клеточном уровнях. Однако многие аспекты таких фундаментальных разрабо</w:t>
      </w:r>
      <w:r>
        <w:rPr>
          <w:rFonts w:eastAsia="Calibri" w:cs="Times New Roman"/>
          <w:i/>
          <w:sz w:val="24"/>
          <w:szCs w:val="28"/>
          <w:lang w:val="ru-RU"/>
        </w:rPr>
        <w:softHyphen/>
      </w:r>
      <w:r w:rsidRPr="00A35AD6">
        <w:rPr>
          <w:rFonts w:eastAsia="Calibri" w:cs="Times New Roman"/>
          <w:i/>
          <w:sz w:val="24"/>
          <w:szCs w:val="28"/>
          <w:lang w:val="ru-RU"/>
        </w:rPr>
        <w:t>ток до сих пор остаются на уровне теоретического материала. Увеличивающийся разрыв между пониманием причин болезней и методов их лечения связан с тем, что научные разра</w:t>
      </w:r>
      <w:r>
        <w:rPr>
          <w:rFonts w:eastAsia="Calibri" w:cs="Times New Roman"/>
          <w:i/>
          <w:sz w:val="24"/>
          <w:szCs w:val="28"/>
          <w:lang w:val="ru-RU"/>
        </w:rPr>
        <w:softHyphen/>
      </w:r>
      <w:r w:rsidRPr="00A35AD6">
        <w:rPr>
          <w:rFonts w:eastAsia="Calibri" w:cs="Times New Roman"/>
          <w:i/>
          <w:sz w:val="24"/>
          <w:szCs w:val="28"/>
          <w:lang w:val="ru-RU"/>
        </w:rPr>
        <w:t>ботки и достижения длительное время внедряются в практику или остаются совершенно невостребованными в практическом здравоохранении. Причина этого разрыва связана с углублением специализации исследователей-теоретиков и экспериментаторов, деятель</w:t>
      </w:r>
      <w:r>
        <w:rPr>
          <w:rFonts w:eastAsia="Calibri" w:cs="Times New Roman"/>
          <w:i/>
          <w:sz w:val="24"/>
          <w:szCs w:val="28"/>
          <w:lang w:val="ru-RU"/>
        </w:rPr>
        <w:softHyphen/>
      </w:r>
      <w:r w:rsidRPr="00A35AD6">
        <w:rPr>
          <w:rFonts w:eastAsia="Calibri" w:cs="Times New Roman"/>
          <w:i/>
          <w:sz w:val="24"/>
          <w:szCs w:val="28"/>
          <w:lang w:val="ru-RU"/>
        </w:rPr>
        <w:t>ность которых при необходимом для этого объеме знаний и времени уже не позволяет сов</w:t>
      </w:r>
      <w:r>
        <w:rPr>
          <w:rFonts w:eastAsia="Calibri" w:cs="Times New Roman"/>
          <w:i/>
          <w:sz w:val="24"/>
          <w:szCs w:val="28"/>
          <w:lang w:val="ru-RU"/>
        </w:rPr>
        <w:softHyphen/>
      </w:r>
      <w:r w:rsidRPr="00A35AD6">
        <w:rPr>
          <w:rFonts w:eastAsia="Calibri" w:cs="Times New Roman"/>
          <w:i/>
          <w:sz w:val="24"/>
          <w:szCs w:val="28"/>
          <w:lang w:val="ru-RU"/>
        </w:rPr>
        <w:t>мещать научную деятельность с врачебной практикой. Трансляционная медицина, как моло</w:t>
      </w:r>
      <w:r>
        <w:rPr>
          <w:rFonts w:eastAsia="Calibri" w:cs="Times New Roman"/>
          <w:i/>
          <w:sz w:val="24"/>
          <w:szCs w:val="28"/>
          <w:lang w:val="ru-RU"/>
        </w:rPr>
        <w:softHyphen/>
      </w:r>
      <w:r w:rsidRPr="00A35AD6">
        <w:rPr>
          <w:rFonts w:eastAsia="Calibri" w:cs="Times New Roman"/>
          <w:i/>
          <w:sz w:val="24"/>
          <w:szCs w:val="28"/>
          <w:lang w:val="ru-RU"/>
        </w:rPr>
        <w:t>дое направление в медицинской науке, пока находится на уровне своего начального трансля</w:t>
      </w:r>
      <w:r>
        <w:rPr>
          <w:rFonts w:eastAsia="Calibri" w:cs="Times New Roman"/>
          <w:i/>
          <w:sz w:val="24"/>
          <w:szCs w:val="28"/>
          <w:lang w:val="ru-RU"/>
        </w:rPr>
        <w:softHyphen/>
      </w:r>
      <w:r w:rsidRPr="00A35AD6">
        <w:rPr>
          <w:rFonts w:eastAsia="Calibri" w:cs="Times New Roman"/>
          <w:i/>
          <w:sz w:val="24"/>
          <w:szCs w:val="28"/>
          <w:lang w:val="ru-RU"/>
        </w:rPr>
        <w:t>ционного барьера, и задача состоит в максимальном внедрении новых медико-биологических научно-теоретических положений и методов в область клинического применения.</w:t>
      </w:r>
    </w:p>
    <w:p w14:paraId="44205A63" w14:textId="77777777" w:rsidR="00AA571D" w:rsidRPr="00A35AD6" w:rsidRDefault="00AA571D" w:rsidP="0068419D">
      <w:pPr>
        <w:spacing w:line="276" w:lineRule="auto"/>
        <w:ind w:firstLine="567"/>
        <w:jc w:val="both"/>
        <w:rPr>
          <w:rFonts w:eastAsia="Calibri" w:cs="Times New Roman"/>
          <w:sz w:val="24"/>
          <w:szCs w:val="28"/>
          <w:lang w:val="ru-RU"/>
        </w:rPr>
      </w:pPr>
    </w:p>
    <w:p w14:paraId="28386FE4" w14:textId="77777777" w:rsidR="00AA571D" w:rsidRPr="000B0123" w:rsidRDefault="00AA571D" w:rsidP="0068419D">
      <w:pPr>
        <w:spacing w:line="276" w:lineRule="auto"/>
        <w:ind w:firstLine="567"/>
        <w:jc w:val="both"/>
        <w:rPr>
          <w:rFonts w:eastAsia="Calibri" w:cs="Times New Roman"/>
          <w:sz w:val="24"/>
          <w:szCs w:val="28"/>
          <w:lang w:val="ru-RU"/>
        </w:rPr>
        <w:sectPr w:rsidR="00AA571D" w:rsidRPr="000B0123" w:rsidSect="001B41EC">
          <w:type w:val="continuous"/>
          <w:pgSz w:w="11907" w:h="16840" w:code="9"/>
          <w:pgMar w:top="1418" w:right="1134" w:bottom="1134" w:left="1134" w:header="907" w:footer="794" w:gutter="0"/>
          <w:cols w:space="708"/>
          <w:docGrid w:linePitch="381"/>
        </w:sectPr>
      </w:pPr>
    </w:p>
    <w:p w14:paraId="18295533"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On September 13, 1929, Alexander Fleming revealed for humanity his unique dis</w:t>
      </w:r>
      <w:r>
        <w:rPr>
          <w:rFonts w:eastAsia="Calibri" w:cs="Times New Roman"/>
          <w:sz w:val="24"/>
          <w:szCs w:val="28"/>
          <w:lang w:val="en"/>
        </w:rPr>
        <w:softHyphen/>
      </w:r>
      <w:r w:rsidRPr="00A35AD6">
        <w:rPr>
          <w:rFonts w:eastAsia="Calibri" w:cs="Times New Roman"/>
          <w:sz w:val="24"/>
          <w:szCs w:val="28"/>
          <w:lang w:val="en"/>
        </w:rPr>
        <w:t>covery - penicillin. Since then, for over a cen</w:t>
      </w:r>
      <w:r>
        <w:rPr>
          <w:rFonts w:eastAsia="Calibri" w:cs="Times New Roman"/>
          <w:sz w:val="24"/>
          <w:szCs w:val="28"/>
          <w:lang w:val="en"/>
        </w:rPr>
        <w:softHyphen/>
      </w:r>
      <w:r w:rsidRPr="00A35AD6">
        <w:rPr>
          <w:rFonts w:eastAsia="Calibri" w:cs="Times New Roman"/>
          <w:sz w:val="24"/>
          <w:szCs w:val="28"/>
          <w:lang w:val="en"/>
        </w:rPr>
        <w:t>tury now, biomedical research has been inten</w:t>
      </w:r>
      <w:r>
        <w:rPr>
          <w:rFonts w:eastAsia="Calibri" w:cs="Times New Roman"/>
          <w:sz w:val="24"/>
          <w:szCs w:val="28"/>
          <w:lang w:val="en"/>
        </w:rPr>
        <w:softHyphen/>
      </w:r>
      <w:r w:rsidRPr="00A35AD6">
        <w:rPr>
          <w:rFonts w:eastAsia="Calibri" w:cs="Times New Roman"/>
          <w:sz w:val="24"/>
          <w:szCs w:val="28"/>
          <w:lang w:val="en"/>
        </w:rPr>
        <w:t>sively developing. Unique discoveries in the field of genetics, molecular medicine and cell technology have opened up new possibilities for the fight against many diseases. Indisputa</w:t>
      </w:r>
      <w:r>
        <w:rPr>
          <w:rFonts w:eastAsia="Calibri" w:cs="Times New Roman"/>
          <w:sz w:val="24"/>
          <w:szCs w:val="28"/>
          <w:lang w:val="en"/>
        </w:rPr>
        <w:softHyphen/>
      </w:r>
      <w:r w:rsidRPr="00A35AD6">
        <w:rPr>
          <w:rFonts w:eastAsia="Calibri" w:cs="Times New Roman"/>
          <w:sz w:val="24"/>
          <w:szCs w:val="28"/>
          <w:lang w:val="en"/>
        </w:rPr>
        <w:t>ble evidence has been obtained of the mecha</w:t>
      </w:r>
      <w:r>
        <w:rPr>
          <w:rFonts w:eastAsia="Calibri" w:cs="Times New Roman"/>
          <w:sz w:val="24"/>
          <w:szCs w:val="28"/>
          <w:lang w:val="en"/>
        </w:rPr>
        <w:softHyphen/>
      </w:r>
      <w:r w:rsidRPr="00A35AD6">
        <w:rPr>
          <w:rFonts w:eastAsia="Calibri" w:cs="Times New Roman"/>
          <w:sz w:val="24"/>
          <w:szCs w:val="28"/>
          <w:lang w:val="en"/>
        </w:rPr>
        <w:t>nisms of development of a number of patholo</w:t>
      </w:r>
      <w:r>
        <w:rPr>
          <w:rFonts w:eastAsia="Calibri" w:cs="Times New Roman"/>
          <w:sz w:val="24"/>
          <w:szCs w:val="28"/>
          <w:lang w:val="en"/>
        </w:rPr>
        <w:softHyphen/>
      </w:r>
      <w:r w:rsidRPr="00A35AD6">
        <w:rPr>
          <w:rFonts w:eastAsia="Calibri" w:cs="Times New Roman"/>
          <w:sz w:val="24"/>
          <w:szCs w:val="28"/>
          <w:lang w:val="en"/>
        </w:rPr>
        <w:t>gies, which for centuries were considered a mystery of nature [26].</w:t>
      </w:r>
    </w:p>
    <w:p w14:paraId="04B63111"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Medical science has its own peculiarity, which consists in a large gap between the dis</w:t>
      </w:r>
      <w:r>
        <w:rPr>
          <w:rFonts w:eastAsia="Calibri" w:cs="Times New Roman"/>
          <w:sz w:val="24"/>
          <w:szCs w:val="28"/>
          <w:lang w:val="en"/>
        </w:rPr>
        <w:softHyphen/>
      </w:r>
      <w:r w:rsidRPr="00A35AD6">
        <w:rPr>
          <w:rFonts w:eastAsia="Calibri" w:cs="Times New Roman"/>
          <w:sz w:val="24"/>
          <w:szCs w:val="28"/>
          <w:lang w:val="en"/>
        </w:rPr>
        <w:t>coveries in fundamental research and the pos</w:t>
      </w:r>
      <w:r>
        <w:rPr>
          <w:rFonts w:eastAsia="Calibri" w:cs="Times New Roman"/>
          <w:sz w:val="24"/>
          <w:szCs w:val="28"/>
          <w:lang w:val="en"/>
        </w:rPr>
        <w:softHyphen/>
      </w:r>
      <w:r w:rsidRPr="00A35AD6">
        <w:rPr>
          <w:rFonts w:eastAsia="Calibri" w:cs="Times New Roman"/>
          <w:sz w:val="24"/>
          <w:szCs w:val="28"/>
          <w:lang w:val="en"/>
        </w:rPr>
        <w:t>sibilities of applying the results in practical public health. Of course, the accumulation of theoretical information has its positive aspects - the creation of a knowledge base. Along with this, there is a need to reduce the distance be</w:t>
      </w:r>
      <w:r>
        <w:rPr>
          <w:rFonts w:eastAsia="Calibri" w:cs="Times New Roman"/>
          <w:sz w:val="24"/>
          <w:szCs w:val="28"/>
          <w:lang w:val="en"/>
        </w:rPr>
        <w:softHyphen/>
      </w:r>
      <w:r w:rsidRPr="00A35AD6">
        <w:rPr>
          <w:rFonts w:eastAsia="Calibri" w:cs="Times New Roman"/>
          <w:sz w:val="24"/>
          <w:szCs w:val="28"/>
          <w:lang w:val="en"/>
        </w:rPr>
        <w:t>tween fundamental research and the possibili</w:t>
      </w:r>
      <w:r>
        <w:rPr>
          <w:rFonts w:eastAsia="Calibri" w:cs="Times New Roman"/>
          <w:sz w:val="24"/>
          <w:szCs w:val="28"/>
          <w:lang w:val="en"/>
        </w:rPr>
        <w:softHyphen/>
      </w:r>
      <w:r w:rsidRPr="00A35AD6">
        <w:rPr>
          <w:rFonts w:eastAsia="Calibri" w:cs="Times New Roman"/>
          <w:sz w:val="24"/>
          <w:szCs w:val="28"/>
          <w:lang w:val="en"/>
        </w:rPr>
        <w:t>ties of their application in practical public health. This served as the basis for the emer</w:t>
      </w:r>
      <w:r>
        <w:rPr>
          <w:rFonts w:eastAsia="Calibri" w:cs="Times New Roman"/>
          <w:sz w:val="24"/>
          <w:szCs w:val="28"/>
          <w:lang w:val="en"/>
        </w:rPr>
        <w:softHyphen/>
      </w:r>
      <w:r w:rsidRPr="00A35AD6">
        <w:rPr>
          <w:rFonts w:eastAsia="Calibri" w:cs="Times New Roman"/>
          <w:sz w:val="24"/>
          <w:szCs w:val="28"/>
          <w:lang w:val="en"/>
        </w:rPr>
        <w:t>gence of a new direction in science - transla</w:t>
      </w:r>
      <w:r>
        <w:rPr>
          <w:rFonts w:eastAsia="Calibri" w:cs="Times New Roman"/>
          <w:sz w:val="24"/>
          <w:szCs w:val="28"/>
          <w:lang w:val="en"/>
        </w:rPr>
        <w:softHyphen/>
      </w:r>
      <w:r w:rsidRPr="00A35AD6">
        <w:rPr>
          <w:rFonts w:eastAsia="Calibri" w:cs="Times New Roman"/>
          <w:sz w:val="24"/>
          <w:szCs w:val="28"/>
          <w:lang w:val="en"/>
        </w:rPr>
        <w:t>tional medicine, that is, the creation of condi</w:t>
      </w:r>
      <w:r>
        <w:rPr>
          <w:rFonts w:eastAsia="Calibri" w:cs="Times New Roman"/>
          <w:sz w:val="24"/>
          <w:szCs w:val="28"/>
          <w:lang w:val="en"/>
        </w:rPr>
        <w:softHyphen/>
      </w:r>
      <w:r w:rsidRPr="00A35AD6">
        <w:rPr>
          <w:rFonts w:eastAsia="Calibri" w:cs="Times New Roman"/>
          <w:sz w:val="24"/>
          <w:szCs w:val="28"/>
          <w:lang w:val="en"/>
        </w:rPr>
        <w:t>tions for the active transfer of the results of fundamental research to effective medical care. At the same time, the specification of the direction of translation acquires a new variant in the form of personalized therapy. A clear re</w:t>
      </w:r>
      <w:r>
        <w:rPr>
          <w:rFonts w:eastAsia="Calibri" w:cs="Times New Roman"/>
          <w:sz w:val="24"/>
          <w:szCs w:val="28"/>
          <w:lang w:val="en"/>
        </w:rPr>
        <w:softHyphen/>
      </w:r>
      <w:r w:rsidRPr="00A35AD6">
        <w:rPr>
          <w:rFonts w:eastAsia="Calibri" w:cs="Times New Roman"/>
          <w:sz w:val="24"/>
          <w:szCs w:val="28"/>
          <w:lang w:val="en"/>
        </w:rPr>
        <w:t>lationship is created between the scientific la</w:t>
      </w:r>
      <w:r>
        <w:rPr>
          <w:rFonts w:eastAsia="Calibri" w:cs="Times New Roman"/>
          <w:sz w:val="24"/>
          <w:szCs w:val="28"/>
          <w:lang w:val="en"/>
        </w:rPr>
        <w:softHyphen/>
      </w:r>
      <w:r w:rsidRPr="00A35AD6">
        <w:rPr>
          <w:rFonts w:eastAsia="Calibri" w:cs="Times New Roman"/>
          <w:sz w:val="24"/>
          <w:szCs w:val="28"/>
          <w:lang w:val="en"/>
        </w:rPr>
        <w:t>boratory and the patient's bedside in nature from theory to treatment and from treatment to theory ("Bench-to-Bedside" and "Bedside-to-Bench"). In other words, translational medi</w:t>
      </w:r>
      <w:r>
        <w:rPr>
          <w:rFonts w:eastAsia="Calibri" w:cs="Times New Roman"/>
          <w:sz w:val="24"/>
          <w:szCs w:val="28"/>
          <w:lang w:val="en"/>
        </w:rPr>
        <w:softHyphen/>
      </w:r>
      <w:r w:rsidRPr="00A35AD6">
        <w:rPr>
          <w:rFonts w:eastAsia="Calibri" w:cs="Times New Roman"/>
          <w:sz w:val="24"/>
          <w:szCs w:val="28"/>
          <w:lang w:val="en"/>
        </w:rPr>
        <w:t>cine is an interdisciplinary medicine based on the achievements of physiology, molecular bi</w:t>
      </w:r>
      <w:r>
        <w:rPr>
          <w:rFonts w:eastAsia="Calibri" w:cs="Times New Roman"/>
          <w:sz w:val="24"/>
          <w:szCs w:val="28"/>
          <w:lang w:val="en"/>
        </w:rPr>
        <w:softHyphen/>
      </w:r>
      <w:r w:rsidRPr="00A35AD6">
        <w:rPr>
          <w:rFonts w:eastAsia="Calibri" w:cs="Times New Roman"/>
          <w:sz w:val="24"/>
          <w:szCs w:val="28"/>
          <w:lang w:val="en"/>
        </w:rPr>
        <w:t>ology, genetics and medicine and created to ensure high efficiency in the provision of med</w:t>
      </w:r>
      <w:r>
        <w:rPr>
          <w:rFonts w:eastAsia="Calibri" w:cs="Times New Roman"/>
          <w:sz w:val="24"/>
          <w:szCs w:val="28"/>
          <w:lang w:val="en"/>
        </w:rPr>
        <w:softHyphen/>
      </w:r>
      <w:r w:rsidRPr="00A35AD6">
        <w:rPr>
          <w:rFonts w:eastAsia="Calibri" w:cs="Times New Roman"/>
          <w:sz w:val="24"/>
          <w:szCs w:val="28"/>
          <w:lang w:val="en"/>
        </w:rPr>
        <w:t>ical services [1,3,8,11].</w:t>
      </w:r>
    </w:p>
    <w:p w14:paraId="5C84FABE"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lastRenderedPageBreak/>
        <w:t>Initially, the term translational research was known, which was proposed in 1986 [11,12,15]. Subsequently, in the light of the de</w:t>
      </w:r>
      <w:r>
        <w:rPr>
          <w:rFonts w:eastAsia="Calibri" w:cs="Times New Roman"/>
          <w:sz w:val="24"/>
          <w:szCs w:val="28"/>
          <w:lang w:val="en"/>
        </w:rPr>
        <w:softHyphen/>
      </w:r>
      <w:r w:rsidRPr="00A35AD6">
        <w:rPr>
          <w:rFonts w:eastAsia="Calibri" w:cs="Times New Roman"/>
          <w:sz w:val="24"/>
          <w:szCs w:val="28"/>
          <w:lang w:val="en"/>
        </w:rPr>
        <w:t>velopment of the direction of development by the practical aspect of the introduction of theo</w:t>
      </w:r>
      <w:r>
        <w:rPr>
          <w:rFonts w:eastAsia="Calibri" w:cs="Times New Roman"/>
          <w:sz w:val="24"/>
          <w:szCs w:val="28"/>
          <w:lang w:val="en"/>
        </w:rPr>
        <w:softHyphen/>
      </w:r>
      <w:r w:rsidRPr="00A35AD6">
        <w:rPr>
          <w:rFonts w:eastAsia="Calibri" w:cs="Times New Roman"/>
          <w:sz w:val="24"/>
          <w:szCs w:val="28"/>
          <w:lang w:val="en"/>
        </w:rPr>
        <w:t>retical developments into practical healthcare (new methods of diagnosis, prognosis, treat</w:t>
      </w:r>
      <w:r>
        <w:rPr>
          <w:rFonts w:eastAsia="Calibri" w:cs="Times New Roman"/>
          <w:sz w:val="24"/>
          <w:szCs w:val="28"/>
          <w:lang w:val="en"/>
        </w:rPr>
        <w:softHyphen/>
      </w:r>
      <w:r w:rsidRPr="00A35AD6">
        <w:rPr>
          <w:rFonts w:eastAsia="Calibri" w:cs="Times New Roman"/>
          <w:sz w:val="24"/>
          <w:szCs w:val="28"/>
          <w:lang w:val="en"/>
        </w:rPr>
        <w:t>ment, prevention, etc.), this direction acquired a more specific definition as translational med</w:t>
      </w:r>
      <w:r>
        <w:rPr>
          <w:rFonts w:eastAsia="Calibri" w:cs="Times New Roman"/>
          <w:sz w:val="24"/>
          <w:szCs w:val="28"/>
          <w:lang w:val="en"/>
        </w:rPr>
        <w:softHyphen/>
      </w:r>
      <w:r w:rsidRPr="00A35AD6">
        <w:rPr>
          <w:rFonts w:eastAsia="Calibri" w:cs="Times New Roman"/>
          <w:sz w:val="24"/>
          <w:szCs w:val="28"/>
          <w:lang w:val="en"/>
        </w:rPr>
        <w:t>icine. At the same time, in 2010, the definition of translational medicine was already intro</w:t>
      </w:r>
      <w:r>
        <w:rPr>
          <w:rFonts w:eastAsia="Calibri" w:cs="Times New Roman"/>
          <w:sz w:val="24"/>
          <w:szCs w:val="28"/>
          <w:lang w:val="en"/>
        </w:rPr>
        <w:softHyphen/>
      </w:r>
      <w:r w:rsidRPr="00A35AD6">
        <w:rPr>
          <w:rFonts w:eastAsia="Calibri" w:cs="Times New Roman"/>
          <w:sz w:val="24"/>
          <w:szCs w:val="28"/>
          <w:lang w:val="en"/>
        </w:rPr>
        <w:t>duced as a method of applying experimental discoveries to clinical research.</w:t>
      </w:r>
    </w:p>
    <w:p w14:paraId="7494333F"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As you know, the main goal of scientific and practical medicine is to improve the results of treatment of patients by conducting funda</w:t>
      </w:r>
      <w:r>
        <w:rPr>
          <w:rFonts w:eastAsia="Calibri" w:cs="Times New Roman"/>
          <w:sz w:val="24"/>
          <w:szCs w:val="28"/>
          <w:lang w:val="en"/>
        </w:rPr>
        <w:softHyphen/>
      </w:r>
      <w:r w:rsidRPr="00A35AD6">
        <w:rPr>
          <w:rFonts w:eastAsia="Calibri" w:cs="Times New Roman"/>
          <w:sz w:val="24"/>
          <w:szCs w:val="28"/>
          <w:lang w:val="en"/>
        </w:rPr>
        <w:t>mental research, determining the biological patterns of the relationship between systems and structures of the body. It was the discover</w:t>
      </w:r>
      <w:r>
        <w:rPr>
          <w:rFonts w:eastAsia="Calibri" w:cs="Times New Roman"/>
          <w:sz w:val="24"/>
          <w:szCs w:val="28"/>
          <w:lang w:val="en"/>
        </w:rPr>
        <w:softHyphen/>
      </w:r>
      <w:r w:rsidRPr="00A35AD6">
        <w:rPr>
          <w:rFonts w:eastAsia="Calibri" w:cs="Times New Roman"/>
          <w:sz w:val="24"/>
          <w:szCs w:val="28"/>
          <w:lang w:val="en"/>
        </w:rPr>
        <w:t>ies in the development of antibiotics and vac</w:t>
      </w:r>
      <w:r>
        <w:rPr>
          <w:rFonts w:eastAsia="Calibri" w:cs="Times New Roman"/>
          <w:sz w:val="24"/>
          <w:szCs w:val="28"/>
          <w:lang w:val="en"/>
        </w:rPr>
        <w:softHyphen/>
      </w:r>
      <w:r w:rsidRPr="00A35AD6">
        <w:rPr>
          <w:rFonts w:eastAsia="Calibri" w:cs="Times New Roman"/>
          <w:sz w:val="24"/>
          <w:szCs w:val="28"/>
          <w:lang w:val="en"/>
        </w:rPr>
        <w:t>cines, understanding the mechanisms of re</w:t>
      </w:r>
      <w:r>
        <w:rPr>
          <w:rFonts w:eastAsia="Calibri" w:cs="Times New Roman"/>
          <w:sz w:val="24"/>
          <w:szCs w:val="28"/>
          <w:lang w:val="en"/>
        </w:rPr>
        <w:softHyphen/>
      </w:r>
      <w:r w:rsidRPr="00A35AD6">
        <w:rPr>
          <w:rFonts w:eastAsia="Calibri" w:cs="Times New Roman"/>
          <w:sz w:val="24"/>
          <w:szCs w:val="28"/>
          <w:lang w:val="en"/>
        </w:rPr>
        <w:t>structuring of the body in complex biological situations, the invention of anesthesia, the prin</w:t>
      </w:r>
      <w:r>
        <w:rPr>
          <w:rFonts w:eastAsia="Calibri" w:cs="Times New Roman"/>
          <w:sz w:val="24"/>
          <w:szCs w:val="28"/>
          <w:lang w:val="en"/>
        </w:rPr>
        <w:softHyphen/>
      </w:r>
      <w:r w:rsidRPr="00A35AD6">
        <w:rPr>
          <w:rFonts w:eastAsia="Calibri" w:cs="Times New Roman"/>
          <w:sz w:val="24"/>
          <w:szCs w:val="28"/>
          <w:lang w:val="en"/>
        </w:rPr>
        <w:t>ciples of asepsis and antiseptics that made it possible to make a breakthrough in the medical industry. All this served as the basis for the for</w:t>
      </w:r>
      <w:r>
        <w:rPr>
          <w:rFonts w:eastAsia="Calibri" w:cs="Times New Roman"/>
          <w:sz w:val="24"/>
          <w:szCs w:val="28"/>
          <w:lang w:val="en"/>
        </w:rPr>
        <w:softHyphen/>
      </w:r>
      <w:r w:rsidRPr="00A35AD6">
        <w:rPr>
          <w:rFonts w:eastAsia="Calibri" w:cs="Times New Roman"/>
          <w:sz w:val="24"/>
          <w:szCs w:val="28"/>
          <w:lang w:val="en"/>
        </w:rPr>
        <w:t>mation of the direction of biomedical sciences, which cooperates in its foundation with such areas as molecular medicine, genetics, cell technology, genomics, metabolism, etc. [17,19,20,23].</w:t>
      </w:r>
    </w:p>
    <w:p w14:paraId="747EEB20"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Translational medicine is "a new field of knowledge that integrates elements of patho</w:t>
      </w:r>
      <w:r>
        <w:rPr>
          <w:rFonts w:eastAsia="Calibri" w:cs="Times New Roman"/>
          <w:sz w:val="24"/>
          <w:szCs w:val="28"/>
          <w:lang w:val="en"/>
        </w:rPr>
        <w:softHyphen/>
      </w:r>
      <w:r w:rsidRPr="00A35AD6">
        <w:rPr>
          <w:rFonts w:eastAsia="Calibri" w:cs="Times New Roman"/>
          <w:sz w:val="24"/>
          <w:szCs w:val="28"/>
          <w:lang w:val="en"/>
        </w:rPr>
        <w:t xml:space="preserve">physiology and approaches to the development of new therapeutic and diagnostic tools." It is "an evolving field of knowledge that focuses on using what is revealed in preclinical studies to bring ingenious and effective new steps in the clinic." Given the enrichment of theoretical knowledge through information from clinical observations, translational medicine is defined both as an all-encompassing scientific process that links basic research with clinical results, and as “a shift in the system of concepts in the </w:t>
      </w:r>
      <w:r w:rsidRPr="00A35AD6">
        <w:rPr>
          <w:rFonts w:eastAsia="Calibri" w:cs="Times New Roman"/>
          <w:sz w:val="24"/>
          <w:szCs w:val="28"/>
          <w:lang w:val="en"/>
        </w:rPr>
        <w:t>tactics of new drug development, pharmaceu</w:t>
      </w:r>
      <w:r>
        <w:rPr>
          <w:rFonts w:eastAsia="Calibri" w:cs="Times New Roman"/>
          <w:sz w:val="24"/>
          <w:szCs w:val="28"/>
          <w:lang w:val="en"/>
        </w:rPr>
        <w:softHyphen/>
      </w:r>
      <w:r w:rsidRPr="00A35AD6">
        <w:rPr>
          <w:rFonts w:eastAsia="Calibri" w:cs="Times New Roman"/>
          <w:sz w:val="24"/>
          <w:szCs w:val="28"/>
          <w:lang w:val="en"/>
        </w:rPr>
        <w:t>tical economics and patient care” [28 , 29].</w:t>
      </w:r>
    </w:p>
    <w:p w14:paraId="440F128D"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To date, a colossal amount of infor</w:t>
      </w:r>
      <w:r>
        <w:rPr>
          <w:rFonts w:eastAsia="Calibri" w:cs="Times New Roman"/>
          <w:sz w:val="24"/>
          <w:szCs w:val="28"/>
          <w:lang w:val="en"/>
        </w:rPr>
        <w:softHyphen/>
      </w:r>
      <w:r w:rsidRPr="00A35AD6">
        <w:rPr>
          <w:rFonts w:eastAsia="Calibri" w:cs="Times New Roman"/>
          <w:sz w:val="24"/>
          <w:szCs w:val="28"/>
          <w:lang w:val="en"/>
        </w:rPr>
        <w:t>mation on molecular biology has been accu</w:t>
      </w:r>
      <w:r>
        <w:rPr>
          <w:rFonts w:eastAsia="Calibri" w:cs="Times New Roman"/>
          <w:sz w:val="24"/>
          <w:szCs w:val="28"/>
          <w:lang w:val="en"/>
        </w:rPr>
        <w:softHyphen/>
      </w:r>
      <w:r w:rsidRPr="00A35AD6">
        <w:rPr>
          <w:rFonts w:eastAsia="Calibri" w:cs="Times New Roman"/>
          <w:sz w:val="24"/>
          <w:szCs w:val="28"/>
          <w:lang w:val="en"/>
        </w:rPr>
        <w:t>mulated, subtle mechanisms of regulation of metabolic processes in the body, both under physiological and pathological conditions, have been revealed, and there are clear ideas on a number of pathologies, in particular, at the molecular and cellular levels. However, many aspects of such fundamental developments still remain at the level of theoretical material. The growing gap between understanding the causes of diseases and methods of their treatment is due to the fact that scientific developments and achievements are being introduced into prac</w:t>
      </w:r>
      <w:r>
        <w:rPr>
          <w:rFonts w:eastAsia="Calibri" w:cs="Times New Roman"/>
          <w:sz w:val="24"/>
          <w:szCs w:val="28"/>
          <w:lang w:val="en"/>
        </w:rPr>
        <w:softHyphen/>
      </w:r>
      <w:r w:rsidRPr="00A35AD6">
        <w:rPr>
          <w:rFonts w:eastAsia="Calibri" w:cs="Times New Roman"/>
          <w:sz w:val="24"/>
          <w:szCs w:val="28"/>
          <w:lang w:val="en"/>
        </w:rPr>
        <w:t>tice for a long time or remain completely un</w:t>
      </w:r>
      <w:r>
        <w:rPr>
          <w:rFonts w:eastAsia="Calibri" w:cs="Times New Roman"/>
          <w:sz w:val="24"/>
          <w:szCs w:val="28"/>
          <w:lang w:val="en"/>
        </w:rPr>
        <w:softHyphen/>
      </w:r>
      <w:r w:rsidRPr="00A35AD6">
        <w:rPr>
          <w:rFonts w:eastAsia="Calibri" w:cs="Times New Roman"/>
          <w:sz w:val="24"/>
          <w:szCs w:val="28"/>
          <w:lang w:val="en"/>
        </w:rPr>
        <w:t>claimed in practical healthcare. The reason for this gap is related to the deepening specializa</w:t>
      </w:r>
      <w:r>
        <w:rPr>
          <w:rFonts w:eastAsia="Calibri" w:cs="Times New Roman"/>
          <w:sz w:val="24"/>
          <w:szCs w:val="28"/>
          <w:lang w:val="en"/>
        </w:rPr>
        <w:softHyphen/>
      </w:r>
      <w:r w:rsidRPr="00A35AD6">
        <w:rPr>
          <w:rFonts w:eastAsia="Calibri" w:cs="Times New Roman"/>
          <w:sz w:val="24"/>
          <w:szCs w:val="28"/>
          <w:lang w:val="en"/>
        </w:rPr>
        <w:t>tion of theoretical researchers and experiment</w:t>
      </w:r>
      <w:r>
        <w:rPr>
          <w:rFonts w:eastAsia="Calibri" w:cs="Times New Roman"/>
          <w:sz w:val="24"/>
          <w:szCs w:val="28"/>
          <w:lang w:val="en"/>
        </w:rPr>
        <w:softHyphen/>
      </w:r>
      <w:r w:rsidRPr="00A35AD6">
        <w:rPr>
          <w:rFonts w:eastAsia="Calibri" w:cs="Times New Roman"/>
          <w:sz w:val="24"/>
          <w:szCs w:val="28"/>
          <w:lang w:val="en"/>
        </w:rPr>
        <w:t>ers, whose activities, with the amount of knowledge and time required for this, no longer allow them to combine scientific activ</w:t>
      </w:r>
      <w:r>
        <w:rPr>
          <w:rFonts w:eastAsia="Calibri" w:cs="Times New Roman"/>
          <w:sz w:val="24"/>
          <w:szCs w:val="28"/>
          <w:lang w:val="en"/>
        </w:rPr>
        <w:softHyphen/>
      </w:r>
      <w:r w:rsidRPr="00A35AD6">
        <w:rPr>
          <w:rFonts w:eastAsia="Calibri" w:cs="Times New Roman"/>
          <w:sz w:val="24"/>
          <w:szCs w:val="28"/>
          <w:lang w:val="en"/>
        </w:rPr>
        <w:t>ity with medical practice. At the same time, the development of certain theoretical areas of bi</w:t>
      </w:r>
      <w:r>
        <w:rPr>
          <w:rFonts w:eastAsia="Calibri" w:cs="Times New Roman"/>
          <w:sz w:val="24"/>
          <w:szCs w:val="28"/>
          <w:lang w:val="en"/>
        </w:rPr>
        <w:softHyphen/>
      </w:r>
      <w:r w:rsidRPr="00A35AD6">
        <w:rPr>
          <w:rFonts w:eastAsia="Calibri" w:cs="Times New Roman"/>
          <w:sz w:val="24"/>
          <w:szCs w:val="28"/>
          <w:lang w:val="en"/>
        </w:rPr>
        <w:t>omedical knowledge, the accumulation of an increasing amount of scientific information makes it difficult to understand, perceive, and even more so the possibility of using this infor</w:t>
      </w:r>
      <w:r>
        <w:rPr>
          <w:rFonts w:eastAsia="Calibri" w:cs="Times New Roman"/>
          <w:sz w:val="24"/>
          <w:szCs w:val="28"/>
          <w:lang w:val="en"/>
        </w:rPr>
        <w:softHyphen/>
      </w:r>
      <w:r w:rsidRPr="00A35AD6">
        <w:rPr>
          <w:rFonts w:eastAsia="Calibri" w:cs="Times New Roman"/>
          <w:sz w:val="24"/>
          <w:szCs w:val="28"/>
          <w:lang w:val="en"/>
        </w:rPr>
        <w:t>mation by practitioners working “at the pa</w:t>
      </w:r>
      <w:r>
        <w:rPr>
          <w:rFonts w:eastAsia="Calibri" w:cs="Times New Roman"/>
          <w:sz w:val="24"/>
          <w:szCs w:val="28"/>
          <w:lang w:val="en"/>
        </w:rPr>
        <w:softHyphen/>
      </w:r>
      <w:r w:rsidRPr="00A35AD6">
        <w:rPr>
          <w:rFonts w:eastAsia="Calibri" w:cs="Times New Roman"/>
          <w:sz w:val="24"/>
          <w:szCs w:val="28"/>
          <w:lang w:val="en"/>
        </w:rPr>
        <w:t>tient’s bedside” [5,26].</w:t>
      </w:r>
    </w:p>
    <w:p w14:paraId="114782AB"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This implies the need to train specialists who combine the professional competence of a “clinician” and a “researcher”, in contrast to the classical model of medical education, which concentrated resources on training in a real clinical situation without recognizing the essential role of an integrated interdisciplinary approach. Awareness of this situation by spe</w:t>
      </w:r>
      <w:r>
        <w:rPr>
          <w:rFonts w:eastAsia="Calibri" w:cs="Times New Roman"/>
          <w:sz w:val="24"/>
          <w:szCs w:val="28"/>
          <w:lang w:val="en"/>
        </w:rPr>
        <w:softHyphen/>
      </w:r>
      <w:r w:rsidRPr="00A35AD6">
        <w:rPr>
          <w:rFonts w:eastAsia="Calibri" w:cs="Times New Roman"/>
          <w:sz w:val="24"/>
          <w:szCs w:val="28"/>
          <w:lang w:val="en"/>
        </w:rPr>
        <w:t>cialists in many countries in the field of health care or, rather, in the field of organization of medical science, medical education and practi</w:t>
      </w:r>
      <w:r>
        <w:rPr>
          <w:rFonts w:eastAsia="Calibri" w:cs="Times New Roman"/>
          <w:sz w:val="24"/>
          <w:szCs w:val="28"/>
          <w:lang w:val="en"/>
        </w:rPr>
        <w:softHyphen/>
      </w:r>
      <w:r w:rsidRPr="00A35AD6">
        <w:rPr>
          <w:rFonts w:eastAsia="Calibri" w:cs="Times New Roman"/>
          <w:sz w:val="24"/>
          <w:szCs w:val="28"/>
          <w:lang w:val="en"/>
        </w:rPr>
        <w:t>cal medicine led to the conclusion that it is nec</w:t>
      </w:r>
      <w:r>
        <w:rPr>
          <w:rFonts w:eastAsia="Calibri" w:cs="Times New Roman"/>
          <w:sz w:val="24"/>
          <w:szCs w:val="28"/>
          <w:lang w:val="en"/>
        </w:rPr>
        <w:softHyphen/>
      </w:r>
      <w:r w:rsidRPr="00A35AD6">
        <w:rPr>
          <w:rFonts w:eastAsia="Calibri" w:cs="Times New Roman"/>
          <w:sz w:val="24"/>
          <w:szCs w:val="28"/>
          <w:lang w:val="en"/>
        </w:rPr>
        <w:t xml:space="preserve">essary to transfer (translate) modern theoretical </w:t>
      </w:r>
      <w:r w:rsidRPr="00A35AD6">
        <w:rPr>
          <w:rFonts w:eastAsia="Calibri" w:cs="Times New Roman"/>
          <w:sz w:val="24"/>
          <w:szCs w:val="28"/>
          <w:lang w:val="en"/>
        </w:rPr>
        <w:lastRenderedPageBreak/>
        <w:t>provisions of medicine to real medical care for a particular patient.</w:t>
      </w:r>
    </w:p>
    <w:p w14:paraId="7F6C8C9F"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The definitions of the concept of transla</w:t>
      </w:r>
      <w:r>
        <w:rPr>
          <w:rFonts w:eastAsia="Calibri" w:cs="Times New Roman"/>
          <w:sz w:val="24"/>
          <w:szCs w:val="28"/>
          <w:lang w:val="en"/>
        </w:rPr>
        <w:softHyphen/>
      </w:r>
      <w:r w:rsidRPr="00A35AD6">
        <w:rPr>
          <w:rFonts w:eastAsia="Calibri" w:cs="Times New Roman"/>
          <w:sz w:val="24"/>
          <w:szCs w:val="28"/>
          <w:lang w:val="en"/>
        </w:rPr>
        <w:t>tional medicine are somewhat different for dif</w:t>
      </w:r>
      <w:r>
        <w:rPr>
          <w:rFonts w:eastAsia="Calibri" w:cs="Times New Roman"/>
          <w:sz w:val="24"/>
          <w:szCs w:val="28"/>
          <w:lang w:val="en"/>
        </w:rPr>
        <w:softHyphen/>
      </w:r>
      <w:r w:rsidRPr="00A35AD6">
        <w:rPr>
          <w:rFonts w:eastAsia="Calibri" w:cs="Times New Roman"/>
          <w:sz w:val="24"/>
          <w:szCs w:val="28"/>
          <w:lang w:val="en"/>
        </w:rPr>
        <w:t>ferent authors, which, in all likelihood, is due to its initial versatility and breadth, which makes it possible to predominantly focus on its various aspects. According to some authors, this concept is nothing but a new term. How</w:t>
      </w:r>
      <w:r>
        <w:rPr>
          <w:rFonts w:eastAsia="Calibri" w:cs="Times New Roman"/>
          <w:sz w:val="24"/>
          <w:szCs w:val="28"/>
          <w:lang w:val="en"/>
        </w:rPr>
        <w:softHyphen/>
      </w:r>
      <w:r w:rsidRPr="00A35AD6">
        <w:rPr>
          <w:rFonts w:eastAsia="Calibri" w:cs="Times New Roman"/>
          <w:sz w:val="24"/>
          <w:szCs w:val="28"/>
          <w:lang w:val="en"/>
        </w:rPr>
        <w:t>ever, one cannot but agree that the practicing physician and the researcher in the field of medicine are now so far apart from each other that it has become necessary to create a special strategy aimed at building "crossings" between them. It is these tasks that translational medi</w:t>
      </w:r>
      <w:r>
        <w:rPr>
          <w:rFonts w:eastAsia="Calibri" w:cs="Times New Roman"/>
          <w:sz w:val="24"/>
          <w:szCs w:val="28"/>
          <w:lang w:val="en"/>
        </w:rPr>
        <w:softHyphen/>
      </w:r>
      <w:r w:rsidRPr="00A35AD6">
        <w:rPr>
          <w:rFonts w:eastAsia="Calibri" w:cs="Times New Roman"/>
          <w:sz w:val="24"/>
          <w:szCs w:val="28"/>
          <w:lang w:val="en"/>
        </w:rPr>
        <w:t>cine is designed to solve, the purpose of which, like medicine in general, is to increase the effi</w:t>
      </w:r>
      <w:r>
        <w:rPr>
          <w:rFonts w:eastAsia="Calibri" w:cs="Times New Roman"/>
          <w:sz w:val="24"/>
          <w:szCs w:val="28"/>
          <w:lang w:val="en"/>
        </w:rPr>
        <w:softHyphen/>
      </w:r>
      <w:r w:rsidRPr="00A35AD6">
        <w:rPr>
          <w:rFonts w:eastAsia="Calibri" w:cs="Times New Roman"/>
          <w:sz w:val="24"/>
          <w:szCs w:val="28"/>
          <w:lang w:val="en"/>
        </w:rPr>
        <w:t>ciency and effectiveness of therapy aimed at improving the quality of life and/or its dura</w:t>
      </w:r>
      <w:r>
        <w:rPr>
          <w:rFonts w:eastAsia="Calibri" w:cs="Times New Roman"/>
          <w:sz w:val="24"/>
          <w:szCs w:val="28"/>
          <w:lang w:val="en"/>
        </w:rPr>
        <w:softHyphen/>
      </w:r>
      <w:r w:rsidRPr="00A35AD6">
        <w:rPr>
          <w:rFonts w:eastAsia="Calibri" w:cs="Times New Roman"/>
          <w:sz w:val="24"/>
          <w:szCs w:val="28"/>
          <w:lang w:val="en"/>
        </w:rPr>
        <w:t>tion.</w:t>
      </w:r>
    </w:p>
    <w:p w14:paraId="025B99F0"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It should be emphasized that the concept of translational medicine is broader than "translational research", since along with them, it also includes the organizational side: the in</w:t>
      </w:r>
      <w:r>
        <w:rPr>
          <w:rFonts w:eastAsia="Calibri" w:cs="Times New Roman"/>
          <w:sz w:val="24"/>
          <w:szCs w:val="28"/>
          <w:lang w:val="en"/>
        </w:rPr>
        <w:softHyphen/>
      </w:r>
      <w:r w:rsidRPr="00A35AD6">
        <w:rPr>
          <w:rFonts w:eastAsia="Calibri" w:cs="Times New Roman"/>
          <w:sz w:val="24"/>
          <w:szCs w:val="28"/>
          <w:lang w:val="en"/>
        </w:rPr>
        <w:t>troduction of changes in medical education, in the organization of the pharmaceutical indus</w:t>
      </w:r>
      <w:r>
        <w:rPr>
          <w:rFonts w:eastAsia="Calibri" w:cs="Times New Roman"/>
          <w:sz w:val="24"/>
          <w:szCs w:val="28"/>
          <w:lang w:val="en"/>
        </w:rPr>
        <w:softHyphen/>
      </w:r>
      <w:r w:rsidRPr="00A35AD6">
        <w:rPr>
          <w:rFonts w:eastAsia="Calibri" w:cs="Times New Roman"/>
          <w:sz w:val="24"/>
          <w:szCs w:val="28"/>
          <w:lang w:val="en"/>
        </w:rPr>
        <w:t>try, in the interaction and relationships of vari</w:t>
      </w:r>
      <w:r>
        <w:rPr>
          <w:rFonts w:eastAsia="Calibri" w:cs="Times New Roman"/>
          <w:sz w:val="24"/>
          <w:szCs w:val="28"/>
          <w:lang w:val="en"/>
        </w:rPr>
        <w:softHyphen/>
      </w:r>
      <w:r w:rsidRPr="00A35AD6">
        <w:rPr>
          <w:rFonts w:eastAsia="Calibri" w:cs="Times New Roman"/>
          <w:sz w:val="24"/>
          <w:szCs w:val="28"/>
          <w:lang w:val="en"/>
        </w:rPr>
        <w:t>ous, today largely disparate, medical and bio</w:t>
      </w:r>
      <w:r>
        <w:rPr>
          <w:rFonts w:eastAsia="Calibri" w:cs="Times New Roman"/>
          <w:sz w:val="24"/>
          <w:szCs w:val="28"/>
          <w:lang w:val="en"/>
        </w:rPr>
        <w:softHyphen/>
      </w:r>
      <w:r w:rsidRPr="00A35AD6">
        <w:rPr>
          <w:rFonts w:eastAsia="Calibri" w:cs="Times New Roman"/>
          <w:sz w:val="24"/>
          <w:szCs w:val="28"/>
          <w:lang w:val="en"/>
        </w:rPr>
        <w:t>medical institutions [6, 30].</w:t>
      </w:r>
    </w:p>
    <w:p w14:paraId="0F2D4E81"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Translational medicine plays a leading role in optimizing the mechanisms for transfer</w:t>
      </w:r>
      <w:r>
        <w:rPr>
          <w:rFonts w:eastAsia="Calibri" w:cs="Times New Roman"/>
          <w:sz w:val="24"/>
          <w:szCs w:val="28"/>
          <w:lang w:val="en"/>
        </w:rPr>
        <w:softHyphen/>
      </w:r>
      <w:r w:rsidRPr="00A35AD6">
        <w:rPr>
          <w:rFonts w:eastAsia="Calibri" w:cs="Times New Roman"/>
          <w:sz w:val="24"/>
          <w:szCs w:val="28"/>
          <w:lang w:val="en"/>
        </w:rPr>
        <w:t>ring the results of fundamental biomedical re</w:t>
      </w:r>
      <w:r>
        <w:rPr>
          <w:rFonts w:eastAsia="Calibri" w:cs="Times New Roman"/>
          <w:sz w:val="24"/>
          <w:szCs w:val="28"/>
          <w:lang w:val="en"/>
        </w:rPr>
        <w:softHyphen/>
      </w:r>
      <w:r w:rsidRPr="00A35AD6">
        <w:rPr>
          <w:rFonts w:eastAsia="Calibri" w:cs="Times New Roman"/>
          <w:sz w:val="24"/>
          <w:szCs w:val="28"/>
          <w:lang w:val="en"/>
        </w:rPr>
        <w:t>search into diagnostic, preventive and thera</w:t>
      </w:r>
      <w:r>
        <w:rPr>
          <w:rFonts w:eastAsia="Calibri" w:cs="Times New Roman"/>
          <w:sz w:val="24"/>
          <w:szCs w:val="28"/>
          <w:lang w:val="en"/>
        </w:rPr>
        <w:softHyphen/>
      </w:r>
      <w:r w:rsidRPr="00A35AD6">
        <w:rPr>
          <w:rFonts w:eastAsia="Calibri" w:cs="Times New Roman"/>
          <w:sz w:val="24"/>
          <w:szCs w:val="28"/>
          <w:lang w:val="en"/>
        </w:rPr>
        <w:t>peutic technologies. Together with biotechnol</w:t>
      </w:r>
      <w:r>
        <w:rPr>
          <w:rFonts w:eastAsia="Calibri" w:cs="Times New Roman"/>
          <w:sz w:val="24"/>
          <w:szCs w:val="28"/>
          <w:lang w:val="en"/>
        </w:rPr>
        <w:softHyphen/>
      </w:r>
      <w:r w:rsidRPr="00A35AD6">
        <w:rPr>
          <w:rFonts w:eastAsia="Calibri" w:cs="Times New Roman"/>
          <w:sz w:val="24"/>
          <w:szCs w:val="28"/>
          <w:lang w:val="en"/>
        </w:rPr>
        <w:t>ogy and new imaging techniques, translational medicine will form the basis of progress in medicine. One of the main tasks of transla</w:t>
      </w:r>
      <w:r>
        <w:rPr>
          <w:rFonts w:eastAsia="Calibri" w:cs="Times New Roman"/>
          <w:sz w:val="24"/>
          <w:szCs w:val="28"/>
          <w:lang w:val="en"/>
        </w:rPr>
        <w:softHyphen/>
      </w:r>
      <w:r w:rsidRPr="00A35AD6">
        <w:rPr>
          <w:rFonts w:eastAsia="Calibri" w:cs="Times New Roman"/>
          <w:sz w:val="24"/>
          <w:szCs w:val="28"/>
          <w:lang w:val="en"/>
        </w:rPr>
        <w:t>tional medicine in the creation of new biologi</w:t>
      </w:r>
      <w:r>
        <w:rPr>
          <w:rFonts w:eastAsia="Calibri" w:cs="Times New Roman"/>
          <w:sz w:val="24"/>
          <w:szCs w:val="28"/>
          <w:lang w:val="en"/>
        </w:rPr>
        <w:softHyphen/>
      </w:r>
      <w:r w:rsidRPr="00A35AD6">
        <w:rPr>
          <w:rFonts w:eastAsia="Calibri" w:cs="Times New Roman"/>
          <w:sz w:val="24"/>
          <w:szCs w:val="28"/>
          <w:lang w:val="en"/>
        </w:rPr>
        <w:t>cally active substances is the coordination of research between research institutions, phar</w:t>
      </w:r>
      <w:r>
        <w:rPr>
          <w:rFonts w:eastAsia="Calibri" w:cs="Times New Roman"/>
          <w:sz w:val="24"/>
          <w:szCs w:val="28"/>
          <w:lang w:val="en"/>
        </w:rPr>
        <w:softHyphen/>
      </w:r>
      <w:r w:rsidRPr="00A35AD6">
        <w:rPr>
          <w:rFonts w:eastAsia="Calibri" w:cs="Times New Roman"/>
          <w:sz w:val="24"/>
          <w:szCs w:val="28"/>
          <w:lang w:val="en"/>
        </w:rPr>
        <w:t>maceutical and biotechnology companies, as well as the search for ways to improve the ef</w:t>
      </w:r>
      <w:r>
        <w:rPr>
          <w:rFonts w:eastAsia="Calibri" w:cs="Times New Roman"/>
          <w:sz w:val="24"/>
          <w:szCs w:val="28"/>
          <w:lang w:val="en"/>
        </w:rPr>
        <w:softHyphen/>
      </w:r>
      <w:r w:rsidRPr="00A35AD6">
        <w:rPr>
          <w:rFonts w:eastAsia="Calibri" w:cs="Times New Roman"/>
          <w:sz w:val="24"/>
          <w:szCs w:val="28"/>
          <w:lang w:val="en"/>
        </w:rPr>
        <w:t>fectiveness of existing drugs and promote in</w:t>
      </w:r>
      <w:r>
        <w:rPr>
          <w:rFonts w:eastAsia="Calibri" w:cs="Times New Roman"/>
          <w:sz w:val="24"/>
          <w:szCs w:val="28"/>
          <w:lang w:val="en"/>
        </w:rPr>
        <w:softHyphen/>
      </w:r>
      <w:r w:rsidRPr="00A35AD6">
        <w:rPr>
          <w:rFonts w:eastAsia="Calibri" w:cs="Times New Roman"/>
          <w:sz w:val="24"/>
          <w:szCs w:val="28"/>
          <w:lang w:val="en"/>
        </w:rPr>
        <w:t>novation in the pharmaceutical market [10,31].</w:t>
      </w:r>
    </w:p>
    <w:p w14:paraId="582954D3"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Thanks to the development of molecular biology and molecular medicine, some pro</w:t>
      </w:r>
      <w:r>
        <w:rPr>
          <w:rFonts w:eastAsia="Calibri" w:cs="Times New Roman"/>
          <w:sz w:val="24"/>
          <w:szCs w:val="28"/>
          <w:lang w:val="en"/>
        </w:rPr>
        <w:softHyphen/>
      </w:r>
      <w:r w:rsidRPr="00A35AD6">
        <w:rPr>
          <w:rFonts w:eastAsia="Calibri" w:cs="Times New Roman"/>
          <w:sz w:val="24"/>
          <w:szCs w:val="28"/>
          <w:lang w:val="en"/>
        </w:rPr>
        <w:t>gress has now been made in elucidating the pathogenesis of many diseases at the molecular and cellular level. An important place in this direction is occupied by the development of new diagnostic tools, the purpose of which is the timely detection of specific biomarkers that make it possible to personalize therapy, i.e. choose the most effective therapy strategy for a particular patient. Biomarkers are becoming an integral part of clinical research. The term "biomarker" was introduced by the US Na</w:t>
      </w:r>
      <w:r>
        <w:rPr>
          <w:rFonts w:eastAsia="Calibri" w:cs="Times New Roman"/>
          <w:sz w:val="24"/>
          <w:szCs w:val="28"/>
          <w:lang w:val="en"/>
        </w:rPr>
        <w:softHyphen/>
      </w:r>
      <w:r w:rsidRPr="00A35AD6">
        <w:rPr>
          <w:rFonts w:eastAsia="Calibri" w:cs="Times New Roman"/>
          <w:sz w:val="24"/>
          <w:szCs w:val="28"/>
          <w:lang w:val="en"/>
        </w:rPr>
        <w:t>tional Academy of Sciences for biological monitoring of the population. A biomarker is a system of indicators (markers) characterizing the functioning of an organism, its interaction with agents of different nature [26,32].</w:t>
      </w:r>
    </w:p>
    <w:p w14:paraId="44A808B4"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The discovery of specific biomarkers in combination with the introduction of new ef</w:t>
      </w:r>
      <w:r>
        <w:rPr>
          <w:rFonts w:eastAsia="Calibri" w:cs="Times New Roman"/>
          <w:sz w:val="24"/>
          <w:szCs w:val="28"/>
          <w:lang w:val="en"/>
        </w:rPr>
        <w:softHyphen/>
      </w:r>
      <w:r w:rsidRPr="00A35AD6">
        <w:rPr>
          <w:rFonts w:eastAsia="Calibri" w:cs="Times New Roman"/>
          <w:sz w:val="24"/>
          <w:szCs w:val="28"/>
          <w:lang w:val="en"/>
        </w:rPr>
        <w:t>fective drugs and the analysis of the individual characteristics of their action serve as the basis for the development of personalized medicine. These activities should contribute to increasing the effectiveness of therapy, reducing the ex</w:t>
      </w:r>
      <w:r>
        <w:rPr>
          <w:rFonts w:eastAsia="Calibri" w:cs="Times New Roman"/>
          <w:sz w:val="24"/>
          <w:szCs w:val="28"/>
          <w:lang w:val="en"/>
        </w:rPr>
        <w:softHyphen/>
      </w:r>
      <w:r w:rsidRPr="00A35AD6">
        <w:rPr>
          <w:rFonts w:eastAsia="Calibri" w:cs="Times New Roman"/>
          <w:sz w:val="24"/>
          <w:szCs w:val="28"/>
          <w:lang w:val="en"/>
        </w:rPr>
        <w:t>isting gap between theoretical and practical medicine.</w:t>
      </w:r>
    </w:p>
    <w:p w14:paraId="7D62CA5D"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Translational medicine covers almost all branches of medicine: oncology, cardiology, research in genomics, molecular biology, neu</w:t>
      </w:r>
      <w:r>
        <w:rPr>
          <w:rFonts w:eastAsia="Calibri" w:cs="Times New Roman"/>
          <w:sz w:val="24"/>
          <w:szCs w:val="28"/>
          <w:lang w:val="en"/>
        </w:rPr>
        <w:softHyphen/>
      </w:r>
      <w:r w:rsidRPr="00A35AD6">
        <w:rPr>
          <w:rFonts w:eastAsia="Calibri" w:cs="Times New Roman"/>
          <w:sz w:val="24"/>
          <w:szCs w:val="28"/>
          <w:lang w:val="en"/>
        </w:rPr>
        <w:t>roscience, engineering biology, cardiovascular disease, drug delivery, cell culture, bioinfor</w:t>
      </w:r>
      <w:r>
        <w:rPr>
          <w:rFonts w:eastAsia="Calibri" w:cs="Times New Roman"/>
          <w:sz w:val="24"/>
          <w:szCs w:val="28"/>
          <w:lang w:val="en"/>
        </w:rPr>
        <w:softHyphen/>
      </w:r>
      <w:r w:rsidRPr="00A35AD6">
        <w:rPr>
          <w:rFonts w:eastAsia="Calibri" w:cs="Times New Roman"/>
          <w:sz w:val="24"/>
          <w:szCs w:val="28"/>
          <w:lang w:val="en"/>
        </w:rPr>
        <w:t>matics, and health policy. The importance cur</w:t>
      </w:r>
      <w:r>
        <w:rPr>
          <w:rFonts w:eastAsia="Calibri" w:cs="Times New Roman"/>
          <w:sz w:val="24"/>
          <w:szCs w:val="28"/>
          <w:lang w:val="en"/>
        </w:rPr>
        <w:softHyphen/>
      </w:r>
      <w:r w:rsidRPr="00A35AD6">
        <w:rPr>
          <w:rFonts w:eastAsia="Calibri" w:cs="Times New Roman"/>
          <w:sz w:val="24"/>
          <w:szCs w:val="28"/>
          <w:lang w:val="en"/>
        </w:rPr>
        <w:t>rently attached to the development of transla</w:t>
      </w:r>
      <w:r>
        <w:rPr>
          <w:rFonts w:eastAsia="Calibri" w:cs="Times New Roman"/>
          <w:sz w:val="24"/>
          <w:szCs w:val="28"/>
          <w:lang w:val="en"/>
        </w:rPr>
        <w:softHyphen/>
      </w:r>
      <w:r w:rsidRPr="00A35AD6">
        <w:rPr>
          <w:rFonts w:eastAsia="Calibri" w:cs="Times New Roman"/>
          <w:sz w:val="24"/>
          <w:szCs w:val="28"/>
          <w:lang w:val="en"/>
        </w:rPr>
        <w:t xml:space="preserve">tional medicine in the world is evidenced by the emergence of new specialized journals - « </w:t>
      </w:r>
      <w:r w:rsidRPr="00A35AD6">
        <w:rPr>
          <w:rFonts w:eastAsia="Calibri" w:cs="Times New Roman"/>
          <w:sz w:val="24"/>
          <w:szCs w:val="28"/>
        </w:rPr>
        <w:t>Journal</w:t>
      </w:r>
      <w:r>
        <w:rPr>
          <w:rFonts w:eastAsia="Calibri" w:cs="Times New Roman"/>
          <w:sz w:val="24"/>
          <w:szCs w:val="28"/>
          <w:lang w:val="en"/>
        </w:rPr>
        <w:t xml:space="preserve"> </w:t>
      </w:r>
      <w:r w:rsidRPr="00A35AD6">
        <w:rPr>
          <w:rFonts w:eastAsia="Calibri" w:cs="Times New Roman"/>
          <w:sz w:val="24"/>
          <w:szCs w:val="28"/>
        </w:rPr>
        <w:t>of</w:t>
      </w:r>
      <w:r>
        <w:rPr>
          <w:rFonts w:eastAsia="Calibri" w:cs="Times New Roman"/>
          <w:sz w:val="24"/>
          <w:szCs w:val="28"/>
          <w:lang w:val="en"/>
        </w:rPr>
        <w:t xml:space="preserve"> </w:t>
      </w:r>
      <w:r w:rsidRPr="00A35AD6">
        <w:rPr>
          <w:rFonts w:eastAsia="Calibri" w:cs="Times New Roman"/>
          <w:sz w:val="24"/>
          <w:szCs w:val="28"/>
        </w:rPr>
        <w:t>Translational</w:t>
      </w:r>
      <w:r>
        <w:rPr>
          <w:rFonts w:eastAsia="Calibri" w:cs="Times New Roman"/>
          <w:sz w:val="24"/>
          <w:szCs w:val="28"/>
          <w:lang w:val="en"/>
        </w:rPr>
        <w:t xml:space="preserve"> </w:t>
      </w:r>
      <w:r w:rsidRPr="00A35AD6">
        <w:rPr>
          <w:rFonts w:eastAsia="Calibri" w:cs="Times New Roman"/>
          <w:sz w:val="24"/>
          <w:szCs w:val="28"/>
        </w:rPr>
        <w:t xml:space="preserve">Medicine </w:t>
      </w:r>
      <w:r w:rsidRPr="00A35AD6">
        <w:rPr>
          <w:rFonts w:eastAsia="Calibri" w:cs="Times New Roman"/>
          <w:sz w:val="24"/>
          <w:szCs w:val="28"/>
          <w:lang w:val="en"/>
        </w:rPr>
        <w:t xml:space="preserve">", " </w:t>
      </w:r>
      <w:r w:rsidRPr="00A35AD6">
        <w:rPr>
          <w:rFonts w:eastAsia="Calibri" w:cs="Times New Roman"/>
          <w:sz w:val="24"/>
          <w:szCs w:val="28"/>
        </w:rPr>
        <w:t>Science</w:t>
      </w:r>
      <w:r>
        <w:rPr>
          <w:rFonts w:eastAsia="Calibri" w:cs="Times New Roman"/>
          <w:sz w:val="24"/>
          <w:szCs w:val="28"/>
          <w:lang w:val="en"/>
        </w:rPr>
        <w:t xml:space="preserve"> </w:t>
      </w:r>
      <w:r w:rsidRPr="00A35AD6">
        <w:rPr>
          <w:rFonts w:eastAsia="Calibri" w:cs="Times New Roman"/>
          <w:sz w:val="24"/>
          <w:szCs w:val="28"/>
        </w:rPr>
        <w:t>Translational</w:t>
      </w:r>
      <w:r w:rsidRPr="00A35AD6">
        <w:rPr>
          <w:rFonts w:eastAsia="Calibri" w:cs="Times New Roman"/>
          <w:sz w:val="24"/>
          <w:szCs w:val="28"/>
          <w:lang w:val="en"/>
        </w:rPr>
        <w:t xml:space="preserve"> </w:t>
      </w:r>
      <w:r w:rsidRPr="00A35AD6">
        <w:rPr>
          <w:rFonts w:eastAsia="Calibri" w:cs="Times New Roman"/>
          <w:sz w:val="24"/>
          <w:szCs w:val="28"/>
        </w:rPr>
        <w:t xml:space="preserve">Medicine </w:t>
      </w:r>
      <w:r w:rsidRPr="00A35AD6">
        <w:rPr>
          <w:rFonts w:eastAsia="Calibri" w:cs="Times New Roman"/>
          <w:sz w:val="24"/>
          <w:szCs w:val="28"/>
          <w:lang w:val="en"/>
        </w:rPr>
        <w:t xml:space="preserve">", " </w:t>
      </w:r>
      <w:r w:rsidRPr="00A35AD6">
        <w:rPr>
          <w:rFonts w:eastAsia="Calibri" w:cs="Times New Roman"/>
          <w:sz w:val="24"/>
          <w:szCs w:val="28"/>
        </w:rPr>
        <w:t>American</w:t>
      </w:r>
      <w:r w:rsidRPr="00A35AD6">
        <w:rPr>
          <w:rFonts w:eastAsia="Calibri" w:cs="Times New Roman"/>
          <w:sz w:val="24"/>
          <w:szCs w:val="28"/>
          <w:lang w:val="en"/>
        </w:rPr>
        <w:t xml:space="preserve"> </w:t>
      </w:r>
      <w:r w:rsidRPr="00A35AD6">
        <w:rPr>
          <w:rFonts w:eastAsia="Calibri" w:cs="Times New Roman"/>
          <w:sz w:val="24"/>
          <w:szCs w:val="28"/>
        </w:rPr>
        <w:t>journal</w:t>
      </w:r>
      <w:r>
        <w:rPr>
          <w:rFonts w:eastAsia="Calibri" w:cs="Times New Roman"/>
          <w:sz w:val="24"/>
          <w:szCs w:val="28"/>
          <w:lang w:val="en"/>
        </w:rPr>
        <w:t xml:space="preserve"> </w:t>
      </w:r>
      <w:r w:rsidRPr="00A35AD6">
        <w:rPr>
          <w:rFonts w:eastAsia="Calibri" w:cs="Times New Roman"/>
          <w:sz w:val="24"/>
          <w:szCs w:val="28"/>
        </w:rPr>
        <w:t>of</w:t>
      </w:r>
      <w:r>
        <w:rPr>
          <w:rFonts w:eastAsia="Calibri" w:cs="Times New Roman"/>
          <w:sz w:val="24"/>
          <w:szCs w:val="28"/>
          <w:lang w:val="en"/>
        </w:rPr>
        <w:t xml:space="preserve"> </w:t>
      </w:r>
      <w:r w:rsidRPr="00A35AD6">
        <w:rPr>
          <w:rFonts w:eastAsia="Calibri" w:cs="Times New Roman"/>
          <w:sz w:val="24"/>
          <w:szCs w:val="28"/>
        </w:rPr>
        <w:t>translational</w:t>
      </w:r>
      <w:r>
        <w:rPr>
          <w:rFonts w:eastAsia="Calibri" w:cs="Times New Roman"/>
          <w:sz w:val="24"/>
          <w:szCs w:val="28"/>
          <w:lang w:val="en"/>
        </w:rPr>
        <w:t xml:space="preserve"> </w:t>
      </w:r>
      <w:r w:rsidRPr="00A35AD6">
        <w:rPr>
          <w:rFonts w:eastAsia="Calibri" w:cs="Times New Roman"/>
          <w:sz w:val="24"/>
          <w:szCs w:val="28"/>
        </w:rPr>
        <w:t xml:space="preserve">research </w:t>
      </w:r>
      <w:r w:rsidRPr="00A35AD6">
        <w:rPr>
          <w:rFonts w:eastAsia="Calibri" w:cs="Times New Roman"/>
          <w:sz w:val="24"/>
          <w:szCs w:val="28"/>
          <w:lang w:val="en"/>
        </w:rPr>
        <w:t>”, which bring to</w:t>
      </w:r>
      <w:r>
        <w:rPr>
          <w:rFonts w:eastAsia="Calibri" w:cs="Times New Roman"/>
          <w:sz w:val="24"/>
          <w:szCs w:val="28"/>
          <w:lang w:val="en"/>
        </w:rPr>
        <w:softHyphen/>
      </w:r>
      <w:r w:rsidRPr="00A35AD6">
        <w:rPr>
          <w:rFonts w:eastAsia="Calibri" w:cs="Times New Roman"/>
          <w:sz w:val="24"/>
          <w:szCs w:val="28"/>
          <w:lang w:val="en"/>
        </w:rPr>
        <w:t>gether scientists in the field of basic and clini</w:t>
      </w:r>
      <w:r>
        <w:rPr>
          <w:rFonts w:eastAsia="Calibri" w:cs="Times New Roman"/>
          <w:sz w:val="24"/>
          <w:szCs w:val="28"/>
          <w:lang w:val="en"/>
        </w:rPr>
        <w:softHyphen/>
      </w:r>
      <w:r w:rsidRPr="00A35AD6">
        <w:rPr>
          <w:rFonts w:eastAsia="Calibri" w:cs="Times New Roman"/>
          <w:sz w:val="24"/>
          <w:szCs w:val="28"/>
          <w:lang w:val="en"/>
        </w:rPr>
        <w:t>cal research in their quest to improve the qual</w:t>
      </w:r>
      <w:r>
        <w:rPr>
          <w:rFonts w:eastAsia="Calibri" w:cs="Times New Roman"/>
          <w:sz w:val="24"/>
          <w:szCs w:val="28"/>
          <w:lang w:val="en"/>
        </w:rPr>
        <w:softHyphen/>
      </w:r>
      <w:r w:rsidRPr="00A35AD6">
        <w:rPr>
          <w:rFonts w:eastAsia="Calibri" w:cs="Times New Roman"/>
          <w:sz w:val="24"/>
          <w:szCs w:val="28"/>
          <w:lang w:val="en"/>
        </w:rPr>
        <w:t>ity of patient care, promote the exchange of in</w:t>
      </w:r>
      <w:r>
        <w:rPr>
          <w:rFonts w:eastAsia="Calibri" w:cs="Times New Roman"/>
          <w:sz w:val="24"/>
          <w:szCs w:val="28"/>
          <w:lang w:val="en"/>
        </w:rPr>
        <w:softHyphen/>
      </w:r>
      <w:r w:rsidRPr="00A35AD6">
        <w:rPr>
          <w:rFonts w:eastAsia="Calibri" w:cs="Times New Roman"/>
          <w:sz w:val="24"/>
          <w:szCs w:val="28"/>
          <w:lang w:val="en"/>
        </w:rPr>
        <w:t>formation and ideas among practitioners and specialists in basic and clinical research [2,4,7,13,33].</w:t>
      </w:r>
    </w:p>
    <w:p w14:paraId="51FA3DFB"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lastRenderedPageBreak/>
        <w:t>Due to the scale of the tasks of transla</w:t>
      </w:r>
      <w:r>
        <w:rPr>
          <w:rFonts w:eastAsia="Calibri" w:cs="Times New Roman"/>
          <w:sz w:val="24"/>
          <w:szCs w:val="28"/>
          <w:lang w:val="en"/>
        </w:rPr>
        <w:softHyphen/>
      </w:r>
      <w:r w:rsidRPr="00A35AD6">
        <w:rPr>
          <w:rFonts w:eastAsia="Calibri" w:cs="Times New Roman"/>
          <w:sz w:val="24"/>
          <w:szCs w:val="28"/>
          <w:lang w:val="en"/>
        </w:rPr>
        <w:t>tional medicine, much attention is paid to the training of relevant specialists, which is al</w:t>
      </w:r>
      <w:r>
        <w:rPr>
          <w:rFonts w:eastAsia="Calibri" w:cs="Times New Roman"/>
          <w:sz w:val="24"/>
          <w:szCs w:val="28"/>
          <w:lang w:val="en"/>
        </w:rPr>
        <w:softHyphen/>
      </w:r>
      <w:r w:rsidRPr="00A35AD6">
        <w:rPr>
          <w:rFonts w:eastAsia="Calibri" w:cs="Times New Roman"/>
          <w:sz w:val="24"/>
          <w:szCs w:val="28"/>
          <w:lang w:val="en"/>
        </w:rPr>
        <w:t>ready being carried out in a number of medical colleges and universities, for example, in the USA and the UK, where a specialized course "Molecular and translational medicine" has been introduced. Centers for translational med</w:t>
      </w:r>
      <w:r>
        <w:rPr>
          <w:rFonts w:eastAsia="Calibri" w:cs="Times New Roman"/>
          <w:sz w:val="24"/>
          <w:szCs w:val="28"/>
          <w:lang w:val="en"/>
        </w:rPr>
        <w:softHyphen/>
      </w:r>
      <w:r w:rsidRPr="00A35AD6">
        <w:rPr>
          <w:rFonts w:eastAsia="Calibri" w:cs="Times New Roman"/>
          <w:sz w:val="24"/>
          <w:szCs w:val="28"/>
          <w:lang w:val="en"/>
        </w:rPr>
        <w:t>icine have been created and are functioning, uniting and coordinating relevant research in various fields of medicine [34,40].</w:t>
      </w:r>
    </w:p>
    <w:p w14:paraId="0828AB1E"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The emergence and development of translational medicine is aimed at improving the efficiency of diagnosis and treatment of diseases, predicting the course of the patholog</w:t>
      </w:r>
      <w:r>
        <w:rPr>
          <w:rFonts w:eastAsia="Calibri" w:cs="Times New Roman"/>
          <w:sz w:val="24"/>
          <w:szCs w:val="28"/>
          <w:lang w:val="en"/>
        </w:rPr>
        <w:softHyphen/>
      </w:r>
      <w:r w:rsidRPr="00A35AD6">
        <w:rPr>
          <w:rFonts w:eastAsia="Calibri" w:cs="Times New Roman"/>
          <w:sz w:val="24"/>
          <w:szCs w:val="28"/>
          <w:lang w:val="en"/>
        </w:rPr>
        <w:t>ical process. At the same time, on the one hand, the most rapid translation of scientific achieve</w:t>
      </w:r>
      <w:r>
        <w:rPr>
          <w:rFonts w:eastAsia="Calibri" w:cs="Times New Roman"/>
          <w:sz w:val="24"/>
          <w:szCs w:val="28"/>
          <w:lang w:val="en"/>
        </w:rPr>
        <w:softHyphen/>
      </w:r>
      <w:r w:rsidRPr="00A35AD6">
        <w:rPr>
          <w:rFonts w:eastAsia="Calibri" w:cs="Times New Roman"/>
          <w:sz w:val="24"/>
          <w:szCs w:val="28"/>
          <w:lang w:val="en"/>
        </w:rPr>
        <w:t>ments into clinical practice is assumed, and on the other hand, their personalized, that is, their individual application, taking into account the state of the molecular, biochemical and meta</w:t>
      </w:r>
      <w:r>
        <w:rPr>
          <w:rFonts w:eastAsia="Calibri" w:cs="Times New Roman"/>
          <w:sz w:val="24"/>
          <w:szCs w:val="28"/>
          <w:lang w:val="en"/>
        </w:rPr>
        <w:softHyphen/>
      </w:r>
      <w:r w:rsidRPr="00A35AD6">
        <w:rPr>
          <w:rFonts w:eastAsia="Calibri" w:cs="Times New Roman"/>
          <w:sz w:val="24"/>
          <w:szCs w:val="28"/>
          <w:lang w:val="en"/>
        </w:rPr>
        <w:t>bolic characteristics of a particular patient [9,24].</w:t>
      </w:r>
    </w:p>
    <w:p w14:paraId="1B3944B7"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We analyzed the results of determining the role and place of non-respiratory lung func</w:t>
      </w:r>
      <w:r>
        <w:rPr>
          <w:rFonts w:eastAsia="Calibri" w:cs="Times New Roman"/>
          <w:sz w:val="24"/>
          <w:szCs w:val="28"/>
          <w:lang w:val="en"/>
        </w:rPr>
        <w:softHyphen/>
      </w:r>
      <w:r w:rsidRPr="00A35AD6">
        <w:rPr>
          <w:rFonts w:eastAsia="Calibri" w:cs="Times New Roman"/>
          <w:sz w:val="24"/>
          <w:szCs w:val="28"/>
          <w:lang w:val="en"/>
        </w:rPr>
        <w:t>tions in the pathogenesis of the development of surgical sepsis against the background of se</w:t>
      </w:r>
      <w:r>
        <w:rPr>
          <w:rFonts w:eastAsia="Calibri" w:cs="Times New Roman"/>
          <w:sz w:val="24"/>
          <w:szCs w:val="28"/>
          <w:lang w:val="en"/>
        </w:rPr>
        <w:softHyphen/>
      </w:r>
      <w:r w:rsidRPr="00A35AD6">
        <w:rPr>
          <w:rFonts w:eastAsia="Calibri" w:cs="Times New Roman"/>
          <w:sz w:val="24"/>
          <w:szCs w:val="28"/>
          <w:lang w:val="en"/>
        </w:rPr>
        <w:t>vere forms of purulent-inflammatory diseases of soft tissues. Taking into account the fact that the earliest violations of the non-respiratory function of the lungs in the pathogenesis of the development of surgical sepsis were attributed to the barrier-filtration function of the lungs, in the form of endothelial dysfunction in the lungs, it is this side of the changes that should form the basis of methods for predicting the generalization of the inflammatory process.</w:t>
      </w:r>
    </w:p>
    <w:p w14:paraId="7F0DD766"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The translational study of the experi</w:t>
      </w:r>
      <w:r>
        <w:rPr>
          <w:rFonts w:eastAsia="Calibri" w:cs="Times New Roman"/>
          <w:sz w:val="24"/>
          <w:szCs w:val="28"/>
          <w:lang w:val="en"/>
        </w:rPr>
        <w:softHyphen/>
      </w:r>
      <w:r w:rsidRPr="00A35AD6">
        <w:rPr>
          <w:rFonts w:eastAsia="Calibri" w:cs="Times New Roman"/>
          <w:sz w:val="24"/>
          <w:szCs w:val="28"/>
          <w:lang w:val="en"/>
        </w:rPr>
        <w:t xml:space="preserve">mental block was transferred to 27 patients with sepsis against the background of severe forms of purulent-inflammatory diseases of soft tissues. In order to move to the third block of the translational study, a study was made of the level of specific metabolites characterizing the barrier-filtration function of the lungs. The </w:t>
      </w:r>
      <w:r w:rsidRPr="00A35AD6">
        <w:rPr>
          <w:rFonts w:eastAsia="Calibri" w:cs="Times New Roman"/>
          <w:sz w:val="24"/>
          <w:szCs w:val="28"/>
          <w:lang w:val="en"/>
        </w:rPr>
        <w:t>conducted studies confirmed their identity to the revealed mechanisms of development of changes in this organ in experimental animals, namely, a direct correlation was found between the volume of lung tissue damage, the degree of change in the morphological substrate with deviations in the biochemical parameters of the blood. At the same time, a separate analysis of indicators of non-respiratory lung functions re</w:t>
      </w:r>
      <w:r>
        <w:rPr>
          <w:rFonts w:eastAsia="Calibri" w:cs="Times New Roman"/>
          <w:sz w:val="24"/>
          <w:szCs w:val="28"/>
          <w:lang w:val="en"/>
        </w:rPr>
        <w:softHyphen/>
      </w:r>
      <w:r w:rsidRPr="00A35AD6">
        <w:rPr>
          <w:rFonts w:eastAsia="Calibri" w:cs="Times New Roman"/>
          <w:sz w:val="24"/>
          <w:szCs w:val="28"/>
          <w:lang w:val="en"/>
        </w:rPr>
        <w:t>vealed changes that were personalized and can be combined into 2 subgroups.</w:t>
      </w:r>
    </w:p>
    <w:p w14:paraId="510D69BA"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The first group consisted of patients with severe forms of purulent-inflammatory soft tis</w:t>
      </w:r>
      <w:r>
        <w:rPr>
          <w:rFonts w:eastAsia="Calibri" w:cs="Times New Roman"/>
          <w:sz w:val="24"/>
          <w:szCs w:val="28"/>
          <w:lang w:val="en"/>
        </w:rPr>
        <w:softHyphen/>
      </w:r>
      <w:r w:rsidRPr="00A35AD6">
        <w:rPr>
          <w:rFonts w:eastAsia="Calibri" w:cs="Times New Roman"/>
          <w:sz w:val="24"/>
          <w:szCs w:val="28"/>
          <w:lang w:val="en"/>
        </w:rPr>
        <w:t>sues, in whom, after surgical treatment of a pu</w:t>
      </w:r>
      <w:r>
        <w:rPr>
          <w:rFonts w:eastAsia="Calibri" w:cs="Times New Roman"/>
          <w:sz w:val="24"/>
          <w:szCs w:val="28"/>
          <w:lang w:val="en"/>
        </w:rPr>
        <w:softHyphen/>
      </w:r>
      <w:r w:rsidRPr="00A35AD6">
        <w:rPr>
          <w:rFonts w:eastAsia="Calibri" w:cs="Times New Roman"/>
          <w:sz w:val="24"/>
          <w:szCs w:val="28"/>
          <w:lang w:val="en"/>
        </w:rPr>
        <w:t>rulent focus, no more than 2 clinical criteria for systemic inflammatory response syndrome (SIRS) were noted. In the second subgroup, pa</w:t>
      </w:r>
      <w:r>
        <w:rPr>
          <w:rFonts w:eastAsia="Calibri" w:cs="Times New Roman"/>
          <w:sz w:val="24"/>
          <w:szCs w:val="28"/>
          <w:lang w:val="en"/>
        </w:rPr>
        <w:softHyphen/>
      </w:r>
      <w:r w:rsidRPr="00A35AD6">
        <w:rPr>
          <w:rFonts w:eastAsia="Calibri" w:cs="Times New Roman"/>
          <w:sz w:val="24"/>
          <w:szCs w:val="28"/>
          <w:lang w:val="en"/>
        </w:rPr>
        <w:t>tients with 3-4 signs of SIRS were identified. The nature of the revealed changes in this group was identical in all patients. The person</w:t>
      </w:r>
      <w:r>
        <w:rPr>
          <w:rFonts w:eastAsia="Calibri" w:cs="Times New Roman"/>
          <w:sz w:val="24"/>
          <w:szCs w:val="28"/>
          <w:lang w:val="en"/>
        </w:rPr>
        <w:softHyphen/>
      </w:r>
      <w:r w:rsidRPr="00A35AD6">
        <w:rPr>
          <w:rFonts w:eastAsia="Calibri" w:cs="Times New Roman"/>
          <w:sz w:val="24"/>
          <w:szCs w:val="28"/>
          <w:lang w:val="en"/>
        </w:rPr>
        <w:t>alization of translational medicine is character</w:t>
      </w:r>
      <w:r>
        <w:rPr>
          <w:rFonts w:eastAsia="Calibri" w:cs="Times New Roman"/>
          <w:sz w:val="24"/>
          <w:szCs w:val="28"/>
          <w:lang w:val="en"/>
        </w:rPr>
        <w:softHyphen/>
      </w:r>
      <w:r w:rsidRPr="00A35AD6">
        <w:rPr>
          <w:rFonts w:eastAsia="Calibri" w:cs="Times New Roman"/>
          <w:sz w:val="24"/>
          <w:szCs w:val="28"/>
          <w:lang w:val="en"/>
        </w:rPr>
        <w:t>ized by the regularity of the pathogenesis of the disease under study. An example of personali</w:t>
      </w:r>
      <w:r>
        <w:rPr>
          <w:rFonts w:eastAsia="Calibri" w:cs="Times New Roman"/>
          <w:sz w:val="24"/>
          <w:szCs w:val="28"/>
          <w:lang w:val="en"/>
        </w:rPr>
        <w:softHyphen/>
      </w:r>
      <w:r w:rsidRPr="00A35AD6">
        <w:rPr>
          <w:rFonts w:eastAsia="Calibri" w:cs="Times New Roman"/>
          <w:sz w:val="24"/>
          <w:szCs w:val="28"/>
          <w:lang w:val="en"/>
        </w:rPr>
        <w:t>zation can be the following observation.</w:t>
      </w:r>
    </w:p>
    <w:p w14:paraId="0A9DE036"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bCs/>
          <w:sz w:val="24"/>
          <w:szCs w:val="28"/>
          <w:lang w:val="en"/>
        </w:rPr>
        <w:t xml:space="preserve">Patient R.I., </w:t>
      </w:r>
      <w:smartTag w:uri="urn:schemas-microsoft-com:office:smarttags" w:element="metricconverter">
        <w:smartTagPr>
          <w:attr w:name="ProductID" w:val="1953 г"/>
        </w:smartTagPr>
        <w:r w:rsidRPr="00A35AD6">
          <w:rPr>
            <w:rFonts w:eastAsia="Calibri" w:cs="Times New Roman"/>
            <w:bCs/>
            <w:sz w:val="24"/>
            <w:szCs w:val="28"/>
            <w:lang w:val="en"/>
          </w:rPr>
          <w:t>1953 г</w:t>
        </w:r>
      </w:smartTag>
      <w:r w:rsidRPr="00A35AD6">
        <w:rPr>
          <w:rFonts w:eastAsia="Calibri" w:cs="Times New Roman"/>
          <w:bCs/>
          <w:sz w:val="24"/>
          <w:szCs w:val="28"/>
          <w:lang w:val="en"/>
        </w:rPr>
        <w:t>.b., (No. i/b 1031/790), was transferred to the multidiscipli</w:t>
      </w:r>
      <w:r>
        <w:rPr>
          <w:rFonts w:eastAsia="Calibri" w:cs="Times New Roman"/>
          <w:bCs/>
          <w:sz w:val="24"/>
          <w:szCs w:val="28"/>
          <w:lang w:val="en"/>
        </w:rPr>
        <w:softHyphen/>
      </w:r>
      <w:r w:rsidRPr="00A35AD6">
        <w:rPr>
          <w:rFonts w:eastAsia="Calibri" w:cs="Times New Roman"/>
          <w:bCs/>
          <w:sz w:val="24"/>
          <w:szCs w:val="28"/>
          <w:lang w:val="en"/>
        </w:rPr>
        <w:t xml:space="preserve">nary clinic of the Tashkent Medical Academy from the proctology department of the regional hospital of the Jizzakh region on 12.01.21 in a serious condition with a referral diagnosis “Condition after opening the ischiorectal paraproctitis. Sepsis. Diabetes mellitus type </w:t>
      </w:r>
      <w:r w:rsidRPr="00A35AD6">
        <w:rPr>
          <w:rFonts w:eastAsia="Calibri" w:cs="Times New Roman"/>
          <w:bCs/>
          <w:sz w:val="24"/>
          <w:szCs w:val="28"/>
        </w:rPr>
        <w:t>II.</w:t>
      </w:r>
      <w:r w:rsidRPr="00A35AD6">
        <w:rPr>
          <w:rFonts w:eastAsia="Calibri" w:cs="Times New Roman"/>
          <w:bCs/>
          <w:sz w:val="24"/>
          <w:szCs w:val="28"/>
          <w:lang w:val="en"/>
        </w:rPr>
        <w:t xml:space="preserve"> Complaints at admission to </w:t>
      </w:r>
      <w:r w:rsidRPr="00A35AD6">
        <w:rPr>
          <w:rFonts w:eastAsia="Calibri" w:cs="Times New Roman"/>
          <w:sz w:val="24"/>
          <w:szCs w:val="28"/>
          <w:lang w:val="en"/>
        </w:rPr>
        <w:t>pain and the pres</w:t>
      </w:r>
      <w:r>
        <w:rPr>
          <w:rFonts w:eastAsia="Calibri" w:cs="Times New Roman"/>
          <w:sz w:val="24"/>
          <w:szCs w:val="28"/>
          <w:lang w:val="en"/>
        </w:rPr>
        <w:softHyphen/>
      </w:r>
      <w:r w:rsidRPr="00A35AD6">
        <w:rPr>
          <w:rFonts w:eastAsia="Calibri" w:cs="Times New Roman"/>
          <w:sz w:val="24"/>
          <w:szCs w:val="28"/>
          <w:lang w:val="en"/>
        </w:rPr>
        <w:t>ence of a purulent wound in the perineum, an increase in the size of the scrotum, fever, short</w:t>
      </w:r>
      <w:r>
        <w:rPr>
          <w:rFonts w:eastAsia="Calibri" w:cs="Times New Roman"/>
          <w:sz w:val="24"/>
          <w:szCs w:val="28"/>
          <w:lang w:val="en"/>
        </w:rPr>
        <w:softHyphen/>
      </w:r>
      <w:r w:rsidRPr="00A35AD6">
        <w:rPr>
          <w:rFonts w:eastAsia="Calibri" w:cs="Times New Roman"/>
          <w:sz w:val="24"/>
          <w:szCs w:val="28"/>
          <w:lang w:val="en"/>
        </w:rPr>
        <w:t>ness of breath, weakness, sweating, dizziness. From the anamnesis: sick for 2 weeks. Oper</w:t>
      </w:r>
      <w:r>
        <w:rPr>
          <w:rFonts w:eastAsia="Calibri" w:cs="Times New Roman"/>
          <w:sz w:val="24"/>
          <w:szCs w:val="28"/>
          <w:lang w:val="en"/>
        </w:rPr>
        <w:softHyphen/>
      </w:r>
      <w:r w:rsidRPr="00A35AD6">
        <w:rPr>
          <w:rFonts w:eastAsia="Calibri" w:cs="Times New Roman"/>
          <w:sz w:val="24"/>
          <w:szCs w:val="28"/>
          <w:lang w:val="en"/>
        </w:rPr>
        <w:t>ated on for ischiorectal paraproctitis in the clinic at the place of residence. Due to the de</w:t>
      </w:r>
      <w:r>
        <w:rPr>
          <w:rFonts w:eastAsia="Calibri" w:cs="Times New Roman"/>
          <w:sz w:val="24"/>
          <w:szCs w:val="28"/>
          <w:lang w:val="en"/>
        </w:rPr>
        <w:softHyphen/>
      </w:r>
      <w:r w:rsidRPr="00A35AD6">
        <w:rPr>
          <w:rFonts w:eastAsia="Calibri" w:cs="Times New Roman"/>
          <w:sz w:val="24"/>
          <w:szCs w:val="28"/>
          <w:lang w:val="en"/>
        </w:rPr>
        <w:t>terioration of the condition on 07.01.21, he was hospitalized in the proctology department at the place of residence. The antibacterial and detoxification therapy performed had no ef</w:t>
      </w:r>
      <w:r>
        <w:rPr>
          <w:rFonts w:eastAsia="Calibri" w:cs="Times New Roman"/>
          <w:sz w:val="24"/>
          <w:szCs w:val="28"/>
          <w:lang w:val="en"/>
        </w:rPr>
        <w:softHyphen/>
      </w:r>
      <w:r w:rsidRPr="00A35AD6">
        <w:rPr>
          <w:rFonts w:eastAsia="Calibri" w:cs="Times New Roman"/>
          <w:sz w:val="24"/>
          <w:szCs w:val="28"/>
          <w:lang w:val="en"/>
        </w:rPr>
        <w:t xml:space="preserve">fect, the patient's condition worsened, from 01/09/21 edema and hyperemia appeared in the </w:t>
      </w:r>
      <w:r w:rsidRPr="00A35AD6">
        <w:rPr>
          <w:rFonts w:eastAsia="Calibri" w:cs="Times New Roman"/>
          <w:sz w:val="24"/>
          <w:szCs w:val="28"/>
          <w:lang w:val="en"/>
        </w:rPr>
        <w:lastRenderedPageBreak/>
        <w:t>scrotum, groin and anterior abdominal wall, fi</w:t>
      </w:r>
      <w:r>
        <w:rPr>
          <w:rFonts w:eastAsia="Calibri" w:cs="Times New Roman"/>
          <w:sz w:val="24"/>
          <w:szCs w:val="28"/>
          <w:lang w:val="en"/>
        </w:rPr>
        <w:softHyphen/>
      </w:r>
      <w:r w:rsidRPr="00A35AD6">
        <w:rPr>
          <w:rFonts w:eastAsia="Calibri" w:cs="Times New Roman"/>
          <w:sz w:val="24"/>
          <w:szCs w:val="28"/>
          <w:lang w:val="en"/>
        </w:rPr>
        <w:t>brilitic hyperthermia was replaced by hectic one. The patient's condition is grave. Tachyp</w:t>
      </w:r>
      <w:r>
        <w:rPr>
          <w:rFonts w:eastAsia="Calibri" w:cs="Times New Roman"/>
          <w:sz w:val="24"/>
          <w:szCs w:val="28"/>
          <w:lang w:val="en"/>
        </w:rPr>
        <w:softHyphen/>
      </w:r>
      <w:r w:rsidRPr="00A35AD6">
        <w:rPr>
          <w:rFonts w:eastAsia="Calibri" w:cs="Times New Roman"/>
          <w:sz w:val="24"/>
          <w:szCs w:val="28"/>
          <w:lang w:val="en"/>
        </w:rPr>
        <w:t>nea up to 28 times in 1 min. In the lungs on both sides, against the background of many different-sized moist rales, there is sharply weakened vesicular respiration. In the lower segments, breathing is not audible. Percussion - dullness of sound in the lower lateral sections on the left. BP 90/70 mm Hg, pulse 110 beats. in 1 min. Locally: in the area of the perineum and scrotum, there are several longitudinal wounds with scanty purulent discharge, around there are large areas of hyperemia of the skin without clear boundaries, the inflammatory in</w:t>
      </w:r>
      <w:r>
        <w:rPr>
          <w:rFonts w:eastAsia="Calibri" w:cs="Times New Roman"/>
          <w:sz w:val="24"/>
          <w:szCs w:val="28"/>
          <w:lang w:val="en"/>
        </w:rPr>
        <w:softHyphen/>
      </w:r>
      <w:r w:rsidRPr="00A35AD6">
        <w:rPr>
          <w:rFonts w:eastAsia="Calibri" w:cs="Times New Roman"/>
          <w:sz w:val="24"/>
          <w:szCs w:val="28"/>
          <w:lang w:val="en"/>
        </w:rPr>
        <w:t>filtrate was not of the correct form. Palpation around the wound and in the area of infiltration revealed subcutaneous crepitus and tenderness. Plain roentgenoscopy of the thoracic organs dated 01/12/21 showed a slight increase in the vascular pattern of the lungs with signs of finely looped cellular deformity of the lung root. The results of a non-blood culture test were negative. The diagnosis was made: “Syn</w:t>
      </w:r>
      <w:r>
        <w:rPr>
          <w:rFonts w:eastAsia="Calibri" w:cs="Times New Roman"/>
          <w:sz w:val="24"/>
          <w:szCs w:val="28"/>
          <w:lang w:val="en"/>
        </w:rPr>
        <w:softHyphen/>
      </w:r>
      <w:r w:rsidRPr="00A35AD6">
        <w:rPr>
          <w:rFonts w:eastAsia="Calibri" w:cs="Times New Roman"/>
          <w:sz w:val="24"/>
          <w:szCs w:val="28"/>
          <w:lang w:val="en"/>
        </w:rPr>
        <w:t>ergic necrotizing fasciitis of the perineum, in</w:t>
      </w:r>
      <w:r>
        <w:rPr>
          <w:rFonts w:eastAsia="Calibri" w:cs="Times New Roman"/>
          <w:sz w:val="24"/>
          <w:szCs w:val="28"/>
          <w:lang w:val="en"/>
        </w:rPr>
        <w:softHyphen/>
      </w:r>
      <w:r w:rsidRPr="00A35AD6">
        <w:rPr>
          <w:rFonts w:eastAsia="Calibri" w:cs="Times New Roman"/>
          <w:sz w:val="24"/>
          <w:szCs w:val="28"/>
          <w:lang w:val="en"/>
        </w:rPr>
        <w:t xml:space="preserve">guinal regions and anterior abdominal wall. Fournier's gangrene. </w:t>
      </w:r>
      <w:r w:rsidRPr="00A35AD6">
        <w:rPr>
          <w:rFonts w:eastAsia="Calibri" w:cs="Times New Roman"/>
          <w:sz w:val="24"/>
          <w:szCs w:val="28"/>
        </w:rPr>
        <w:t>SIRS4.</w:t>
      </w:r>
      <w:r w:rsidRPr="00A35AD6">
        <w:rPr>
          <w:rFonts w:eastAsia="Calibri" w:cs="Times New Roman"/>
          <w:sz w:val="24"/>
          <w:szCs w:val="28"/>
          <w:lang w:val="en"/>
        </w:rPr>
        <w:t xml:space="preserve"> </w:t>
      </w:r>
      <w:r w:rsidRPr="00A35AD6">
        <w:rPr>
          <w:rFonts w:eastAsia="Calibri" w:cs="Times New Roman"/>
          <w:sz w:val="24"/>
          <w:szCs w:val="28"/>
          <w:vertAlign w:val="subscript"/>
          <w:lang w:val="en"/>
        </w:rPr>
        <w:t xml:space="preserve">_ </w:t>
      </w:r>
      <w:r w:rsidRPr="00A35AD6">
        <w:rPr>
          <w:rFonts w:eastAsia="Calibri" w:cs="Times New Roman"/>
          <w:sz w:val="24"/>
          <w:szCs w:val="28"/>
          <w:lang w:val="en"/>
        </w:rPr>
        <w:t xml:space="preserve">severe sepsis. Syndrome of multiple organ dysfunction". </w:t>
      </w:r>
      <w:r w:rsidRPr="00A35AD6">
        <w:rPr>
          <w:rFonts w:eastAsia="Calibri" w:cs="Times New Roman"/>
          <w:bCs/>
          <w:sz w:val="24"/>
          <w:szCs w:val="28"/>
          <w:lang w:val="en"/>
        </w:rPr>
        <w:t>On January 12, 21, after preoperative preparation, surgical treatment of the purulent focus was ur</w:t>
      </w:r>
      <w:r>
        <w:rPr>
          <w:rFonts w:eastAsia="Calibri" w:cs="Times New Roman"/>
          <w:bCs/>
          <w:sz w:val="24"/>
          <w:szCs w:val="28"/>
          <w:lang w:val="en"/>
        </w:rPr>
        <w:softHyphen/>
      </w:r>
      <w:r w:rsidRPr="00A35AD6">
        <w:rPr>
          <w:rFonts w:eastAsia="Calibri" w:cs="Times New Roman"/>
          <w:bCs/>
          <w:sz w:val="24"/>
          <w:szCs w:val="28"/>
          <w:lang w:val="en"/>
        </w:rPr>
        <w:t>gently performed with excision of necrotic tis</w:t>
      </w:r>
      <w:r>
        <w:rPr>
          <w:rFonts w:eastAsia="Calibri" w:cs="Times New Roman"/>
          <w:bCs/>
          <w:sz w:val="24"/>
          <w:szCs w:val="28"/>
          <w:lang w:val="en"/>
        </w:rPr>
        <w:softHyphen/>
      </w:r>
      <w:r w:rsidRPr="00A35AD6">
        <w:rPr>
          <w:rFonts w:eastAsia="Calibri" w:cs="Times New Roman"/>
          <w:bCs/>
          <w:sz w:val="24"/>
          <w:szCs w:val="28"/>
          <w:lang w:val="en"/>
        </w:rPr>
        <w:t>sues of fascial structures and fatty tissue. Inci</w:t>
      </w:r>
      <w:r>
        <w:rPr>
          <w:rFonts w:eastAsia="Calibri" w:cs="Times New Roman"/>
          <w:bCs/>
          <w:sz w:val="24"/>
          <w:szCs w:val="28"/>
          <w:lang w:val="en"/>
        </w:rPr>
        <w:softHyphen/>
      </w:r>
      <w:r w:rsidRPr="00A35AD6">
        <w:rPr>
          <w:rFonts w:eastAsia="Calibri" w:cs="Times New Roman"/>
          <w:bCs/>
          <w:sz w:val="24"/>
          <w:szCs w:val="28"/>
          <w:lang w:val="en"/>
        </w:rPr>
        <w:t>sions were made in the inguinal regions with excision of necrotic tissues of the anterior ab</w:t>
      </w:r>
      <w:r>
        <w:rPr>
          <w:rFonts w:eastAsia="Calibri" w:cs="Times New Roman"/>
          <w:bCs/>
          <w:sz w:val="24"/>
          <w:szCs w:val="28"/>
          <w:lang w:val="en"/>
        </w:rPr>
        <w:softHyphen/>
      </w:r>
      <w:r w:rsidRPr="00A35AD6">
        <w:rPr>
          <w:rFonts w:eastAsia="Calibri" w:cs="Times New Roman"/>
          <w:bCs/>
          <w:sz w:val="24"/>
          <w:szCs w:val="28"/>
          <w:lang w:val="en"/>
        </w:rPr>
        <w:t>dominal wall. On the same day, catheterization of the aortic arch was performed through the right femoral artery. Samples of mixed venous and arterial blood were taken. Analyzes in a sample of mixed venous blood - total protein - 46 g / l, total lipids - 2.9 g / l, albumins - 43%, lactoferin - 1649 ng / ml; procalcitonin - 1 ng / ml; IL-1b - 46.3 pg/ml; IL-6 - 31.3 pg / ml; TNF-α - 23.8 pg/ml; NO -21.9 µmol/l; eNOS - 2.1 µmol/min/l; iNOS - 0.2 µmol/min/l; perox</w:t>
      </w:r>
      <w:r>
        <w:rPr>
          <w:rFonts w:eastAsia="Calibri" w:cs="Times New Roman"/>
          <w:bCs/>
          <w:sz w:val="24"/>
          <w:szCs w:val="28"/>
          <w:lang w:val="en"/>
        </w:rPr>
        <w:softHyphen/>
      </w:r>
      <w:r w:rsidRPr="00A35AD6">
        <w:rPr>
          <w:rFonts w:eastAsia="Calibri" w:cs="Times New Roman"/>
          <w:bCs/>
          <w:sz w:val="24"/>
          <w:szCs w:val="28"/>
          <w:lang w:val="en"/>
        </w:rPr>
        <w:t xml:space="preserve">ynitrite -1.9 µmol/l; von Willebrand factor -5.4 </w:t>
      </w:r>
      <w:r w:rsidRPr="00A35AD6">
        <w:rPr>
          <w:rFonts w:eastAsia="Calibri" w:cs="Times New Roman"/>
          <w:bCs/>
          <w:sz w:val="24"/>
          <w:szCs w:val="28"/>
          <w:lang w:val="en"/>
        </w:rPr>
        <w:t>µmol/l; In the arterial blood sample - total pro</w:t>
      </w:r>
      <w:r>
        <w:rPr>
          <w:rFonts w:eastAsia="Calibri" w:cs="Times New Roman"/>
          <w:bCs/>
          <w:sz w:val="24"/>
          <w:szCs w:val="28"/>
          <w:lang w:val="en"/>
        </w:rPr>
        <w:softHyphen/>
      </w:r>
      <w:r w:rsidRPr="00A35AD6">
        <w:rPr>
          <w:rFonts w:eastAsia="Calibri" w:cs="Times New Roman"/>
          <w:bCs/>
          <w:sz w:val="24"/>
          <w:szCs w:val="28"/>
          <w:lang w:val="en"/>
        </w:rPr>
        <w:t>tein - 30 g/l, total lipids - 2.1 g/l, albumins - 23%; lactoferin - 2429 ng / ml; procalcitonin - 0.5 ng / ml; IL-1b - 32.4 pg/ml; IL-6 - 8.2 pg/ml; TNF-α - 16.8 pg/ml; NO - 24.2 µmol/l; eNOS - 4.3 µmol/min/l; iNOS - 0.07 µmol/min/l; peroxynitrite - 0.52 µmol/l; von Willebrand factor - 4.3 μmol / l. Started re</w:t>
      </w:r>
      <w:r>
        <w:rPr>
          <w:rFonts w:eastAsia="Calibri" w:cs="Times New Roman"/>
          <w:bCs/>
          <w:sz w:val="24"/>
          <w:szCs w:val="28"/>
          <w:lang w:val="en"/>
        </w:rPr>
        <w:softHyphen/>
      </w:r>
      <w:r w:rsidRPr="00A35AD6">
        <w:rPr>
          <w:rFonts w:eastAsia="Calibri" w:cs="Times New Roman"/>
          <w:bCs/>
          <w:sz w:val="24"/>
          <w:szCs w:val="28"/>
          <w:lang w:val="en"/>
        </w:rPr>
        <w:t xml:space="preserve">gional infusion according to the scheme. The noted positive dynamics from 19-20.01.21 was characterized by a decrease in </w:t>
      </w:r>
      <w:r w:rsidRPr="00A35AD6">
        <w:rPr>
          <w:rFonts w:eastAsia="Calibri" w:cs="Times New Roman"/>
          <w:sz w:val="24"/>
          <w:szCs w:val="28"/>
          <w:lang w:val="en"/>
        </w:rPr>
        <w:t>hyperthermia to 37.5 ºС and tachypnea to 22 times per 1 min. Repeated samples of mixed venous and arterial blood were taken. In analyzes in mixed venous blood - total protein - 49 g / l, total lipids - 2.4 g / l, albumin - 33%; lactoferrin - 1243 ng / ml; procalcitonin - 0.5 ng / ml; IL-1b - 22.3 pg/ml; IL-6 - 27.4 pg / ml; TNF-α - 22.7 pg/ml; NO - 18.3 µmol/l; eNOS - 3.1 µmol/min/l; iNOS - 0.2 µmol/min/l; peroxynitrite - 1.8 µmol/l; von Willebrand factor - 3.2 µmol/l; In the arterial blood sample - total protein - 32 g/l, total lipids - 2.2 g/l, albumins - 28%, lactoferrin - 374 ng/ml; procalcitonin - 0.2 ng / ml; IL-1b - 12.8 pg/ml; IL-6 - 4.2 pg/ml; TNF-α - 14.5 pg/ml; NO - 22.5 µmol/l; eNOS - 7.2 µmol/min/l; iNOS - 0.05 µmol/min/l; peroxynitrite - 0.6 µmol/l; von Willebrand factor - 2.1 µmol/l. On the control fluoroscopy, confluent shadows are visible on both sides, diffuse interstitial edema with abundant spotted shadows, varying de</w:t>
      </w:r>
      <w:r>
        <w:rPr>
          <w:rFonts w:eastAsia="Calibri" w:cs="Times New Roman"/>
          <w:sz w:val="24"/>
          <w:szCs w:val="28"/>
          <w:lang w:val="en"/>
        </w:rPr>
        <w:softHyphen/>
      </w:r>
      <w:r w:rsidRPr="00A35AD6">
        <w:rPr>
          <w:rFonts w:eastAsia="Calibri" w:cs="Times New Roman"/>
          <w:sz w:val="24"/>
          <w:szCs w:val="28"/>
          <w:lang w:val="en"/>
        </w:rPr>
        <w:t>grees of decreased transparency of the middle and lower lung fields. The symptom of "air bronchography" is noted, enlightenments are visible along the large and medium bronchi.</w:t>
      </w:r>
    </w:p>
    <w:p w14:paraId="65AF30B6"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Comparison of data on the barrier-filtra</w:t>
      </w:r>
      <w:r>
        <w:rPr>
          <w:rFonts w:eastAsia="Calibri" w:cs="Times New Roman"/>
          <w:sz w:val="24"/>
          <w:szCs w:val="28"/>
          <w:lang w:val="en"/>
        </w:rPr>
        <w:softHyphen/>
      </w:r>
      <w:r w:rsidRPr="00A35AD6">
        <w:rPr>
          <w:rFonts w:eastAsia="Calibri" w:cs="Times New Roman"/>
          <w:sz w:val="24"/>
          <w:szCs w:val="28"/>
          <w:lang w:val="en"/>
        </w:rPr>
        <w:t>tion function of the lungs with other clinical and instrumental data of surgical sepsis makes it possible to bring this information closer to the real conditions of the course of the patho</w:t>
      </w:r>
      <w:r>
        <w:rPr>
          <w:rFonts w:eastAsia="Calibri" w:cs="Times New Roman"/>
          <w:sz w:val="24"/>
          <w:szCs w:val="28"/>
          <w:lang w:val="en"/>
        </w:rPr>
        <w:softHyphen/>
      </w:r>
      <w:r w:rsidRPr="00A35AD6">
        <w:rPr>
          <w:rFonts w:eastAsia="Calibri" w:cs="Times New Roman"/>
          <w:sz w:val="24"/>
          <w:szCs w:val="28"/>
          <w:lang w:val="en"/>
        </w:rPr>
        <w:t>logical process under study.</w:t>
      </w:r>
    </w:p>
    <w:p w14:paraId="0CEC9FB2" w14:textId="77777777" w:rsidR="00AA571D" w:rsidRPr="00A35AD6" w:rsidRDefault="00AA571D" w:rsidP="0068419D">
      <w:pPr>
        <w:spacing w:line="276" w:lineRule="auto"/>
        <w:ind w:firstLine="567"/>
        <w:jc w:val="both"/>
        <w:rPr>
          <w:rFonts w:eastAsia="Times New Roman" w:cs="Times New Roman"/>
          <w:sz w:val="24"/>
          <w:szCs w:val="28"/>
          <w:lang w:val="en" w:eastAsia="ko-KR"/>
        </w:rPr>
      </w:pPr>
      <w:r w:rsidRPr="00A35AD6">
        <w:rPr>
          <w:rFonts w:eastAsia="Times New Roman" w:cs="Times New Roman"/>
          <w:sz w:val="24"/>
          <w:szCs w:val="28"/>
          <w:lang w:val="en" w:eastAsia="ko-KR"/>
        </w:rPr>
        <w:t xml:space="preserve">Statistical processing of the information data array formed in this way made it possible to determine the most characteristic indicators, which formed the basis for constructing linear </w:t>
      </w:r>
      <w:r w:rsidRPr="00A35AD6">
        <w:rPr>
          <w:rFonts w:eastAsia="Times New Roman" w:cs="Times New Roman"/>
          <w:sz w:val="24"/>
          <w:szCs w:val="28"/>
          <w:lang w:val="en" w:eastAsia="ko-KR"/>
        </w:rPr>
        <w:lastRenderedPageBreak/>
        <w:t>integral data in surgical sepsis. The conducted experimental studies created the conditions for translating data into clinical conditions. The continuity of these conditions also made it pos</w:t>
      </w:r>
      <w:r>
        <w:rPr>
          <w:rFonts w:eastAsia="Times New Roman" w:cs="Times New Roman"/>
          <w:sz w:val="24"/>
          <w:szCs w:val="28"/>
          <w:lang w:val="en" w:eastAsia="ko-KR"/>
        </w:rPr>
        <w:softHyphen/>
      </w:r>
      <w:r w:rsidRPr="00A35AD6">
        <w:rPr>
          <w:rFonts w:eastAsia="Times New Roman" w:cs="Times New Roman"/>
          <w:sz w:val="24"/>
          <w:szCs w:val="28"/>
          <w:lang w:val="en" w:eastAsia="ko-KR"/>
        </w:rPr>
        <w:t>sible to personalize the method for predicting the development of surgical sepsis against the background of severe forms of purulent-in</w:t>
      </w:r>
      <w:r>
        <w:rPr>
          <w:rFonts w:eastAsia="Times New Roman" w:cs="Times New Roman"/>
          <w:sz w:val="24"/>
          <w:szCs w:val="28"/>
          <w:lang w:val="en" w:eastAsia="ko-KR"/>
        </w:rPr>
        <w:softHyphen/>
      </w:r>
      <w:r w:rsidRPr="00A35AD6">
        <w:rPr>
          <w:rFonts w:eastAsia="Times New Roman" w:cs="Times New Roman"/>
          <w:sz w:val="24"/>
          <w:szCs w:val="28"/>
          <w:lang w:val="en" w:eastAsia="ko-KR"/>
        </w:rPr>
        <w:t>flammatory diseases of soft tissues.</w:t>
      </w:r>
    </w:p>
    <w:p w14:paraId="6CB72084"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Translational medicine, based on the achievements of molecular biology and medi</w:t>
      </w:r>
      <w:r>
        <w:rPr>
          <w:rFonts w:eastAsia="Calibri" w:cs="Times New Roman"/>
          <w:sz w:val="24"/>
          <w:szCs w:val="28"/>
          <w:lang w:val="en"/>
        </w:rPr>
        <w:softHyphen/>
      </w:r>
      <w:r w:rsidRPr="00A35AD6">
        <w:rPr>
          <w:rFonts w:eastAsia="Calibri" w:cs="Times New Roman"/>
          <w:sz w:val="24"/>
          <w:szCs w:val="28"/>
          <w:lang w:val="en"/>
        </w:rPr>
        <w:t>cine, which ensures high efficiency in the pro</w:t>
      </w:r>
      <w:r>
        <w:rPr>
          <w:rFonts w:eastAsia="Calibri" w:cs="Times New Roman"/>
          <w:sz w:val="24"/>
          <w:szCs w:val="28"/>
          <w:lang w:val="en"/>
        </w:rPr>
        <w:softHyphen/>
      </w:r>
      <w:r w:rsidRPr="00A35AD6">
        <w:rPr>
          <w:rFonts w:eastAsia="Calibri" w:cs="Times New Roman"/>
          <w:sz w:val="24"/>
          <w:szCs w:val="28"/>
          <w:lang w:val="en"/>
        </w:rPr>
        <w:t>vision of medical services, uses the accumu</w:t>
      </w:r>
      <w:r>
        <w:rPr>
          <w:rFonts w:eastAsia="Calibri" w:cs="Times New Roman"/>
          <w:sz w:val="24"/>
          <w:szCs w:val="28"/>
          <w:lang w:val="en"/>
        </w:rPr>
        <w:softHyphen/>
      </w:r>
      <w:r w:rsidRPr="00A35AD6">
        <w:rPr>
          <w:rFonts w:eastAsia="Calibri" w:cs="Times New Roman"/>
          <w:sz w:val="24"/>
          <w:szCs w:val="28"/>
          <w:lang w:val="en"/>
        </w:rPr>
        <w:t>lated arsenal of modern fundamental knowledge about the mechanisms of basic metabolic processes and their disorders to pro</w:t>
      </w:r>
      <w:r>
        <w:rPr>
          <w:rFonts w:eastAsia="Calibri" w:cs="Times New Roman"/>
          <w:sz w:val="24"/>
          <w:szCs w:val="28"/>
          <w:lang w:val="en"/>
        </w:rPr>
        <w:softHyphen/>
      </w:r>
      <w:r w:rsidRPr="00A35AD6">
        <w:rPr>
          <w:rFonts w:eastAsia="Calibri" w:cs="Times New Roman"/>
          <w:sz w:val="24"/>
          <w:szCs w:val="28"/>
          <w:lang w:val="en"/>
        </w:rPr>
        <w:t>vide effective medical care to a particular pa</w:t>
      </w:r>
      <w:r>
        <w:rPr>
          <w:rFonts w:eastAsia="Calibri" w:cs="Times New Roman"/>
          <w:sz w:val="24"/>
          <w:szCs w:val="28"/>
          <w:lang w:val="en"/>
        </w:rPr>
        <w:softHyphen/>
      </w:r>
      <w:r w:rsidRPr="00A35AD6">
        <w:rPr>
          <w:rFonts w:eastAsia="Calibri" w:cs="Times New Roman"/>
          <w:sz w:val="24"/>
          <w:szCs w:val="28"/>
          <w:lang w:val="en"/>
        </w:rPr>
        <w:t>tient, i.e. for personalized therapy. Personal</w:t>
      </w:r>
      <w:r>
        <w:rPr>
          <w:rFonts w:eastAsia="Calibri" w:cs="Times New Roman"/>
          <w:sz w:val="24"/>
          <w:szCs w:val="28"/>
          <w:lang w:val="en"/>
        </w:rPr>
        <w:softHyphen/>
      </w:r>
      <w:r w:rsidRPr="00A35AD6">
        <w:rPr>
          <w:rFonts w:eastAsia="Calibri" w:cs="Times New Roman"/>
          <w:sz w:val="24"/>
          <w:szCs w:val="28"/>
          <w:lang w:val="en"/>
        </w:rPr>
        <w:t>ized therapy is a new quality of medical ser</w:t>
      </w:r>
      <w:r>
        <w:rPr>
          <w:rFonts w:eastAsia="Calibri" w:cs="Times New Roman"/>
          <w:sz w:val="24"/>
          <w:szCs w:val="28"/>
          <w:lang w:val="en"/>
        </w:rPr>
        <w:softHyphen/>
      </w:r>
      <w:r w:rsidRPr="00A35AD6">
        <w:rPr>
          <w:rFonts w:eastAsia="Calibri" w:cs="Times New Roman"/>
          <w:sz w:val="24"/>
          <w:szCs w:val="28"/>
          <w:lang w:val="en"/>
        </w:rPr>
        <w:t>vices [34,37].</w:t>
      </w:r>
    </w:p>
    <w:p w14:paraId="48675247"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It is impossible to overestimate the role of translational medicine in oncology. The de</w:t>
      </w:r>
      <w:r>
        <w:rPr>
          <w:rFonts w:eastAsia="Calibri" w:cs="Times New Roman"/>
          <w:sz w:val="24"/>
          <w:szCs w:val="28"/>
          <w:lang w:val="en"/>
        </w:rPr>
        <w:softHyphen/>
      </w:r>
      <w:r w:rsidRPr="00A35AD6">
        <w:rPr>
          <w:rFonts w:eastAsia="Calibri" w:cs="Times New Roman"/>
          <w:sz w:val="24"/>
          <w:szCs w:val="28"/>
          <w:lang w:val="en"/>
        </w:rPr>
        <w:t>ciphering of the human genome and the devel</w:t>
      </w:r>
      <w:r>
        <w:rPr>
          <w:rFonts w:eastAsia="Calibri" w:cs="Times New Roman"/>
          <w:sz w:val="24"/>
          <w:szCs w:val="28"/>
          <w:lang w:val="en"/>
        </w:rPr>
        <w:softHyphen/>
      </w:r>
      <w:r w:rsidRPr="00A35AD6">
        <w:rPr>
          <w:rFonts w:eastAsia="Calibri" w:cs="Times New Roman"/>
          <w:sz w:val="24"/>
          <w:szCs w:val="28"/>
          <w:lang w:val="en"/>
        </w:rPr>
        <w:t>opment of genomics have made it possible to obtain information about the association of in</w:t>
      </w:r>
      <w:r>
        <w:rPr>
          <w:rFonts w:eastAsia="Calibri" w:cs="Times New Roman"/>
          <w:sz w:val="24"/>
          <w:szCs w:val="28"/>
          <w:lang w:val="en"/>
        </w:rPr>
        <w:softHyphen/>
      </w:r>
      <w:r w:rsidRPr="00A35AD6">
        <w:rPr>
          <w:rFonts w:eastAsia="Calibri" w:cs="Times New Roman"/>
          <w:sz w:val="24"/>
          <w:szCs w:val="28"/>
          <w:lang w:val="en"/>
        </w:rPr>
        <w:t>dividual genomic and proteomic disorders with the likelihood of certain diseases [14, 21, 22, 25, 35, 36].</w:t>
      </w:r>
    </w:p>
    <w:p w14:paraId="3ECC3E0B"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Despite the increase in life expectancy in European countries, diseases of the cardiovas</w:t>
      </w:r>
      <w:r>
        <w:rPr>
          <w:rFonts w:eastAsia="Calibri" w:cs="Times New Roman"/>
          <w:sz w:val="24"/>
          <w:szCs w:val="28"/>
          <w:lang w:val="en"/>
        </w:rPr>
        <w:softHyphen/>
      </w:r>
      <w:r w:rsidRPr="00A35AD6">
        <w:rPr>
          <w:rFonts w:eastAsia="Calibri" w:cs="Times New Roman"/>
          <w:sz w:val="24"/>
          <w:szCs w:val="28"/>
          <w:lang w:val="en"/>
        </w:rPr>
        <w:t>cular system are among the main causes of death. At the same time, for various forms of heart failure, a correlation was established with the expression of a group of protein genes in</w:t>
      </w:r>
      <w:r>
        <w:rPr>
          <w:rFonts w:eastAsia="Calibri" w:cs="Times New Roman"/>
          <w:sz w:val="24"/>
          <w:szCs w:val="28"/>
          <w:lang w:val="en"/>
        </w:rPr>
        <w:softHyphen/>
      </w:r>
      <w:r w:rsidRPr="00A35AD6">
        <w:rPr>
          <w:rFonts w:eastAsia="Calibri" w:cs="Times New Roman"/>
          <w:sz w:val="24"/>
          <w:szCs w:val="28"/>
          <w:lang w:val="en"/>
        </w:rPr>
        <w:t>volved in many cellular, including signaling, processes. It has been shown that in these pa</w:t>
      </w:r>
      <w:r>
        <w:rPr>
          <w:rFonts w:eastAsia="Calibri" w:cs="Times New Roman"/>
          <w:sz w:val="24"/>
          <w:szCs w:val="28"/>
          <w:lang w:val="en"/>
        </w:rPr>
        <w:softHyphen/>
      </w:r>
      <w:r w:rsidRPr="00A35AD6">
        <w:rPr>
          <w:rFonts w:eastAsia="Calibri" w:cs="Times New Roman"/>
          <w:sz w:val="24"/>
          <w:szCs w:val="28"/>
          <w:lang w:val="en"/>
        </w:rPr>
        <w:t>tients there are changes in hundreds of genes involved in transduction, in energy-dependent metabolic processes, apoptosis, transmem</w:t>
      </w:r>
      <w:r>
        <w:rPr>
          <w:rFonts w:eastAsia="Calibri" w:cs="Times New Roman"/>
          <w:sz w:val="24"/>
          <w:szCs w:val="28"/>
          <w:lang w:val="en"/>
        </w:rPr>
        <w:softHyphen/>
      </w:r>
      <w:r w:rsidRPr="00A35AD6">
        <w:rPr>
          <w:rFonts w:eastAsia="Calibri" w:cs="Times New Roman"/>
          <w:sz w:val="24"/>
          <w:szCs w:val="28"/>
          <w:lang w:val="en"/>
        </w:rPr>
        <w:t>brane ion transport, maintenance of the struc</w:t>
      </w:r>
      <w:r>
        <w:rPr>
          <w:rFonts w:eastAsia="Calibri" w:cs="Times New Roman"/>
          <w:sz w:val="24"/>
          <w:szCs w:val="28"/>
          <w:lang w:val="en"/>
        </w:rPr>
        <w:softHyphen/>
      </w:r>
      <w:r w:rsidRPr="00A35AD6">
        <w:rPr>
          <w:rFonts w:eastAsia="Calibri" w:cs="Times New Roman"/>
          <w:sz w:val="24"/>
          <w:szCs w:val="28"/>
          <w:lang w:val="en"/>
        </w:rPr>
        <w:t>ture of the cytoskeleton and extracellular ma</w:t>
      </w:r>
      <w:r>
        <w:rPr>
          <w:rFonts w:eastAsia="Calibri" w:cs="Times New Roman"/>
          <w:sz w:val="24"/>
          <w:szCs w:val="28"/>
          <w:lang w:val="en"/>
        </w:rPr>
        <w:softHyphen/>
      </w:r>
      <w:r w:rsidRPr="00A35AD6">
        <w:rPr>
          <w:rFonts w:eastAsia="Calibri" w:cs="Times New Roman"/>
          <w:sz w:val="24"/>
          <w:szCs w:val="28"/>
          <w:lang w:val="en"/>
        </w:rPr>
        <w:t>trix [38, 39]. The clinical application of these data obtained in population studies can be based on them a detailed classification of car</w:t>
      </w:r>
      <w:r>
        <w:rPr>
          <w:rFonts w:eastAsia="Calibri" w:cs="Times New Roman"/>
          <w:sz w:val="24"/>
          <w:szCs w:val="28"/>
          <w:lang w:val="en"/>
        </w:rPr>
        <w:softHyphen/>
      </w:r>
      <w:r w:rsidRPr="00A35AD6">
        <w:rPr>
          <w:rFonts w:eastAsia="Calibri" w:cs="Times New Roman"/>
          <w:sz w:val="24"/>
          <w:szCs w:val="28"/>
          <w:lang w:val="en"/>
        </w:rPr>
        <w:t>diomyopathies and the prediction of response to appropriate therapy [16, 18, 27].</w:t>
      </w:r>
    </w:p>
    <w:p w14:paraId="3C74F414" w14:textId="77777777" w:rsidR="00AA571D" w:rsidRPr="00A35AD6" w:rsidRDefault="00AA571D" w:rsidP="0068419D">
      <w:pPr>
        <w:spacing w:line="276" w:lineRule="auto"/>
        <w:ind w:firstLine="567"/>
        <w:jc w:val="both"/>
        <w:rPr>
          <w:rFonts w:eastAsia="Calibri" w:cs="Times New Roman"/>
          <w:sz w:val="24"/>
          <w:szCs w:val="28"/>
          <w:lang w:val="en"/>
        </w:rPr>
      </w:pPr>
      <w:r w:rsidRPr="00A35AD6">
        <w:rPr>
          <w:rFonts w:eastAsia="Calibri" w:cs="Times New Roman"/>
          <w:sz w:val="24"/>
          <w:szCs w:val="28"/>
          <w:lang w:val="en"/>
        </w:rPr>
        <w:t>Thus, translational medicine, combining the success of scientific research, the informa</w:t>
      </w:r>
      <w:r>
        <w:rPr>
          <w:rFonts w:eastAsia="Calibri" w:cs="Times New Roman"/>
          <w:sz w:val="24"/>
          <w:szCs w:val="28"/>
          <w:lang w:val="en"/>
        </w:rPr>
        <w:softHyphen/>
      </w:r>
      <w:r w:rsidRPr="00A35AD6">
        <w:rPr>
          <w:rFonts w:eastAsia="Calibri" w:cs="Times New Roman"/>
          <w:sz w:val="24"/>
          <w:szCs w:val="28"/>
          <w:lang w:val="en"/>
        </w:rPr>
        <w:t>tiveness of diagnostic approaches and data from clinical studies, is designed to improve the efficiency and effectiveness of therapeutic intervention, and, consequently, improve the quality of life. Thus, when discussing ways to combat high mortality from cardiovascular dis</w:t>
      </w:r>
      <w:r>
        <w:rPr>
          <w:rFonts w:eastAsia="Calibri" w:cs="Times New Roman"/>
          <w:sz w:val="24"/>
          <w:szCs w:val="28"/>
          <w:lang w:val="en"/>
        </w:rPr>
        <w:softHyphen/>
      </w:r>
      <w:r w:rsidRPr="00A35AD6">
        <w:rPr>
          <w:rFonts w:eastAsia="Calibri" w:cs="Times New Roman"/>
          <w:sz w:val="24"/>
          <w:szCs w:val="28"/>
          <w:lang w:val="en"/>
        </w:rPr>
        <w:t>eases, many researchers note the need to over</w:t>
      </w:r>
      <w:r>
        <w:rPr>
          <w:rFonts w:eastAsia="Calibri" w:cs="Times New Roman"/>
          <w:sz w:val="24"/>
          <w:szCs w:val="28"/>
          <w:lang w:val="en"/>
        </w:rPr>
        <w:softHyphen/>
      </w:r>
      <w:r w:rsidRPr="00A35AD6">
        <w:rPr>
          <w:rFonts w:eastAsia="Calibri" w:cs="Times New Roman"/>
          <w:sz w:val="24"/>
          <w:szCs w:val="28"/>
          <w:lang w:val="en"/>
        </w:rPr>
        <w:t>come the existing gap between the available scientific and clinical data, on the one hand, and health policy, on the other, which can only be done through translational medicine - by se</w:t>
      </w:r>
      <w:r>
        <w:rPr>
          <w:rFonts w:eastAsia="Calibri" w:cs="Times New Roman"/>
          <w:sz w:val="24"/>
          <w:szCs w:val="28"/>
          <w:lang w:val="en"/>
        </w:rPr>
        <w:softHyphen/>
      </w:r>
      <w:r w:rsidRPr="00A35AD6">
        <w:rPr>
          <w:rFonts w:eastAsia="Calibri" w:cs="Times New Roman"/>
          <w:sz w:val="24"/>
          <w:szCs w:val="28"/>
          <w:lang w:val="en"/>
        </w:rPr>
        <w:t>quentially passing through the above-men</w:t>
      </w:r>
      <w:r>
        <w:rPr>
          <w:rFonts w:eastAsia="Calibri" w:cs="Times New Roman"/>
          <w:sz w:val="24"/>
          <w:szCs w:val="28"/>
          <w:lang w:val="en"/>
        </w:rPr>
        <w:softHyphen/>
      </w:r>
      <w:r w:rsidRPr="00A35AD6">
        <w:rPr>
          <w:rFonts w:eastAsia="Calibri" w:cs="Times New Roman"/>
          <w:sz w:val="24"/>
          <w:szCs w:val="28"/>
          <w:lang w:val="en"/>
        </w:rPr>
        <w:t>tioned translational barriers. Translational medicine, as a young direction in medical sci</w:t>
      </w:r>
      <w:r>
        <w:rPr>
          <w:rFonts w:eastAsia="Calibri" w:cs="Times New Roman"/>
          <w:sz w:val="24"/>
          <w:szCs w:val="28"/>
          <w:lang w:val="en"/>
        </w:rPr>
        <w:softHyphen/>
      </w:r>
      <w:r w:rsidRPr="00A35AD6">
        <w:rPr>
          <w:rFonts w:eastAsia="Calibri" w:cs="Times New Roman"/>
          <w:sz w:val="24"/>
          <w:szCs w:val="28"/>
          <w:lang w:val="en"/>
        </w:rPr>
        <w:t>ence, is still at the level of its first translational barrier, and the task is to introduce new bio</w:t>
      </w:r>
      <w:r>
        <w:rPr>
          <w:rFonts w:eastAsia="Calibri" w:cs="Times New Roman"/>
          <w:sz w:val="24"/>
          <w:szCs w:val="28"/>
          <w:lang w:val="en"/>
        </w:rPr>
        <w:softHyphen/>
      </w:r>
      <w:r w:rsidRPr="00A35AD6">
        <w:rPr>
          <w:rFonts w:eastAsia="Calibri" w:cs="Times New Roman"/>
          <w:sz w:val="24"/>
          <w:szCs w:val="28"/>
          <w:lang w:val="en"/>
        </w:rPr>
        <w:t>medical scientific and theoretical provisions and methods to the field of clinical use as much as possible.</w:t>
      </w:r>
    </w:p>
    <w:p w14:paraId="6DC47310" w14:textId="77777777" w:rsidR="00AA571D" w:rsidRPr="00A35AD6" w:rsidRDefault="00AA571D" w:rsidP="0068419D">
      <w:pPr>
        <w:spacing w:line="276" w:lineRule="auto"/>
        <w:ind w:firstLine="567"/>
        <w:jc w:val="both"/>
        <w:rPr>
          <w:rFonts w:eastAsia="Calibri" w:cs="Times New Roman"/>
          <w:sz w:val="24"/>
          <w:szCs w:val="28"/>
          <w:lang w:val="en"/>
        </w:rPr>
      </w:pPr>
    </w:p>
    <w:p w14:paraId="247F17D0" w14:textId="77777777" w:rsidR="00AA571D" w:rsidRDefault="00AA571D" w:rsidP="0068419D">
      <w:pPr>
        <w:spacing w:line="276" w:lineRule="auto"/>
        <w:jc w:val="center"/>
        <w:rPr>
          <w:rFonts w:eastAsia="Calibri" w:cs="Times New Roman"/>
          <w:b/>
          <w:bCs/>
          <w:sz w:val="24"/>
          <w:szCs w:val="28"/>
          <w:lang w:val="en"/>
        </w:rPr>
      </w:pPr>
      <w:r w:rsidRPr="00A35AD6">
        <w:rPr>
          <w:rFonts w:eastAsia="Calibri" w:cs="Times New Roman"/>
          <w:b/>
          <w:bCs/>
          <w:sz w:val="24"/>
          <w:szCs w:val="28"/>
          <w:lang w:val="en"/>
        </w:rPr>
        <w:t>BIBLIOGRAPHY:</w:t>
      </w:r>
    </w:p>
    <w:p w14:paraId="3AC148BA" w14:textId="77777777" w:rsidR="00AA571D" w:rsidRPr="00A35AD6" w:rsidRDefault="00AA571D" w:rsidP="0068419D">
      <w:pPr>
        <w:tabs>
          <w:tab w:val="left" w:pos="993"/>
        </w:tabs>
        <w:spacing w:line="276" w:lineRule="auto"/>
        <w:ind w:firstLine="567"/>
        <w:jc w:val="both"/>
        <w:rPr>
          <w:rFonts w:eastAsia="Calibri" w:cs="Times New Roman"/>
          <w:b/>
          <w:bCs/>
          <w:sz w:val="24"/>
          <w:szCs w:val="28"/>
          <w:lang w:val="en"/>
        </w:rPr>
      </w:pPr>
    </w:p>
    <w:p w14:paraId="240FC9F5"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Albin RJ, Marincola FM, Natali PG The "Excellence in Translational Medicine" and "Bedside-to-Bench" Awards 2012–2013. J. Transl. Med. 2016; 8:95–96.</w:t>
      </w:r>
    </w:p>
    <w:p w14:paraId="0CC3934C"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Alnaim L. Therapeutic drug moni</w:t>
      </w:r>
      <w:r>
        <w:rPr>
          <w:rFonts w:eastAsia="Calibri" w:cs="Times New Roman"/>
          <w:sz w:val="24"/>
          <w:szCs w:val="28"/>
        </w:rPr>
        <w:softHyphen/>
      </w:r>
      <w:r w:rsidRPr="00A35AD6">
        <w:rPr>
          <w:rFonts w:eastAsia="Calibri" w:cs="Times New Roman"/>
          <w:sz w:val="24"/>
          <w:szCs w:val="28"/>
        </w:rPr>
        <w:t>toring of cancer chemotherapy. J. Oncol. Pharm. Pract. 2015; 13(4): 207–221.</w:t>
      </w:r>
    </w:p>
    <w:p w14:paraId="45F6958A"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Butlet D. Translational Research: crossing the value of death. Nature. 2018; 453:840–842.</w:t>
      </w:r>
    </w:p>
    <w:p w14:paraId="1FD39B30"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Campuzano O., Sarquella-Brugada G., Brugada R. Cardiovascular translational medicine (IV): The genetic basis of malignant arrhythmias and cardiomyopathies. Rev. Esp. cardiol. 2019; 62(4): 422–436</w:t>
      </w:r>
    </w:p>
    <w:p w14:paraId="13F541EE"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Christensen J., Hojskov CS, Poulsen JH Liquid chromatography tandem mass spec</w:t>
      </w:r>
      <w:r>
        <w:rPr>
          <w:rFonts w:eastAsia="Calibri" w:cs="Times New Roman"/>
          <w:sz w:val="24"/>
          <w:szCs w:val="28"/>
        </w:rPr>
        <w:softHyphen/>
      </w:r>
      <w:r w:rsidRPr="00A35AD6">
        <w:rPr>
          <w:rFonts w:eastAsia="Calibri" w:cs="Times New Roman"/>
          <w:sz w:val="24"/>
          <w:szCs w:val="28"/>
        </w:rPr>
        <w:t>trometry assay for topiramate analysis in plasma and cerebrospinal fluid: validation and comparison with fluorescence-polarization im</w:t>
      </w:r>
      <w:r>
        <w:rPr>
          <w:rFonts w:eastAsia="Calibri" w:cs="Times New Roman"/>
          <w:sz w:val="24"/>
          <w:szCs w:val="28"/>
        </w:rPr>
        <w:softHyphen/>
      </w:r>
      <w:r w:rsidRPr="00A35AD6">
        <w:rPr>
          <w:rFonts w:eastAsia="Calibri" w:cs="Times New Roman"/>
          <w:sz w:val="24"/>
          <w:szCs w:val="28"/>
        </w:rPr>
        <w:lastRenderedPageBreak/>
        <w:t>munoassay. Ther. drug monitor. 2012; 24:658–664.</w:t>
      </w:r>
    </w:p>
    <w:p w14:paraId="42EEF17F"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fr-FR"/>
        </w:rPr>
        <w:t xml:space="preserve">Christian U., Jacobsen W., Sercova N. et al. </w:t>
      </w:r>
      <w:r w:rsidRPr="00A35AD6">
        <w:rPr>
          <w:rFonts w:eastAsia="Calibri" w:cs="Times New Roman"/>
          <w:sz w:val="24"/>
          <w:szCs w:val="28"/>
        </w:rPr>
        <w:t>Automated, fast and sensitive quanti</w:t>
      </w:r>
      <w:r>
        <w:rPr>
          <w:rFonts w:eastAsia="Calibri" w:cs="Times New Roman"/>
          <w:sz w:val="24"/>
          <w:szCs w:val="28"/>
        </w:rPr>
        <w:softHyphen/>
      </w:r>
      <w:r w:rsidRPr="00A35AD6">
        <w:rPr>
          <w:rFonts w:eastAsia="Calibri" w:cs="Times New Roman"/>
          <w:sz w:val="24"/>
          <w:szCs w:val="28"/>
        </w:rPr>
        <w:t>fication of drugs in blood by liquid chromatog</w:t>
      </w:r>
      <w:r>
        <w:rPr>
          <w:rFonts w:eastAsia="Calibri" w:cs="Times New Roman"/>
          <w:sz w:val="24"/>
          <w:szCs w:val="28"/>
        </w:rPr>
        <w:softHyphen/>
      </w:r>
      <w:r w:rsidRPr="00A35AD6">
        <w:rPr>
          <w:rFonts w:eastAsia="Calibri" w:cs="Times New Roman"/>
          <w:sz w:val="24"/>
          <w:szCs w:val="28"/>
        </w:rPr>
        <w:t>raphy-mass spectrometry with on-line extrac</w:t>
      </w:r>
      <w:r>
        <w:rPr>
          <w:rFonts w:eastAsia="Calibri" w:cs="Times New Roman"/>
          <w:sz w:val="24"/>
          <w:szCs w:val="28"/>
        </w:rPr>
        <w:softHyphen/>
      </w:r>
      <w:r w:rsidRPr="00A35AD6">
        <w:rPr>
          <w:rFonts w:eastAsia="Calibri" w:cs="Times New Roman"/>
          <w:sz w:val="24"/>
          <w:szCs w:val="28"/>
        </w:rPr>
        <w:t>tion: immunosuppressants. J. Chromatography B. Biomed. sci. Appl. 2010; 748(1): 41–53.</w:t>
      </w:r>
    </w:p>
    <w:p w14:paraId="63B36B2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de-DE"/>
        </w:rPr>
        <w:t xml:space="preserve">Chung HW., Lee SG., Kim H. et al. </w:t>
      </w:r>
      <w:r w:rsidRPr="00A35AD6">
        <w:rPr>
          <w:rFonts w:eastAsia="Calibri" w:cs="Times New Roman"/>
          <w:sz w:val="24"/>
          <w:szCs w:val="28"/>
        </w:rPr>
        <w:t>Serum high mobility group box-1 (HMGB1) is closely associated with clinical and pathologi</w:t>
      </w:r>
      <w:r>
        <w:rPr>
          <w:rFonts w:eastAsia="Calibri" w:cs="Times New Roman"/>
          <w:sz w:val="24"/>
          <w:szCs w:val="28"/>
        </w:rPr>
        <w:softHyphen/>
      </w:r>
      <w:r w:rsidRPr="00A35AD6">
        <w:rPr>
          <w:rFonts w:eastAsia="Calibri" w:cs="Times New Roman"/>
          <w:sz w:val="24"/>
          <w:szCs w:val="28"/>
        </w:rPr>
        <w:t>cal features of gastric cancer. J. Transl. Med. 2019; 7:38–48.</w:t>
      </w:r>
    </w:p>
    <w:p w14:paraId="7522A516"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fr-FR"/>
        </w:rPr>
        <w:t xml:space="preserve">Cimino J., Ayres E., Remennik L. et al. </w:t>
      </w:r>
      <w:r w:rsidRPr="00A35AD6">
        <w:rPr>
          <w:rFonts w:eastAsia="Calibri" w:cs="Times New Roman"/>
          <w:sz w:val="24"/>
          <w:szCs w:val="28"/>
        </w:rPr>
        <w:t>The National Institutes of Health's Biomed</w:t>
      </w:r>
      <w:r>
        <w:rPr>
          <w:rFonts w:eastAsia="Calibri" w:cs="Times New Roman"/>
          <w:sz w:val="24"/>
          <w:szCs w:val="28"/>
        </w:rPr>
        <w:softHyphen/>
      </w:r>
      <w:r w:rsidRPr="00A35AD6">
        <w:rPr>
          <w:rFonts w:eastAsia="Calibri" w:cs="Times New Roman"/>
          <w:sz w:val="24"/>
          <w:szCs w:val="28"/>
        </w:rPr>
        <w:t>ical Translational Research Information Sys</w:t>
      </w:r>
      <w:r>
        <w:rPr>
          <w:rFonts w:eastAsia="Calibri" w:cs="Times New Roman"/>
          <w:sz w:val="24"/>
          <w:szCs w:val="28"/>
        </w:rPr>
        <w:softHyphen/>
      </w:r>
      <w:r w:rsidRPr="00A35AD6">
        <w:rPr>
          <w:rFonts w:eastAsia="Calibri" w:cs="Times New Roman"/>
          <w:sz w:val="24"/>
          <w:szCs w:val="28"/>
        </w:rPr>
        <w:t>tem (BTRIS): Design, contents, functionality and experience to date. Journal of Biomedical Informatics. 2013. URL: http://www.j-bio</w:t>
      </w:r>
      <w:r>
        <w:rPr>
          <w:rFonts w:eastAsia="Calibri" w:cs="Times New Roman"/>
          <w:sz w:val="24"/>
          <w:szCs w:val="28"/>
        </w:rPr>
        <w:softHyphen/>
      </w:r>
      <w:r w:rsidRPr="00A35AD6">
        <w:rPr>
          <w:rFonts w:eastAsia="Calibri" w:cs="Times New Roman"/>
          <w:sz w:val="24"/>
          <w:szCs w:val="28"/>
        </w:rPr>
        <w:t>med-inform.com</w:t>
      </w:r>
    </w:p>
    <w:p w14:paraId="4D2428BD"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fr-FR"/>
        </w:rPr>
        <w:t xml:space="preserve">Clayton TA, Lindon JC, Cloarec O. et al. </w:t>
      </w:r>
      <w:r w:rsidRPr="00A35AD6">
        <w:rPr>
          <w:rFonts w:eastAsia="Calibri" w:cs="Times New Roman"/>
          <w:sz w:val="24"/>
          <w:szCs w:val="28"/>
        </w:rPr>
        <w:t>Pharmaco-metabonomic phenotyping and personalized drug treatment. Nature. 2016; 440 (7087): 1073–1077.</w:t>
      </w:r>
    </w:p>
    <w:p w14:paraId="7F3BBC4A"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it-IT"/>
        </w:rPr>
        <w:t xml:space="preserve">Corona G., Casetta B., Sandron S. et al. </w:t>
      </w:r>
      <w:r w:rsidRPr="00A35AD6">
        <w:rPr>
          <w:rFonts w:eastAsia="Calibri" w:cs="Times New Roman"/>
          <w:sz w:val="24"/>
          <w:szCs w:val="28"/>
        </w:rPr>
        <w:t>Rapid and sensitive analysis of vincristine in human plasma using on-line extraction com</w:t>
      </w:r>
      <w:r>
        <w:rPr>
          <w:rFonts w:eastAsia="Calibri" w:cs="Times New Roman"/>
          <w:sz w:val="24"/>
          <w:szCs w:val="28"/>
        </w:rPr>
        <w:softHyphen/>
      </w:r>
      <w:r w:rsidRPr="00A35AD6">
        <w:rPr>
          <w:rFonts w:eastAsia="Calibri" w:cs="Times New Roman"/>
          <w:sz w:val="24"/>
          <w:szCs w:val="28"/>
        </w:rPr>
        <w:t>bined with liquid chromatography /tandem mass spectrometry. Rapid Com in Mass Spec</w:t>
      </w:r>
      <w:r>
        <w:rPr>
          <w:rFonts w:eastAsia="Calibri" w:cs="Times New Roman"/>
          <w:sz w:val="24"/>
          <w:szCs w:val="28"/>
        </w:rPr>
        <w:softHyphen/>
      </w:r>
      <w:r w:rsidRPr="00A35AD6">
        <w:rPr>
          <w:rFonts w:eastAsia="Calibri" w:cs="Times New Roman"/>
          <w:sz w:val="24"/>
          <w:szCs w:val="28"/>
        </w:rPr>
        <w:t>trometry. 2018; 22:519–525.</w:t>
      </w:r>
    </w:p>
    <w:p w14:paraId="31B356B9"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Darcy KM, Birrer MJ Translational research in the Gynecologic Oncology Group: evaluation of ovarian cancer markers, profiles, and novel therapies. Gynecol. oncol. 2011; 117(3): 429–439.</w:t>
      </w:r>
    </w:p>
    <w:p w14:paraId="4812CA2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Day M., Rutkowski JL, Feuerstein GZ Translational medicine — a paradigm shifts in modern drug discovery and develop</w:t>
      </w:r>
      <w:r>
        <w:rPr>
          <w:rFonts w:eastAsia="Calibri" w:cs="Times New Roman"/>
          <w:sz w:val="24"/>
          <w:szCs w:val="28"/>
        </w:rPr>
        <w:softHyphen/>
      </w:r>
      <w:r w:rsidRPr="00A35AD6">
        <w:rPr>
          <w:rFonts w:eastAsia="Calibri" w:cs="Times New Roman"/>
          <w:sz w:val="24"/>
          <w:szCs w:val="28"/>
        </w:rPr>
        <w:t>ment: the role of biomarkers. Adv. Exp. Med. Biol. 2019; 655:1–12.</w:t>
      </w:r>
    </w:p>
    <w:p w14:paraId="13E216EF"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Delaney A., Fleetwood SM, Colvin LA Translational medicine: cancer pain mech</w:t>
      </w:r>
      <w:r>
        <w:rPr>
          <w:rFonts w:eastAsia="Calibri" w:cs="Times New Roman"/>
          <w:sz w:val="24"/>
          <w:szCs w:val="28"/>
        </w:rPr>
        <w:softHyphen/>
      </w:r>
      <w:r w:rsidRPr="00A35AD6">
        <w:rPr>
          <w:rFonts w:eastAsia="Calibri" w:cs="Times New Roman"/>
          <w:sz w:val="24"/>
          <w:szCs w:val="28"/>
        </w:rPr>
        <w:t>anisms and management. Brit. J. Anaest. 2018; 101(1): 87–94.</w:t>
      </w:r>
    </w:p>
    <w:p w14:paraId="63967D5A"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Diaz-Rubio E. Translational re</w:t>
      </w:r>
      <w:r>
        <w:rPr>
          <w:rFonts w:eastAsia="Calibri" w:cs="Times New Roman"/>
          <w:sz w:val="24"/>
          <w:szCs w:val="28"/>
        </w:rPr>
        <w:softHyphen/>
      </w:r>
      <w:r w:rsidRPr="00A35AD6">
        <w:rPr>
          <w:rFonts w:eastAsia="Calibri" w:cs="Times New Roman"/>
          <w:sz w:val="24"/>
          <w:szCs w:val="28"/>
        </w:rPr>
        <w:t>search in clinical oncology: challenges and op</w:t>
      </w:r>
      <w:r>
        <w:rPr>
          <w:rFonts w:eastAsia="Calibri" w:cs="Times New Roman"/>
          <w:sz w:val="24"/>
          <w:szCs w:val="28"/>
        </w:rPr>
        <w:softHyphen/>
      </w:r>
      <w:r w:rsidRPr="00A35AD6">
        <w:rPr>
          <w:rFonts w:eastAsia="Calibri" w:cs="Times New Roman"/>
          <w:sz w:val="24"/>
          <w:szCs w:val="28"/>
        </w:rPr>
        <w:t>portunities. Farm. hosp. 2011; 34S1: 1–7.</w:t>
      </w:r>
    </w:p>
    <w:p w14:paraId="1F53DE2F"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Drolet B., Lorenzi N. Translational research: understanding the continuum from bench to bedside. translational research. 2011; 1:1–5.</w:t>
      </w:r>
    </w:p>
    <w:p w14:paraId="6F7F678B"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Eschenhagen T., Force T., Ewer MS et al. Cardiovascular side effects of cancer therapies: a position statement from the Heart Failure Association of the European Society of Cardiology. Eur. J. Heart Fail. 2011; 13(1):1–10.</w:t>
      </w:r>
    </w:p>
    <w:p w14:paraId="05B441BA"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lang w:val="en"/>
        </w:rPr>
      </w:pPr>
      <w:r w:rsidRPr="00A35AD6">
        <w:rPr>
          <w:rFonts w:eastAsia="Calibri" w:cs="Times New Roman"/>
          <w:sz w:val="24"/>
          <w:szCs w:val="28"/>
        </w:rPr>
        <w:t>Evans S., Scarbrough H. Supporting knowledge translation through collaborative translational research initiatives: "Bridging" versus "blurring" boundary-spanning ap</w:t>
      </w:r>
      <w:r>
        <w:rPr>
          <w:rFonts w:eastAsia="Calibri" w:cs="Times New Roman"/>
          <w:sz w:val="24"/>
          <w:szCs w:val="28"/>
        </w:rPr>
        <w:softHyphen/>
      </w:r>
      <w:r w:rsidRPr="00A35AD6">
        <w:rPr>
          <w:rFonts w:eastAsia="Calibri" w:cs="Times New Roman"/>
          <w:sz w:val="24"/>
          <w:szCs w:val="28"/>
        </w:rPr>
        <w:t xml:space="preserve">proaches in the UK CLAHRS initiative. Social Science Medicine. </w:t>
      </w:r>
      <w:r w:rsidRPr="00A35AD6">
        <w:rPr>
          <w:rFonts w:eastAsia="Calibri" w:cs="Times New Roman"/>
          <w:sz w:val="24"/>
          <w:szCs w:val="28"/>
          <w:lang w:val="en"/>
        </w:rPr>
        <w:t>2014; 106:119–127.</w:t>
      </w:r>
    </w:p>
    <w:p w14:paraId="6F4A245B"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Feldman AM, Koch WJ, Force TL Developing strategies to link basic cardiovas</w:t>
      </w:r>
      <w:r>
        <w:rPr>
          <w:rFonts w:eastAsia="Calibri" w:cs="Times New Roman"/>
          <w:sz w:val="24"/>
          <w:szCs w:val="28"/>
        </w:rPr>
        <w:softHyphen/>
      </w:r>
      <w:r w:rsidRPr="00A35AD6">
        <w:rPr>
          <w:rFonts w:eastAsia="Calibri" w:cs="Times New Roman"/>
          <w:sz w:val="24"/>
          <w:szCs w:val="28"/>
        </w:rPr>
        <w:t>cular sciences with clinical drug development: another opportunity for translational sciences. Clin. Pharmacol. Ther. 2017; 81(6): 887–892.</w:t>
      </w:r>
    </w:p>
    <w:p w14:paraId="0A61A236"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 xml:space="preserve">Fishburn C. Translational research: the changing landscape of drug discovery. Drug Discovery Today. 2012. </w:t>
      </w:r>
      <w:r w:rsidRPr="00A35AD6">
        <w:rPr>
          <w:rFonts w:eastAsia="Calibri" w:cs="Times New Roman"/>
          <w:sz w:val="24"/>
          <w:szCs w:val="28"/>
          <w:lang w:val="en"/>
        </w:rPr>
        <w:t xml:space="preserve">R. </w:t>
      </w:r>
      <w:r w:rsidRPr="00A35AD6">
        <w:rPr>
          <w:rFonts w:eastAsia="Calibri" w:cs="Times New Roman"/>
          <w:sz w:val="24"/>
          <w:szCs w:val="28"/>
        </w:rPr>
        <w:t>_ 1–8.</w:t>
      </w:r>
    </w:p>
    <w:p w14:paraId="5E989B80"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Fontana J., Alexander E., Salvatore M. Translational research in infectious disease: current paradigms and challenges ahead. trans</w:t>
      </w:r>
      <w:r>
        <w:rPr>
          <w:rFonts w:eastAsia="Calibri" w:cs="Times New Roman"/>
          <w:sz w:val="24"/>
          <w:szCs w:val="28"/>
        </w:rPr>
        <w:softHyphen/>
      </w:r>
      <w:r w:rsidRPr="00A35AD6">
        <w:rPr>
          <w:rFonts w:eastAsia="Calibri" w:cs="Times New Roman"/>
          <w:sz w:val="24"/>
          <w:szCs w:val="28"/>
        </w:rPr>
        <w:t>lational research. 2012; 159(6): 430–453.</w:t>
      </w:r>
    </w:p>
    <w:p w14:paraId="1F926BF2"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fr-FR"/>
        </w:rPr>
        <w:t xml:space="preserve">Forbes SA, Bhamra G., Bamford S. et al. </w:t>
      </w:r>
      <w:r w:rsidRPr="00A35AD6">
        <w:rPr>
          <w:rFonts w:eastAsia="Calibri" w:cs="Times New Roman"/>
          <w:sz w:val="24"/>
          <w:szCs w:val="28"/>
        </w:rPr>
        <w:t>The Catalog of Somatic Mutations in Cancer (COSMIC). Curr. Protocol. Hum. Genet. 2018; Chapter. 10: Un. 10.11.</w:t>
      </w:r>
    </w:p>
    <w:p w14:paraId="4F43F2B6"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Futreal PA, Coin L., Marshall M. et al. A census of human cancer genes. Nat. Rev. cancer. 2014; 4(3): 177–183.</w:t>
      </w:r>
    </w:p>
    <w:p w14:paraId="7CC31B1D"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fr-FR"/>
        </w:rPr>
        <w:t xml:space="preserve">Grimshaw J., Eccles M., Lavis J. et al. </w:t>
      </w:r>
      <w:r w:rsidRPr="00A35AD6">
        <w:rPr>
          <w:rFonts w:eastAsia="Calibri" w:cs="Times New Roman"/>
          <w:sz w:val="24"/>
          <w:szCs w:val="28"/>
        </w:rPr>
        <w:t>Knowledge translation of research findings. Bio Med Central Implementation Science. 2012; 7:1–17.</w:t>
      </w:r>
    </w:p>
    <w:p w14:paraId="63F4100F"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Jain KK Role of nanotechnology in the development of personalized medicine. Nanomedicine. 2019; 4(3): 249–252.</w:t>
      </w:r>
    </w:p>
    <w:p w14:paraId="2518F84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lastRenderedPageBreak/>
        <w:t>Johnson KA, Brown PH Drug devel</w:t>
      </w:r>
      <w:r>
        <w:rPr>
          <w:rFonts w:eastAsia="Calibri" w:cs="Times New Roman"/>
          <w:sz w:val="24"/>
          <w:szCs w:val="28"/>
        </w:rPr>
        <w:softHyphen/>
      </w:r>
      <w:r w:rsidRPr="00A35AD6">
        <w:rPr>
          <w:rFonts w:eastAsia="Calibri" w:cs="Times New Roman"/>
          <w:sz w:val="24"/>
          <w:szCs w:val="28"/>
        </w:rPr>
        <w:t>opment for cancer chemoprevention: focus on molecular targets. Semin. oncol. 2011; 37(4): 345–358.</w:t>
      </w:r>
    </w:p>
    <w:p w14:paraId="49F973B0"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Khoury MJ, Gwinn M., Yoon PW et al. The continuum of translation research in ge</w:t>
      </w:r>
      <w:r>
        <w:rPr>
          <w:rFonts w:eastAsia="Calibri" w:cs="Times New Roman"/>
          <w:sz w:val="24"/>
          <w:szCs w:val="28"/>
        </w:rPr>
        <w:softHyphen/>
      </w:r>
      <w:r w:rsidRPr="00A35AD6">
        <w:rPr>
          <w:rFonts w:eastAsia="Calibri" w:cs="Times New Roman"/>
          <w:sz w:val="24"/>
          <w:szCs w:val="28"/>
        </w:rPr>
        <w:t>nomic medicine: how can we accelerate the ap</w:t>
      </w:r>
      <w:r>
        <w:rPr>
          <w:rFonts w:eastAsia="Calibri" w:cs="Times New Roman"/>
          <w:sz w:val="24"/>
          <w:szCs w:val="28"/>
        </w:rPr>
        <w:softHyphen/>
      </w:r>
      <w:r w:rsidRPr="00A35AD6">
        <w:rPr>
          <w:rFonts w:eastAsia="Calibri" w:cs="Times New Roman"/>
          <w:sz w:val="24"/>
          <w:szCs w:val="28"/>
        </w:rPr>
        <w:t>propriate integration of human genome discov</w:t>
      </w:r>
      <w:r>
        <w:rPr>
          <w:rFonts w:eastAsia="Calibri" w:cs="Times New Roman"/>
          <w:sz w:val="24"/>
          <w:szCs w:val="28"/>
        </w:rPr>
        <w:softHyphen/>
      </w:r>
      <w:r w:rsidRPr="00A35AD6">
        <w:rPr>
          <w:rFonts w:eastAsia="Calibri" w:cs="Times New Roman"/>
          <w:sz w:val="24"/>
          <w:szCs w:val="28"/>
        </w:rPr>
        <w:t>eries into health care and disease prevention? Genetics in Medicine. 2017; 9(10): 665–674.</w:t>
      </w:r>
    </w:p>
    <w:p w14:paraId="01D8141D"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Krishnan A., Yadav K., Kaur M. Ep</w:t>
      </w:r>
      <w:r>
        <w:rPr>
          <w:rFonts w:eastAsia="Calibri" w:cs="Times New Roman"/>
          <w:sz w:val="24"/>
          <w:szCs w:val="28"/>
        </w:rPr>
        <w:softHyphen/>
      </w:r>
      <w:r w:rsidRPr="00A35AD6">
        <w:rPr>
          <w:rFonts w:eastAsia="Calibri" w:cs="Times New Roman"/>
          <w:sz w:val="24"/>
          <w:szCs w:val="28"/>
        </w:rPr>
        <w:t>idemiology to public health intervention for preventing cardiovascular diseases: the role of translational research. Indian J. Med. Res. 2011; 132(5): 643–650.</w:t>
      </w:r>
    </w:p>
    <w:p w14:paraId="59884299"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Limbert C. Translational medicine: is this a matter for the clinician? Acta Reu</w:t>
      </w:r>
      <w:r>
        <w:rPr>
          <w:rFonts w:eastAsia="Calibri" w:cs="Times New Roman"/>
          <w:sz w:val="24"/>
          <w:szCs w:val="28"/>
        </w:rPr>
        <w:softHyphen/>
      </w:r>
      <w:r w:rsidRPr="00A35AD6">
        <w:rPr>
          <w:rFonts w:eastAsia="Calibri" w:cs="Times New Roman"/>
          <w:sz w:val="24"/>
          <w:szCs w:val="28"/>
        </w:rPr>
        <w:t>matol. port. 2011; 35(2):132.</w:t>
      </w:r>
    </w:p>
    <w:p w14:paraId="5B6FCBE9"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lang w:val="en"/>
        </w:rPr>
      </w:pPr>
      <w:r w:rsidRPr="00A35AD6">
        <w:rPr>
          <w:rFonts w:eastAsia="Calibri" w:cs="Times New Roman"/>
          <w:sz w:val="24"/>
          <w:szCs w:val="28"/>
        </w:rPr>
        <w:t xml:space="preserve">Littman BH, Di Mario L., Plebani M., Marincola FM What's next in translational medicine? Clin. sci. </w:t>
      </w:r>
      <w:r w:rsidRPr="00A35AD6">
        <w:rPr>
          <w:rFonts w:eastAsia="Calibri" w:cs="Times New Roman"/>
          <w:sz w:val="24"/>
          <w:szCs w:val="28"/>
          <w:lang w:val="en"/>
        </w:rPr>
        <w:t xml:space="preserve">(Lond). 20 </w:t>
      </w:r>
      <w:r w:rsidRPr="00A35AD6">
        <w:rPr>
          <w:rFonts w:eastAsia="Calibri" w:cs="Times New Roman"/>
          <w:sz w:val="24"/>
          <w:szCs w:val="28"/>
        </w:rPr>
        <w:t xml:space="preserve">1 </w:t>
      </w:r>
      <w:r w:rsidRPr="00A35AD6">
        <w:rPr>
          <w:rFonts w:eastAsia="Calibri" w:cs="Times New Roman"/>
          <w:sz w:val="24"/>
          <w:szCs w:val="28"/>
          <w:lang w:val="en"/>
        </w:rPr>
        <w:t>7; 112(4): 217–227.</w:t>
      </w:r>
    </w:p>
    <w:p w14:paraId="6AEEA2CD"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Lucas D., Kincl L., Bovbjerg V. et al. Application of a translational research model to assess the progress of occupational safety research in the international commercial fishing industry. safety science. 2014; 64:71–81.</w:t>
      </w:r>
    </w:p>
    <w:p w14:paraId="5FE887A9"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Marincola FM Translational medi</w:t>
      </w:r>
      <w:r>
        <w:rPr>
          <w:rFonts w:eastAsia="Calibri" w:cs="Times New Roman"/>
          <w:sz w:val="24"/>
          <w:szCs w:val="28"/>
        </w:rPr>
        <w:softHyphen/>
      </w:r>
      <w:r w:rsidRPr="00A35AD6">
        <w:rPr>
          <w:rFonts w:eastAsia="Calibri" w:cs="Times New Roman"/>
          <w:sz w:val="24"/>
          <w:szCs w:val="28"/>
        </w:rPr>
        <w:t>cine: a two-way road. J. Transl. Med. 2013; 1:1–2.</w:t>
      </w:r>
    </w:p>
    <w:p w14:paraId="76A93B8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Millard W. NIH's New NCATS: Bridging the Gulf from Bench to Bedside. An</w:t>
      </w:r>
      <w:r>
        <w:rPr>
          <w:rFonts w:eastAsia="Calibri" w:cs="Times New Roman"/>
          <w:sz w:val="24"/>
          <w:szCs w:val="28"/>
        </w:rPr>
        <w:softHyphen/>
      </w:r>
      <w:r w:rsidRPr="00A35AD6">
        <w:rPr>
          <w:rFonts w:eastAsia="Calibri" w:cs="Times New Roman"/>
          <w:sz w:val="24"/>
          <w:szCs w:val="28"/>
        </w:rPr>
        <w:t>nals of Emergency Medicine. 2011; 58(20):13–A17.</w:t>
      </w:r>
    </w:p>
    <w:p w14:paraId="555DA1C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Sarkar IN Biomedical informatics and translational medicine. J. Transl. Med. 2011; 8:22–34.</w:t>
      </w:r>
    </w:p>
    <w:p w14:paraId="04143354"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de-DE"/>
        </w:rPr>
        <w:t xml:space="preserve">Spoth R., Rohrbach L., Greenberg M. et al. </w:t>
      </w:r>
      <w:r w:rsidRPr="00A35AD6">
        <w:rPr>
          <w:rFonts w:eastAsia="Calibri" w:cs="Times New Roman"/>
          <w:sz w:val="24"/>
          <w:szCs w:val="28"/>
        </w:rPr>
        <w:t>Addressing Core Challenges for the Next Generation of Type 2 Translation Re</w:t>
      </w:r>
      <w:r>
        <w:rPr>
          <w:rFonts w:eastAsia="Calibri" w:cs="Times New Roman"/>
          <w:sz w:val="24"/>
          <w:szCs w:val="28"/>
        </w:rPr>
        <w:softHyphen/>
      </w:r>
      <w:r w:rsidRPr="00A35AD6">
        <w:rPr>
          <w:rFonts w:eastAsia="Calibri" w:cs="Times New Roman"/>
          <w:sz w:val="24"/>
          <w:szCs w:val="28"/>
        </w:rPr>
        <w:t>search and Systems: The Translation Science to Population Impact (TSci Impact) Frame</w:t>
      </w:r>
      <w:r>
        <w:rPr>
          <w:rFonts w:eastAsia="Calibri" w:cs="Times New Roman"/>
          <w:sz w:val="24"/>
          <w:szCs w:val="28"/>
        </w:rPr>
        <w:softHyphen/>
      </w:r>
      <w:r w:rsidRPr="00A35AD6">
        <w:rPr>
          <w:rFonts w:eastAsia="Calibri" w:cs="Times New Roman"/>
          <w:sz w:val="24"/>
          <w:szCs w:val="28"/>
        </w:rPr>
        <w:t xml:space="preserve">work Springer. prevention science. 2013. </w:t>
      </w:r>
      <w:r w:rsidRPr="00A35AD6">
        <w:rPr>
          <w:rFonts w:eastAsia="Calibri" w:cs="Times New Roman"/>
          <w:sz w:val="24"/>
          <w:szCs w:val="28"/>
          <w:lang w:val="en"/>
        </w:rPr>
        <w:t xml:space="preserve">R. </w:t>
      </w:r>
      <w:r w:rsidRPr="00A35AD6">
        <w:rPr>
          <w:rFonts w:eastAsia="Calibri" w:cs="Times New Roman"/>
          <w:sz w:val="24"/>
          <w:szCs w:val="28"/>
        </w:rPr>
        <w:t>_ 1–33.</w:t>
      </w:r>
    </w:p>
    <w:p w14:paraId="1601BD70"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Strimpakos AS, Syrigos KN, Saif MW The molecular targets for the diagnosis and treatment of pancreatic cancer. gut. Liver. 2011; 4(4): 433–449.</w:t>
      </w:r>
    </w:p>
    <w:p w14:paraId="5BCD33B3"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Suh KS, Park SW, Castro A. et al. Ovarian cancer biomarkers for molecular bio</w:t>
      </w:r>
      <w:r>
        <w:rPr>
          <w:rFonts w:eastAsia="Calibri" w:cs="Times New Roman"/>
          <w:sz w:val="24"/>
          <w:szCs w:val="28"/>
        </w:rPr>
        <w:softHyphen/>
      </w:r>
      <w:r w:rsidRPr="00A35AD6">
        <w:rPr>
          <w:rFonts w:eastAsia="Calibri" w:cs="Times New Roman"/>
          <w:sz w:val="24"/>
          <w:szCs w:val="28"/>
        </w:rPr>
        <w:t>sensors and translational medicine. expert. Rev. Mol. Diagn. 2011; 10(8): 1069–1083.</w:t>
      </w:r>
    </w:p>
    <w:p w14:paraId="6A4534D7"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Trochim W., Kane C., Graham MJ et al. Evaluating translational research: a pro</w:t>
      </w:r>
      <w:r>
        <w:rPr>
          <w:rFonts w:eastAsia="Calibri" w:cs="Times New Roman"/>
          <w:sz w:val="24"/>
          <w:szCs w:val="28"/>
        </w:rPr>
        <w:softHyphen/>
      </w:r>
      <w:r w:rsidRPr="00A35AD6">
        <w:rPr>
          <w:rFonts w:eastAsia="Calibri" w:cs="Times New Roman"/>
          <w:sz w:val="24"/>
          <w:szCs w:val="28"/>
        </w:rPr>
        <w:t>cess marker model. Clin Transl Sci. 2011; 4(3): 153–162.</w:t>
      </w:r>
    </w:p>
    <w:p w14:paraId="7C08FBA3"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lang w:val="de-DE"/>
        </w:rPr>
        <w:t xml:space="preserve">Wang P., Heinssen R., Oliveri M. et al. </w:t>
      </w:r>
      <w:r w:rsidRPr="00A35AD6">
        <w:rPr>
          <w:rFonts w:eastAsia="Calibri" w:cs="Times New Roman"/>
          <w:sz w:val="24"/>
          <w:szCs w:val="28"/>
        </w:rPr>
        <w:t>Bridging Bench and Practice: Translational Research for Schizophrenia and Other Psy</w:t>
      </w:r>
      <w:r>
        <w:rPr>
          <w:rFonts w:eastAsia="Calibri" w:cs="Times New Roman"/>
          <w:sz w:val="24"/>
          <w:szCs w:val="28"/>
        </w:rPr>
        <w:softHyphen/>
      </w:r>
      <w:r w:rsidRPr="00A35AD6">
        <w:rPr>
          <w:rFonts w:eastAsia="Calibri" w:cs="Times New Roman"/>
          <w:sz w:val="24"/>
          <w:szCs w:val="28"/>
        </w:rPr>
        <w:t>chotic Disorders. neuropsychopharmacology. 2019; 34:204–212.</w:t>
      </w:r>
    </w:p>
    <w:p w14:paraId="7FAA8CC1"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lang w:val="en"/>
        </w:rPr>
      </w:pPr>
      <w:r w:rsidRPr="00A35AD6">
        <w:rPr>
          <w:rFonts w:eastAsia="Calibri" w:cs="Times New Roman"/>
          <w:sz w:val="24"/>
          <w:szCs w:val="28"/>
        </w:rPr>
        <w:t xml:space="preserve">Wang X., Wang E., Marincola FM Translational Medicine is developing in China: a new venue for collaboration. </w:t>
      </w:r>
      <w:r w:rsidRPr="00A35AD6">
        <w:rPr>
          <w:rFonts w:eastAsia="Calibri" w:cs="Times New Roman"/>
          <w:sz w:val="24"/>
          <w:szCs w:val="28"/>
          <w:lang w:val="en"/>
        </w:rPr>
        <w:t>J. Transl. Med. 2011; 9:3–5.64</w:t>
      </w:r>
    </w:p>
    <w:p w14:paraId="4CE6C1B9" w14:textId="77777777" w:rsidR="00AA571D" w:rsidRPr="00A35AD6" w:rsidRDefault="00AA571D" w:rsidP="0068419D">
      <w:pPr>
        <w:numPr>
          <w:ilvl w:val="0"/>
          <w:numId w:val="25"/>
        </w:numPr>
        <w:tabs>
          <w:tab w:val="left" w:pos="993"/>
        </w:tabs>
        <w:spacing w:line="276" w:lineRule="auto"/>
        <w:ind w:left="0" w:firstLine="567"/>
        <w:contextualSpacing/>
        <w:jc w:val="both"/>
        <w:rPr>
          <w:rFonts w:eastAsia="Calibri" w:cs="Times New Roman"/>
          <w:sz w:val="24"/>
          <w:szCs w:val="28"/>
        </w:rPr>
      </w:pPr>
      <w:r w:rsidRPr="00A35AD6">
        <w:rPr>
          <w:rFonts w:eastAsia="Calibri" w:cs="Times New Roman"/>
          <w:sz w:val="24"/>
          <w:szCs w:val="28"/>
        </w:rPr>
        <w:t>Zhang D., Liu H., Zhang S. et al. An effective method for de novo peptide sequenc</w:t>
      </w:r>
      <w:r>
        <w:rPr>
          <w:rFonts w:eastAsia="Calibri" w:cs="Times New Roman"/>
          <w:sz w:val="24"/>
          <w:szCs w:val="28"/>
        </w:rPr>
        <w:softHyphen/>
      </w:r>
      <w:r w:rsidRPr="00A35AD6">
        <w:rPr>
          <w:rFonts w:eastAsia="Calibri" w:cs="Times New Roman"/>
          <w:sz w:val="24"/>
          <w:szCs w:val="28"/>
        </w:rPr>
        <w:t>ing based on phosphorylation strategy and masspectrometry. Talanta. 2011; 84(3): 614–622.</w:t>
      </w:r>
    </w:p>
    <w:p w14:paraId="4BA2A88E" w14:textId="77777777" w:rsidR="00AA571D" w:rsidRDefault="00AA571D" w:rsidP="0068419D">
      <w:pPr>
        <w:spacing w:line="276" w:lineRule="auto"/>
        <w:ind w:firstLine="567"/>
        <w:jc w:val="both"/>
        <w:rPr>
          <w:rFonts w:eastAsia="Calibri" w:cs="Times New Roman"/>
          <w:sz w:val="24"/>
          <w:szCs w:val="28"/>
        </w:rPr>
        <w:sectPr w:rsidR="00AA571D" w:rsidSect="001E4EB9">
          <w:type w:val="continuous"/>
          <w:pgSz w:w="11907" w:h="16840" w:code="9"/>
          <w:pgMar w:top="1418" w:right="1134" w:bottom="1134" w:left="1134" w:header="907" w:footer="794" w:gutter="0"/>
          <w:cols w:num="2" w:space="708"/>
          <w:docGrid w:linePitch="381"/>
        </w:sectPr>
      </w:pPr>
    </w:p>
    <w:p w14:paraId="3A291AF7" w14:textId="77777777" w:rsidR="00AA571D" w:rsidRDefault="00AA571D" w:rsidP="0068419D">
      <w:pPr>
        <w:spacing w:line="276" w:lineRule="auto"/>
        <w:jc w:val="center"/>
        <w:rPr>
          <w:rFonts w:eastAsia="Calibri" w:cs="Times New Roman"/>
          <w:b/>
          <w:sz w:val="24"/>
          <w:szCs w:val="28"/>
        </w:rPr>
      </w:pPr>
    </w:p>
    <w:p w14:paraId="55FC453A" w14:textId="77777777" w:rsidR="00AA571D" w:rsidRDefault="00AA571D" w:rsidP="0068419D">
      <w:pPr>
        <w:spacing w:line="276" w:lineRule="auto"/>
        <w:jc w:val="center"/>
        <w:rPr>
          <w:rFonts w:eastAsia="Calibri" w:cs="Times New Roman"/>
          <w:b/>
          <w:sz w:val="24"/>
          <w:szCs w:val="28"/>
        </w:rPr>
      </w:pPr>
    </w:p>
    <w:p w14:paraId="49F8B78F" w14:textId="77777777" w:rsidR="00AA571D" w:rsidRDefault="00AA571D" w:rsidP="0068419D">
      <w:pPr>
        <w:spacing w:line="276" w:lineRule="auto"/>
        <w:jc w:val="center"/>
        <w:rPr>
          <w:rFonts w:eastAsia="Calibri" w:cs="Times New Roman"/>
          <w:b/>
          <w:sz w:val="24"/>
          <w:szCs w:val="28"/>
        </w:rPr>
      </w:pPr>
    </w:p>
    <w:p w14:paraId="65A6BB98" w14:textId="4D8E46B8" w:rsidR="00AA571D" w:rsidRDefault="00AA571D" w:rsidP="0068419D">
      <w:pPr>
        <w:spacing w:line="276" w:lineRule="auto"/>
        <w:jc w:val="center"/>
        <w:rPr>
          <w:rFonts w:eastAsia="Calibri" w:cs="Times New Roman"/>
          <w:b/>
          <w:sz w:val="24"/>
          <w:szCs w:val="28"/>
        </w:rPr>
      </w:pPr>
    </w:p>
    <w:p w14:paraId="663BDEF4" w14:textId="21E52CE1" w:rsidR="0068419D" w:rsidRDefault="0068419D" w:rsidP="0068419D">
      <w:pPr>
        <w:spacing w:line="276" w:lineRule="auto"/>
        <w:jc w:val="center"/>
        <w:rPr>
          <w:rFonts w:eastAsia="Calibri" w:cs="Times New Roman"/>
          <w:b/>
          <w:sz w:val="24"/>
          <w:szCs w:val="28"/>
        </w:rPr>
      </w:pPr>
    </w:p>
    <w:p w14:paraId="6FF77F57" w14:textId="77777777" w:rsidR="0068419D" w:rsidRDefault="0068419D" w:rsidP="0068419D">
      <w:pPr>
        <w:spacing w:line="276" w:lineRule="auto"/>
        <w:jc w:val="center"/>
        <w:rPr>
          <w:rFonts w:eastAsia="Calibri" w:cs="Times New Roman"/>
          <w:b/>
          <w:sz w:val="24"/>
          <w:szCs w:val="28"/>
        </w:rPr>
      </w:pPr>
    </w:p>
    <w:p w14:paraId="48779D78" w14:textId="77777777" w:rsidR="00AA571D" w:rsidRDefault="00AA571D" w:rsidP="0068419D">
      <w:pPr>
        <w:spacing w:line="276" w:lineRule="auto"/>
        <w:jc w:val="center"/>
        <w:rPr>
          <w:rFonts w:eastAsia="Calibri" w:cs="Times New Roman"/>
          <w:b/>
          <w:sz w:val="24"/>
          <w:szCs w:val="28"/>
        </w:rPr>
      </w:pPr>
    </w:p>
    <w:p w14:paraId="2FE0E9F9" w14:textId="77777777" w:rsidR="00AA571D" w:rsidRDefault="00AA571D" w:rsidP="0068419D">
      <w:pPr>
        <w:spacing w:line="276" w:lineRule="auto"/>
        <w:jc w:val="center"/>
        <w:rPr>
          <w:rFonts w:eastAsia="Calibri" w:cs="Times New Roman"/>
          <w:b/>
          <w:sz w:val="24"/>
          <w:szCs w:val="28"/>
        </w:rPr>
      </w:pPr>
    </w:p>
    <w:p w14:paraId="1EE9E31D" w14:textId="77777777" w:rsidR="00AA571D" w:rsidRDefault="00AA571D" w:rsidP="0068419D">
      <w:pPr>
        <w:shd w:val="clear" w:color="auto" w:fill="FFFFFF"/>
        <w:tabs>
          <w:tab w:val="left" w:pos="9072"/>
        </w:tabs>
        <w:spacing w:line="276" w:lineRule="auto"/>
        <w:ind w:firstLine="567"/>
        <w:jc w:val="both"/>
        <w:textAlignment w:val="center"/>
        <w:rPr>
          <w:rFonts w:eastAsia="Calibri" w:cs="Times New Roman"/>
          <w:sz w:val="24"/>
          <w:szCs w:val="28"/>
        </w:rPr>
      </w:pPr>
    </w:p>
    <w:p w14:paraId="07120767" w14:textId="77777777" w:rsidR="00AA571D" w:rsidRPr="00A35AD6" w:rsidRDefault="00AA571D" w:rsidP="0068419D">
      <w:pPr>
        <w:spacing w:line="276" w:lineRule="auto"/>
        <w:jc w:val="both"/>
        <w:rPr>
          <w:rFonts w:eastAsia="Calibri" w:cs="Times New Roman"/>
          <w:bCs/>
          <w:sz w:val="24"/>
          <w:szCs w:val="28"/>
        </w:rPr>
      </w:pPr>
      <w:r w:rsidRPr="00A35AD6">
        <w:rPr>
          <w:rFonts w:eastAsia="Calibri" w:cs="Times New Roman"/>
          <w:bCs/>
          <w:sz w:val="24"/>
          <w:szCs w:val="28"/>
          <w:lang w:val="ru-RU"/>
        </w:rPr>
        <w:lastRenderedPageBreak/>
        <w:t>УДК</w:t>
      </w:r>
      <w:r w:rsidRPr="00A35AD6">
        <w:rPr>
          <w:rFonts w:eastAsia="Calibri" w:cs="Times New Roman"/>
          <w:bCs/>
          <w:sz w:val="24"/>
          <w:szCs w:val="28"/>
        </w:rPr>
        <w:t>: 616.329-031.63-002</w:t>
      </w:r>
    </w:p>
    <w:p w14:paraId="59B2BCE1" w14:textId="77777777" w:rsidR="00AA571D" w:rsidRPr="00A35AD6" w:rsidRDefault="00AA571D" w:rsidP="0068419D">
      <w:pPr>
        <w:spacing w:line="276" w:lineRule="auto"/>
        <w:ind w:firstLine="567"/>
        <w:jc w:val="both"/>
        <w:rPr>
          <w:rFonts w:eastAsia="Calibri" w:cs="Times New Roman"/>
          <w:b/>
          <w:sz w:val="24"/>
          <w:szCs w:val="28"/>
        </w:rPr>
      </w:pPr>
    </w:p>
    <w:p w14:paraId="3904E200" w14:textId="77777777" w:rsidR="00AA571D" w:rsidRPr="00A35AD6" w:rsidRDefault="00AA571D" w:rsidP="0068419D">
      <w:pPr>
        <w:pStyle w:val="1"/>
      </w:pPr>
      <w:bookmarkStart w:id="44" w:name="_Toc101545859"/>
      <w:bookmarkStart w:id="45" w:name="_Toc101545909"/>
      <w:bookmarkStart w:id="46" w:name="_Toc104745763"/>
      <w:r w:rsidRPr="00A35AD6">
        <w:t>PECULIARITY OF LAPAROSCOPIC FUNDOPLICATION FOR HIATAL HERNIA IN PATIENTS WITH HIGH BODY MASS INDEX</w:t>
      </w:r>
      <w:bookmarkEnd w:id="44"/>
      <w:bookmarkEnd w:id="45"/>
      <w:bookmarkEnd w:id="46"/>
    </w:p>
    <w:p w14:paraId="0B5EE0D0" w14:textId="77777777" w:rsidR="00AA571D" w:rsidRDefault="00AA571D" w:rsidP="0068419D">
      <w:pPr>
        <w:spacing w:line="276" w:lineRule="auto"/>
        <w:jc w:val="center"/>
        <w:rPr>
          <w:rFonts w:eastAsia="Calibri" w:cs="Times New Roman"/>
          <w:b/>
          <w:sz w:val="24"/>
          <w:szCs w:val="28"/>
        </w:rPr>
      </w:pPr>
    </w:p>
    <w:p w14:paraId="51E331A0" w14:textId="77777777" w:rsidR="00AA571D" w:rsidRPr="00F52DBC" w:rsidRDefault="00AA571D" w:rsidP="0068419D">
      <w:pPr>
        <w:spacing w:line="276" w:lineRule="auto"/>
        <w:jc w:val="center"/>
        <w:rPr>
          <w:rFonts w:eastAsia="Calibri" w:cs="Times New Roman"/>
          <w:b/>
          <w:sz w:val="24"/>
          <w:szCs w:val="28"/>
        </w:rPr>
      </w:pPr>
      <w:r w:rsidRPr="00F52DBC">
        <w:rPr>
          <w:rFonts w:eastAsia="Calibri" w:cs="Times New Roman"/>
          <w:b/>
          <w:sz w:val="24"/>
          <w:szCs w:val="28"/>
        </w:rPr>
        <w:t>Khakimov M.Sh., Berkinov U.B., Sattarov O.</w:t>
      </w:r>
      <w:r w:rsidRPr="00F52DBC">
        <w:rPr>
          <w:rFonts w:eastAsia="Calibri" w:cs="Times New Roman"/>
          <w:b/>
          <w:sz w:val="24"/>
          <w:szCs w:val="28"/>
          <w:lang w:val="ru-RU"/>
        </w:rPr>
        <w:t>Т</w:t>
      </w:r>
      <w:r w:rsidRPr="00F52DBC">
        <w:rPr>
          <w:rFonts w:eastAsia="Calibri" w:cs="Times New Roman"/>
          <w:b/>
          <w:sz w:val="24"/>
          <w:szCs w:val="28"/>
        </w:rPr>
        <w:t>.,</w:t>
      </w:r>
      <w:r w:rsidRPr="00F52DBC">
        <w:rPr>
          <w:rFonts w:eastAsia="Calibri" w:cs="Times New Roman"/>
          <w:b/>
          <w:sz w:val="24"/>
          <w:szCs w:val="28"/>
          <w:lang w:val="uz-Cyrl-UZ"/>
        </w:rPr>
        <w:t xml:space="preserve"> </w:t>
      </w:r>
      <w:r w:rsidRPr="00F52DBC">
        <w:rPr>
          <w:rFonts w:eastAsia="Calibri" w:cs="Times New Roman"/>
          <w:b/>
          <w:sz w:val="24"/>
          <w:szCs w:val="28"/>
        </w:rPr>
        <w:t>Ermatov B.R.</w:t>
      </w:r>
    </w:p>
    <w:p w14:paraId="0EDF446F" w14:textId="77777777" w:rsidR="00F52DBC" w:rsidRPr="00F52DBC" w:rsidRDefault="00AA571D" w:rsidP="00F52DBC">
      <w:pPr>
        <w:spacing w:line="276" w:lineRule="auto"/>
        <w:jc w:val="center"/>
        <w:rPr>
          <w:rFonts w:eastAsia="Calibri" w:cs="Times New Roman"/>
          <w:bCs/>
          <w:sz w:val="24"/>
          <w:szCs w:val="28"/>
        </w:rPr>
      </w:pPr>
      <w:r w:rsidRPr="00F52DBC">
        <w:rPr>
          <w:rFonts w:eastAsia="Calibri" w:cs="Times New Roman"/>
          <w:bCs/>
          <w:sz w:val="24"/>
          <w:szCs w:val="28"/>
        </w:rPr>
        <w:t>Department of Faculty and Hospital Surgery No. 1</w:t>
      </w:r>
      <w:r w:rsidR="00F52DBC" w:rsidRPr="00F52DBC">
        <w:rPr>
          <w:rFonts w:eastAsia="Calibri" w:cs="Times New Roman"/>
          <w:bCs/>
          <w:sz w:val="24"/>
          <w:szCs w:val="28"/>
        </w:rPr>
        <w:t xml:space="preserve"> </w:t>
      </w:r>
    </w:p>
    <w:p w14:paraId="3FC5F781" w14:textId="098D31CC" w:rsidR="00F52DBC" w:rsidRPr="00F52DBC" w:rsidRDefault="00F52DBC" w:rsidP="00F52DBC">
      <w:pPr>
        <w:spacing w:line="276" w:lineRule="auto"/>
        <w:jc w:val="center"/>
        <w:rPr>
          <w:rFonts w:eastAsia="Calibri" w:cs="Times New Roman"/>
          <w:bCs/>
          <w:sz w:val="24"/>
          <w:szCs w:val="28"/>
        </w:rPr>
      </w:pPr>
      <w:r w:rsidRPr="00F52DBC">
        <w:rPr>
          <w:rFonts w:eastAsia="Calibri" w:cs="Times New Roman"/>
          <w:bCs/>
          <w:sz w:val="24"/>
          <w:szCs w:val="28"/>
        </w:rPr>
        <w:t>Tashkent Medical Academy, Tashkent, Uzbekistan</w:t>
      </w:r>
    </w:p>
    <w:p w14:paraId="0605634D" w14:textId="28B4ECC7" w:rsidR="00AA571D" w:rsidRPr="00A35AD6" w:rsidRDefault="00AA571D" w:rsidP="0068419D">
      <w:pPr>
        <w:spacing w:line="276" w:lineRule="auto"/>
        <w:jc w:val="center"/>
        <w:rPr>
          <w:rFonts w:eastAsia="Calibri" w:cs="Times New Roman"/>
          <w:bCs/>
          <w:i/>
          <w:iCs/>
          <w:sz w:val="24"/>
          <w:szCs w:val="28"/>
        </w:rPr>
      </w:pPr>
    </w:p>
    <w:p w14:paraId="2684954F" w14:textId="77777777" w:rsidR="00F52DBC" w:rsidRDefault="00F52DBC" w:rsidP="00F52DBC">
      <w:pPr>
        <w:spacing w:line="276" w:lineRule="auto"/>
        <w:ind w:firstLine="567"/>
        <w:jc w:val="both"/>
        <w:rPr>
          <w:rFonts w:eastAsia="Calibri" w:cs="Times New Roman"/>
          <w:i/>
          <w:iCs/>
          <w:sz w:val="24"/>
          <w:szCs w:val="28"/>
        </w:rPr>
      </w:pPr>
      <w:r w:rsidRPr="00A35AD6">
        <w:rPr>
          <w:rFonts w:eastAsia="Calibri" w:cs="Times New Roman"/>
          <w:b/>
          <w:i/>
          <w:iCs/>
          <w:sz w:val="24"/>
          <w:szCs w:val="28"/>
        </w:rPr>
        <w:t>Summary</w:t>
      </w:r>
      <w:r w:rsidRPr="00016827">
        <w:rPr>
          <w:rFonts w:eastAsia="Calibri" w:cs="Times New Roman"/>
          <w:b/>
          <w:i/>
          <w:iCs/>
          <w:sz w:val="24"/>
          <w:szCs w:val="28"/>
        </w:rPr>
        <w:t xml:space="preserve">. </w:t>
      </w:r>
      <w:r w:rsidRPr="00A35AD6">
        <w:rPr>
          <w:rFonts w:eastAsia="Calibri" w:cs="Times New Roman"/>
          <w:i/>
          <w:iCs/>
          <w:sz w:val="24"/>
          <w:szCs w:val="28"/>
        </w:rPr>
        <w:t>The results of examination and surgical treatment of 22 patients who underwent laparoscopic Nissen-Rosetti fundoplication were analyzed. Depending on the constitutional features and body mass index, the authors proposed methods for introducing trocars and developed a com</w:t>
      </w:r>
      <w:r>
        <w:rPr>
          <w:rFonts w:eastAsia="Calibri" w:cs="Times New Roman"/>
          <w:i/>
          <w:iCs/>
          <w:sz w:val="24"/>
          <w:szCs w:val="28"/>
        </w:rPr>
        <w:softHyphen/>
      </w:r>
      <w:r w:rsidRPr="00A35AD6">
        <w:rPr>
          <w:rFonts w:eastAsia="Calibri" w:cs="Times New Roman"/>
          <w:i/>
          <w:iCs/>
          <w:sz w:val="24"/>
          <w:szCs w:val="28"/>
        </w:rPr>
        <w:t>puter program. The proposed software facilitates the determination of the most convenient points for the introduction of trocars, which makes it easy to manipulate the instrument without requiring their rearrangement, and thereby improves the clinical results of surgical interventions.</w:t>
      </w:r>
    </w:p>
    <w:p w14:paraId="1D0134D0" w14:textId="55E0A772" w:rsidR="00AA571D" w:rsidRDefault="00F52DBC" w:rsidP="00F52DBC">
      <w:pPr>
        <w:spacing w:line="276" w:lineRule="auto"/>
        <w:ind w:firstLine="567"/>
        <w:jc w:val="both"/>
        <w:rPr>
          <w:rFonts w:eastAsia="Calibri" w:cs="Times New Roman"/>
          <w:b/>
          <w:sz w:val="24"/>
          <w:szCs w:val="28"/>
        </w:rPr>
      </w:pPr>
      <w:r w:rsidRPr="00A35AD6">
        <w:rPr>
          <w:rFonts w:eastAsia="Calibri" w:cs="Times New Roman"/>
          <w:b/>
          <w:i/>
          <w:iCs/>
          <w:sz w:val="24"/>
          <w:szCs w:val="28"/>
        </w:rPr>
        <w:t>Key words</w:t>
      </w:r>
      <w:r w:rsidRPr="00A35AD6">
        <w:rPr>
          <w:rFonts w:eastAsia="Calibri" w:cs="Times New Roman"/>
          <w:i/>
          <w:iCs/>
          <w:sz w:val="24"/>
          <w:szCs w:val="28"/>
        </w:rPr>
        <w:t>: laparoscopic fundoplication, computer program, hiatal hernia.</w:t>
      </w:r>
    </w:p>
    <w:p w14:paraId="611817CE" w14:textId="745617B8" w:rsidR="00F52DBC" w:rsidRDefault="00F52DBC" w:rsidP="0068419D">
      <w:pPr>
        <w:spacing w:line="276" w:lineRule="auto"/>
        <w:jc w:val="center"/>
        <w:rPr>
          <w:rFonts w:eastAsia="Calibri" w:cs="Times New Roman"/>
          <w:b/>
          <w:sz w:val="24"/>
          <w:szCs w:val="28"/>
        </w:rPr>
      </w:pPr>
    </w:p>
    <w:p w14:paraId="25D8DE8A" w14:textId="77777777" w:rsidR="00F52DBC" w:rsidRPr="00A35AD6" w:rsidRDefault="00F52DBC" w:rsidP="0068419D">
      <w:pPr>
        <w:spacing w:line="276" w:lineRule="auto"/>
        <w:jc w:val="center"/>
        <w:rPr>
          <w:rFonts w:eastAsia="Calibri" w:cs="Times New Roman"/>
          <w:b/>
          <w:sz w:val="24"/>
          <w:szCs w:val="28"/>
        </w:rPr>
      </w:pPr>
    </w:p>
    <w:p w14:paraId="5253E102" w14:textId="77777777" w:rsidR="00AA571D" w:rsidRPr="00A35AD6" w:rsidRDefault="00AA571D" w:rsidP="0068419D">
      <w:pPr>
        <w:spacing w:line="276" w:lineRule="auto"/>
        <w:jc w:val="center"/>
        <w:rPr>
          <w:rFonts w:eastAsia="Calibri" w:cs="Times New Roman"/>
          <w:b/>
          <w:sz w:val="24"/>
          <w:szCs w:val="28"/>
          <w:lang w:val="ru-RU"/>
        </w:rPr>
      </w:pPr>
      <w:r w:rsidRPr="00A35AD6">
        <w:rPr>
          <w:rFonts w:eastAsia="Calibri" w:cs="Times New Roman"/>
          <w:b/>
          <w:sz w:val="24"/>
          <w:szCs w:val="28"/>
          <w:lang w:val="ru-RU"/>
        </w:rPr>
        <w:t>ОСОБЕННОСТИ ЛАПАРОСКОПИЧЕСКОЙ ФУНДОПЛИКАЦИИ ПРИ ГРЫЖЕ ПИЩЕВОДНОГО ОТВЕРСТИЯ ДИАФРАГМЫ У БОЛЬНЫХ С ВЫСОКИМ ИНДЕКСОМ МАССЫ ТЕЛА</w:t>
      </w:r>
    </w:p>
    <w:p w14:paraId="76EBF492" w14:textId="77777777" w:rsidR="00AA571D" w:rsidRPr="00A35AD6" w:rsidRDefault="00AA571D" w:rsidP="0068419D">
      <w:pPr>
        <w:spacing w:line="276" w:lineRule="auto"/>
        <w:jc w:val="center"/>
        <w:rPr>
          <w:rFonts w:eastAsia="Calibri" w:cs="Times New Roman"/>
          <w:b/>
          <w:sz w:val="24"/>
          <w:szCs w:val="28"/>
          <w:lang w:val="ru-RU"/>
        </w:rPr>
      </w:pPr>
    </w:p>
    <w:p w14:paraId="551285FD" w14:textId="77777777" w:rsidR="00AA571D" w:rsidRPr="00F52DBC" w:rsidRDefault="00AA571D" w:rsidP="0068419D">
      <w:pPr>
        <w:spacing w:line="276" w:lineRule="auto"/>
        <w:jc w:val="center"/>
        <w:rPr>
          <w:rFonts w:eastAsia="Calibri" w:cs="Times New Roman"/>
          <w:b/>
          <w:sz w:val="24"/>
          <w:szCs w:val="28"/>
          <w:lang w:val="ru-RU"/>
        </w:rPr>
      </w:pPr>
      <w:r w:rsidRPr="00F52DBC">
        <w:rPr>
          <w:rFonts w:eastAsia="Calibri" w:cs="Times New Roman"/>
          <w:b/>
          <w:sz w:val="24"/>
          <w:szCs w:val="28"/>
          <w:lang w:val="ru-RU"/>
        </w:rPr>
        <w:t>Хакимов М.Ш., Беркинов У.Б., Саттаров О.Т.,</w:t>
      </w:r>
      <w:r w:rsidRPr="00F52DBC">
        <w:rPr>
          <w:rFonts w:eastAsia="Calibri" w:cs="Times New Roman"/>
          <w:b/>
          <w:sz w:val="24"/>
          <w:szCs w:val="28"/>
          <w:lang w:val="uz-Cyrl-UZ"/>
        </w:rPr>
        <w:t xml:space="preserve"> </w:t>
      </w:r>
      <w:r w:rsidRPr="00F52DBC">
        <w:rPr>
          <w:rFonts w:eastAsia="Calibri" w:cs="Times New Roman"/>
          <w:b/>
          <w:sz w:val="24"/>
          <w:szCs w:val="28"/>
          <w:lang w:val="ru-RU"/>
        </w:rPr>
        <w:t>Эрматов Б.Р.</w:t>
      </w:r>
    </w:p>
    <w:p w14:paraId="5F34CE5C" w14:textId="77777777" w:rsidR="00F52DBC" w:rsidRPr="00F52DBC" w:rsidRDefault="00AA571D" w:rsidP="00F52DBC">
      <w:pPr>
        <w:spacing w:line="276" w:lineRule="auto"/>
        <w:jc w:val="center"/>
        <w:rPr>
          <w:rFonts w:eastAsia="Calibri" w:cs="Times New Roman"/>
          <w:bCs/>
          <w:sz w:val="24"/>
          <w:szCs w:val="28"/>
          <w:lang w:val="ru-RU"/>
        </w:rPr>
      </w:pPr>
      <w:r w:rsidRPr="00F52DBC">
        <w:rPr>
          <w:rFonts w:eastAsia="Calibri" w:cs="Times New Roman"/>
          <w:bCs/>
          <w:sz w:val="24"/>
          <w:szCs w:val="28"/>
          <w:lang w:val="ru-RU"/>
        </w:rPr>
        <w:t>кафедра факультетской и госпитальной хирургии № 1</w:t>
      </w:r>
    </w:p>
    <w:p w14:paraId="059F17CB" w14:textId="3B1A520A" w:rsidR="00F52DBC" w:rsidRPr="00F52DBC" w:rsidRDefault="00F52DBC" w:rsidP="00F52DBC">
      <w:pPr>
        <w:spacing w:line="276" w:lineRule="auto"/>
        <w:jc w:val="center"/>
        <w:rPr>
          <w:rFonts w:eastAsia="Calibri" w:cs="Times New Roman"/>
          <w:bCs/>
          <w:sz w:val="24"/>
          <w:szCs w:val="28"/>
          <w:lang w:val="ru-RU"/>
        </w:rPr>
      </w:pPr>
      <w:r w:rsidRPr="00F52DBC">
        <w:rPr>
          <w:rFonts w:eastAsia="Calibri" w:cs="Times New Roman"/>
          <w:bCs/>
          <w:sz w:val="24"/>
          <w:szCs w:val="28"/>
          <w:lang w:val="ru-RU"/>
        </w:rPr>
        <w:t>Ташкентская медицинская академия, Ташкент, Узбекистан</w:t>
      </w:r>
    </w:p>
    <w:p w14:paraId="3BC2F355" w14:textId="43606B50" w:rsidR="00AA571D" w:rsidRPr="00A35AD6" w:rsidRDefault="00AA571D" w:rsidP="0068419D">
      <w:pPr>
        <w:spacing w:line="276" w:lineRule="auto"/>
        <w:jc w:val="center"/>
        <w:rPr>
          <w:rFonts w:eastAsia="Calibri" w:cs="Times New Roman"/>
          <w:bCs/>
          <w:i/>
          <w:iCs/>
          <w:sz w:val="24"/>
          <w:szCs w:val="28"/>
          <w:lang w:val="ru-RU"/>
        </w:rPr>
      </w:pPr>
    </w:p>
    <w:p w14:paraId="6463C235" w14:textId="77777777" w:rsidR="00AA571D" w:rsidRPr="00A35AD6" w:rsidRDefault="00AA571D" w:rsidP="0068419D">
      <w:pPr>
        <w:spacing w:line="276" w:lineRule="auto"/>
        <w:ind w:firstLine="567"/>
        <w:jc w:val="both"/>
        <w:rPr>
          <w:rFonts w:eastAsia="Calibri" w:cs="Times New Roman"/>
          <w:i/>
          <w:iCs/>
          <w:sz w:val="24"/>
          <w:szCs w:val="28"/>
          <w:lang w:val="ru-RU"/>
        </w:rPr>
      </w:pPr>
      <w:r w:rsidRPr="00A35AD6">
        <w:rPr>
          <w:rFonts w:eastAsia="Calibri" w:cs="Times New Roman"/>
          <w:b/>
          <w:i/>
          <w:iCs/>
          <w:sz w:val="24"/>
          <w:szCs w:val="28"/>
          <w:lang w:val="uz-Cyrl-UZ"/>
        </w:rPr>
        <w:t>Резюме</w:t>
      </w:r>
      <w:r w:rsidRPr="00016827">
        <w:rPr>
          <w:rFonts w:eastAsia="Calibri" w:cs="Times New Roman"/>
          <w:b/>
          <w:i/>
          <w:iCs/>
          <w:sz w:val="24"/>
          <w:szCs w:val="28"/>
          <w:lang w:val="uz-Cyrl-UZ"/>
        </w:rPr>
        <w:t xml:space="preserve">. </w:t>
      </w:r>
      <w:r w:rsidRPr="00A35AD6">
        <w:rPr>
          <w:rFonts w:eastAsia="Calibri" w:cs="Times New Roman"/>
          <w:i/>
          <w:iCs/>
          <w:sz w:val="24"/>
          <w:szCs w:val="28"/>
          <w:lang w:val="ru-RU"/>
        </w:rPr>
        <w:t>Проанализированы результаты обследования и хирургического лечения 22 боль</w:t>
      </w:r>
      <w:r>
        <w:rPr>
          <w:rFonts w:eastAsia="Calibri" w:cs="Times New Roman"/>
          <w:i/>
          <w:iCs/>
          <w:sz w:val="24"/>
          <w:szCs w:val="28"/>
          <w:lang w:val="ru-RU"/>
        </w:rPr>
        <w:softHyphen/>
      </w:r>
      <w:r w:rsidRPr="00A35AD6">
        <w:rPr>
          <w:rFonts w:eastAsia="Calibri" w:cs="Times New Roman"/>
          <w:i/>
          <w:iCs/>
          <w:sz w:val="24"/>
          <w:szCs w:val="28"/>
          <w:lang w:val="ru-RU"/>
        </w:rPr>
        <w:t>ных, которым выполнена лапароскопическая фундопликация по Ниссену – Розетти. В зависи</w:t>
      </w:r>
      <w:r>
        <w:rPr>
          <w:rFonts w:eastAsia="Calibri" w:cs="Times New Roman"/>
          <w:i/>
          <w:iCs/>
          <w:sz w:val="24"/>
          <w:szCs w:val="28"/>
          <w:lang w:val="ru-RU"/>
        </w:rPr>
        <w:softHyphen/>
      </w:r>
      <w:r w:rsidRPr="00A35AD6">
        <w:rPr>
          <w:rFonts w:eastAsia="Calibri" w:cs="Times New Roman"/>
          <w:i/>
          <w:iCs/>
          <w:sz w:val="24"/>
          <w:szCs w:val="28"/>
          <w:lang w:val="ru-RU"/>
        </w:rPr>
        <w:t>мости от конституциональных особенностей и индекса массы тела, авторами предложен способы введения троакаров и разработана компьютерная программа. Предлагаемое про</w:t>
      </w:r>
      <w:r>
        <w:rPr>
          <w:rFonts w:eastAsia="Calibri" w:cs="Times New Roman"/>
          <w:i/>
          <w:iCs/>
          <w:sz w:val="24"/>
          <w:szCs w:val="28"/>
          <w:lang w:val="ru-RU"/>
        </w:rPr>
        <w:softHyphen/>
      </w:r>
      <w:r w:rsidRPr="00A35AD6">
        <w:rPr>
          <w:rFonts w:eastAsia="Calibri" w:cs="Times New Roman"/>
          <w:i/>
          <w:iCs/>
          <w:sz w:val="24"/>
          <w:szCs w:val="28"/>
          <w:lang w:val="ru-RU"/>
        </w:rPr>
        <w:t>граммное обеспечение облегчает определение наиболее удобных точек для введения троака</w:t>
      </w:r>
      <w:r>
        <w:rPr>
          <w:rFonts w:eastAsia="Calibri" w:cs="Times New Roman"/>
          <w:i/>
          <w:iCs/>
          <w:sz w:val="24"/>
          <w:szCs w:val="28"/>
          <w:lang w:val="ru-RU"/>
        </w:rPr>
        <w:softHyphen/>
      </w:r>
      <w:r w:rsidRPr="00A35AD6">
        <w:rPr>
          <w:rFonts w:eastAsia="Calibri" w:cs="Times New Roman"/>
          <w:i/>
          <w:iCs/>
          <w:sz w:val="24"/>
          <w:szCs w:val="28"/>
          <w:lang w:val="ru-RU"/>
        </w:rPr>
        <w:t>ров, что позволяет легко манипулировать инструментом, не требуя их перестановки, и тем самым улучшает клинические результаты хирургических вмешательств.</w:t>
      </w:r>
    </w:p>
    <w:p w14:paraId="3F502FC0" w14:textId="77777777" w:rsidR="00AA571D" w:rsidRPr="00A35AD6" w:rsidRDefault="00AA571D" w:rsidP="0068419D">
      <w:pPr>
        <w:spacing w:line="276" w:lineRule="auto"/>
        <w:ind w:firstLine="567"/>
        <w:jc w:val="both"/>
        <w:rPr>
          <w:rFonts w:eastAsia="Calibri" w:cs="Times New Roman"/>
          <w:i/>
          <w:iCs/>
          <w:sz w:val="24"/>
          <w:szCs w:val="28"/>
          <w:lang w:val="ru-RU"/>
        </w:rPr>
      </w:pPr>
      <w:r w:rsidRPr="00A35AD6">
        <w:rPr>
          <w:rFonts w:eastAsia="Calibri" w:cs="Times New Roman"/>
          <w:b/>
          <w:i/>
          <w:iCs/>
          <w:sz w:val="24"/>
          <w:szCs w:val="28"/>
          <w:lang w:val="ru-RU"/>
        </w:rPr>
        <w:t>Ключевые слова</w:t>
      </w:r>
      <w:r w:rsidRPr="00A35AD6">
        <w:rPr>
          <w:rFonts w:eastAsia="Calibri" w:cs="Times New Roman"/>
          <w:i/>
          <w:iCs/>
          <w:sz w:val="24"/>
          <w:szCs w:val="28"/>
          <w:lang w:val="ru-RU"/>
        </w:rPr>
        <w:t>: лапароскопическая фундопликация, компьютерная программа, грыжа пищеводного отверстия диафрагмы.</w:t>
      </w:r>
    </w:p>
    <w:p w14:paraId="0244BEE2" w14:textId="77777777" w:rsidR="00AA571D" w:rsidRDefault="00AA571D" w:rsidP="0068419D">
      <w:pPr>
        <w:spacing w:line="276" w:lineRule="auto"/>
        <w:ind w:firstLine="567"/>
        <w:jc w:val="both"/>
        <w:rPr>
          <w:rFonts w:eastAsia="Calibri" w:cs="Times New Roman"/>
          <w:sz w:val="24"/>
          <w:szCs w:val="28"/>
          <w:lang w:val="ru-RU"/>
        </w:rPr>
      </w:pPr>
    </w:p>
    <w:p w14:paraId="225B8752" w14:textId="77777777" w:rsidR="00AA571D" w:rsidRPr="00A35AD6" w:rsidRDefault="00AA571D" w:rsidP="0068419D">
      <w:pPr>
        <w:spacing w:line="276" w:lineRule="auto"/>
        <w:ind w:firstLine="567"/>
        <w:jc w:val="both"/>
        <w:rPr>
          <w:rFonts w:eastAsia="Calibri" w:cs="Times New Roman"/>
          <w:sz w:val="24"/>
          <w:szCs w:val="28"/>
          <w:lang w:val="ru-RU"/>
        </w:rPr>
      </w:pPr>
    </w:p>
    <w:p w14:paraId="667807B8" w14:textId="4760C9D2" w:rsidR="00AA571D" w:rsidRPr="00F52DBC" w:rsidRDefault="00AA571D" w:rsidP="0068419D">
      <w:pPr>
        <w:spacing w:line="276" w:lineRule="auto"/>
        <w:jc w:val="center"/>
        <w:rPr>
          <w:rFonts w:eastAsia="Calibri" w:cs="Times New Roman"/>
          <w:b/>
          <w:sz w:val="24"/>
          <w:szCs w:val="20"/>
          <w:lang w:val="ru-RU"/>
        </w:rPr>
      </w:pPr>
      <w:r w:rsidRPr="00A35AD6">
        <w:rPr>
          <w:rFonts w:eastAsia="Calibri" w:cs="Times New Roman"/>
          <w:b/>
          <w:sz w:val="24"/>
          <w:szCs w:val="20"/>
        </w:rPr>
        <w:t>TANA</w:t>
      </w:r>
      <w:r w:rsidRPr="00F52DBC">
        <w:rPr>
          <w:rFonts w:eastAsia="Calibri" w:cs="Times New Roman"/>
          <w:b/>
          <w:sz w:val="24"/>
          <w:szCs w:val="20"/>
          <w:lang w:val="ru-RU"/>
        </w:rPr>
        <w:t xml:space="preserve"> </w:t>
      </w:r>
      <w:r w:rsidRPr="00A35AD6">
        <w:rPr>
          <w:rFonts w:eastAsia="Calibri" w:cs="Times New Roman"/>
          <w:b/>
          <w:sz w:val="24"/>
          <w:szCs w:val="20"/>
        </w:rPr>
        <w:t>MASSASI</w:t>
      </w:r>
      <w:r w:rsidRPr="00F52DBC">
        <w:rPr>
          <w:rFonts w:eastAsia="Calibri" w:cs="Times New Roman"/>
          <w:b/>
          <w:sz w:val="24"/>
          <w:szCs w:val="20"/>
          <w:lang w:val="ru-RU"/>
        </w:rPr>
        <w:t xml:space="preserve"> </w:t>
      </w:r>
      <w:r w:rsidRPr="00A35AD6">
        <w:rPr>
          <w:rFonts w:eastAsia="Calibri" w:cs="Times New Roman"/>
          <w:b/>
          <w:sz w:val="24"/>
          <w:szCs w:val="20"/>
        </w:rPr>
        <w:t>INDEKSI</w:t>
      </w:r>
      <w:r w:rsidRPr="00F52DBC">
        <w:rPr>
          <w:rFonts w:eastAsia="Calibri" w:cs="Times New Roman"/>
          <w:b/>
          <w:sz w:val="24"/>
          <w:szCs w:val="20"/>
          <w:lang w:val="ru-RU"/>
        </w:rPr>
        <w:t xml:space="preserve"> </w:t>
      </w:r>
      <w:r w:rsidRPr="00A35AD6">
        <w:rPr>
          <w:rFonts w:eastAsia="Calibri" w:cs="Times New Roman"/>
          <w:b/>
          <w:sz w:val="24"/>
          <w:szCs w:val="20"/>
        </w:rPr>
        <w:t>YuQORI</w:t>
      </w:r>
      <w:r w:rsidRPr="00F52DBC">
        <w:rPr>
          <w:rFonts w:eastAsia="Calibri" w:cs="Times New Roman"/>
          <w:b/>
          <w:sz w:val="24"/>
          <w:szCs w:val="20"/>
          <w:lang w:val="ru-RU"/>
        </w:rPr>
        <w:t xml:space="preserve"> </w:t>
      </w:r>
      <w:r w:rsidRPr="00A35AD6">
        <w:rPr>
          <w:rFonts w:eastAsia="Calibri" w:cs="Times New Roman"/>
          <w:b/>
          <w:sz w:val="24"/>
          <w:szCs w:val="20"/>
        </w:rPr>
        <w:t>BO</w:t>
      </w:r>
      <w:r w:rsidRPr="00F52DBC">
        <w:rPr>
          <w:rFonts w:eastAsia="Calibri" w:cs="Times New Roman"/>
          <w:b/>
          <w:sz w:val="24"/>
          <w:szCs w:val="20"/>
          <w:lang w:val="ru-RU"/>
        </w:rPr>
        <w:t>‘</w:t>
      </w:r>
      <w:r w:rsidRPr="00A35AD6">
        <w:rPr>
          <w:rFonts w:eastAsia="Calibri" w:cs="Times New Roman"/>
          <w:b/>
          <w:sz w:val="24"/>
          <w:szCs w:val="20"/>
        </w:rPr>
        <w:t>LGAN</w:t>
      </w:r>
      <w:r w:rsidRPr="00F52DBC">
        <w:rPr>
          <w:rFonts w:eastAsia="Calibri" w:cs="Times New Roman"/>
          <w:b/>
          <w:sz w:val="24"/>
          <w:szCs w:val="20"/>
          <w:lang w:val="ru-RU"/>
        </w:rPr>
        <w:t xml:space="preserve"> </w:t>
      </w:r>
      <w:r w:rsidRPr="00A35AD6">
        <w:rPr>
          <w:rFonts w:eastAsia="Calibri" w:cs="Times New Roman"/>
          <w:b/>
          <w:sz w:val="24"/>
          <w:szCs w:val="20"/>
        </w:rPr>
        <w:t>BEMORLARDA</w:t>
      </w:r>
      <w:r w:rsidRPr="00F52DBC">
        <w:rPr>
          <w:rFonts w:eastAsia="Calibri" w:cs="Times New Roman"/>
          <w:b/>
          <w:sz w:val="24"/>
          <w:szCs w:val="20"/>
          <w:lang w:val="ru-RU"/>
        </w:rPr>
        <w:t xml:space="preserve"> </w:t>
      </w:r>
      <w:r w:rsidRPr="00A35AD6">
        <w:rPr>
          <w:rFonts w:eastAsia="Calibri" w:cs="Times New Roman"/>
          <w:b/>
          <w:sz w:val="24"/>
          <w:szCs w:val="20"/>
        </w:rPr>
        <w:t>DIAFRAGMA</w:t>
      </w:r>
      <w:r w:rsidRPr="00F52DBC">
        <w:rPr>
          <w:rFonts w:eastAsia="Calibri" w:cs="Times New Roman"/>
          <w:b/>
          <w:sz w:val="24"/>
          <w:szCs w:val="20"/>
          <w:lang w:val="ru-RU"/>
        </w:rPr>
        <w:t xml:space="preserve"> </w:t>
      </w:r>
      <w:r w:rsidRPr="00A35AD6">
        <w:rPr>
          <w:rFonts w:eastAsia="Calibri" w:cs="Times New Roman"/>
          <w:b/>
          <w:sz w:val="24"/>
          <w:szCs w:val="20"/>
        </w:rPr>
        <w:t>ChURRA</w:t>
      </w:r>
      <w:r w:rsidRPr="00F52DBC">
        <w:rPr>
          <w:rFonts w:eastAsia="Calibri" w:cs="Times New Roman"/>
          <w:b/>
          <w:sz w:val="24"/>
          <w:szCs w:val="20"/>
          <w:lang w:val="ru-RU"/>
        </w:rPr>
        <w:t xml:space="preserve"> </w:t>
      </w:r>
      <w:r w:rsidRPr="00A35AD6">
        <w:rPr>
          <w:rFonts w:eastAsia="Calibri" w:cs="Times New Roman"/>
          <w:b/>
          <w:sz w:val="24"/>
          <w:szCs w:val="20"/>
        </w:rPr>
        <w:t>UChUN</w:t>
      </w:r>
      <w:r w:rsidRPr="00F52DBC">
        <w:rPr>
          <w:rFonts w:eastAsia="Calibri" w:cs="Times New Roman"/>
          <w:b/>
          <w:sz w:val="24"/>
          <w:szCs w:val="20"/>
          <w:lang w:val="ru-RU"/>
        </w:rPr>
        <w:t xml:space="preserve"> </w:t>
      </w:r>
      <w:r w:rsidRPr="00A35AD6">
        <w:rPr>
          <w:rFonts w:eastAsia="Calibri" w:cs="Times New Roman"/>
          <w:b/>
          <w:sz w:val="24"/>
          <w:szCs w:val="20"/>
        </w:rPr>
        <w:t>LAPAROSKOPIK</w:t>
      </w:r>
      <w:r w:rsidRPr="00F52DBC">
        <w:rPr>
          <w:rFonts w:eastAsia="Calibri" w:cs="Times New Roman"/>
          <w:b/>
          <w:sz w:val="24"/>
          <w:szCs w:val="20"/>
          <w:lang w:val="ru-RU"/>
        </w:rPr>
        <w:t xml:space="preserve"> </w:t>
      </w:r>
      <w:r w:rsidRPr="00A35AD6">
        <w:rPr>
          <w:rFonts w:eastAsia="Calibri" w:cs="Times New Roman"/>
          <w:b/>
          <w:sz w:val="24"/>
          <w:szCs w:val="20"/>
        </w:rPr>
        <w:t>FUNDOPLIKASIYaNING</w:t>
      </w:r>
      <w:r w:rsidRPr="00F52DBC">
        <w:rPr>
          <w:rFonts w:eastAsia="Calibri" w:cs="Times New Roman"/>
          <w:b/>
          <w:sz w:val="24"/>
          <w:szCs w:val="20"/>
          <w:lang w:val="ru-RU"/>
        </w:rPr>
        <w:t xml:space="preserve"> </w:t>
      </w:r>
      <w:r w:rsidRPr="00A35AD6">
        <w:rPr>
          <w:rFonts w:eastAsia="Calibri" w:cs="Times New Roman"/>
          <w:b/>
          <w:sz w:val="24"/>
          <w:szCs w:val="20"/>
        </w:rPr>
        <w:t>XUSUSIYaTLARI</w:t>
      </w:r>
    </w:p>
    <w:p w14:paraId="25CD1A3A" w14:textId="77777777" w:rsidR="00AA571D" w:rsidRPr="00F52DBC" w:rsidRDefault="00AA571D" w:rsidP="0068419D">
      <w:pPr>
        <w:spacing w:line="276" w:lineRule="auto"/>
        <w:jc w:val="center"/>
        <w:rPr>
          <w:rFonts w:eastAsia="Calibri" w:cs="Times New Roman"/>
          <w:b/>
          <w:sz w:val="24"/>
          <w:szCs w:val="20"/>
          <w:lang w:val="ru-RU"/>
        </w:rPr>
      </w:pPr>
    </w:p>
    <w:p w14:paraId="4873EAA0" w14:textId="77777777" w:rsidR="00AA571D" w:rsidRPr="00632F29" w:rsidRDefault="00AA571D" w:rsidP="0068419D">
      <w:pPr>
        <w:spacing w:line="276" w:lineRule="auto"/>
        <w:jc w:val="center"/>
        <w:rPr>
          <w:rFonts w:eastAsia="Calibri" w:cs="Times New Roman"/>
          <w:b/>
          <w:i/>
          <w:iCs/>
          <w:sz w:val="24"/>
          <w:szCs w:val="20"/>
          <w:lang w:val="ru-RU"/>
        </w:rPr>
      </w:pPr>
      <w:r w:rsidRPr="00A35AD6">
        <w:rPr>
          <w:rFonts w:eastAsia="Calibri" w:cs="Times New Roman"/>
          <w:b/>
          <w:i/>
          <w:iCs/>
          <w:sz w:val="24"/>
          <w:szCs w:val="20"/>
        </w:rPr>
        <w:t>Hakimov</w:t>
      </w:r>
      <w:r w:rsidRPr="00632F29">
        <w:rPr>
          <w:rFonts w:eastAsia="Calibri" w:cs="Times New Roman"/>
          <w:b/>
          <w:i/>
          <w:iCs/>
          <w:sz w:val="24"/>
          <w:szCs w:val="20"/>
          <w:lang w:val="ru-RU"/>
        </w:rPr>
        <w:t xml:space="preserve"> </w:t>
      </w:r>
      <w:r w:rsidRPr="00A35AD6">
        <w:rPr>
          <w:rFonts w:eastAsia="Calibri" w:cs="Times New Roman"/>
          <w:b/>
          <w:i/>
          <w:iCs/>
          <w:sz w:val="24"/>
          <w:szCs w:val="20"/>
        </w:rPr>
        <w:t>M</w:t>
      </w:r>
      <w:r w:rsidRPr="00632F29">
        <w:rPr>
          <w:rFonts w:eastAsia="Calibri" w:cs="Times New Roman"/>
          <w:b/>
          <w:i/>
          <w:iCs/>
          <w:sz w:val="24"/>
          <w:szCs w:val="20"/>
          <w:lang w:val="ru-RU"/>
        </w:rPr>
        <w:t>.</w:t>
      </w:r>
      <w:r w:rsidRPr="00A35AD6">
        <w:rPr>
          <w:rFonts w:eastAsia="Calibri" w:cs="Times New Roman"/>
          <w:b/>
          <w:i/>
          <w:iCs/>
          <w:sz w:val="24"/>
          <w:szCs w:val="20"/>
        </w:rPr>
        <w:t>Sh</w:t>
      </w:r>
      <w:r w:rsidRPr="00632F29">
        <w:rPr>
          <w:rFonts w:eastAsia="Calibri" w:cs="Times New Roman"/>
          <w:b/>
          <w:i/>
          <w:iCs/>
          <w:sz w:val="24"/>
          <w:szCs w:val="20"/>
          <w:lang w:val="ru-RU"/>
        </w:rPr>
        <w:t xml:space="preserve">., </w:t>
      </w:r>
      <w:r w:rsidRPr="00A35AD6">
        <w:rPr>
          <w:rFonts w:eastAsia="Calibri" w:cs="Times New Roman"/>
          <w:b/>
          <w:i/>
          <w:iCs/>
          <w:sz w:val="24"/>
          <w:szCs w:val="20"/>
        </w:rPr>
        <w:t>Berkinov</w:t>
      </w:r>
      <w:r w:rsidRPr="00632F29">
        <w:rPr>
          <w:rFonts w:eastAsia="Calibri" w:cs="Times New Roman"/>
          <w:b/>
          <w:i/>
          <w:iCs/>
          <w:sz w:val="24"/>
          <w:szCs w:val="20"/>
          <w:lang w:val="ru-RU"/>
        </w:rPr>
        <w:t xml:space="preserve"> </w:t>
      </w:r>
      <w:r w:rsidRPr="00A35AD6">
        <w:rPr>
          <w:rFonts w:eastAsia="Calibri" w:cs="Times New Roman"/>
          <w:b/>
          <w:i/>
          <w:iCs/>
          <w:sz w:val="24"/>
          <w:szCs w:val="20"/>
        </w:rPr>
        <w:t>U</w:t>
      </w:r>
      <w:r w:rsidRPr="00632F29">
        <w:rPr>
          <w:rFonts w:eastAsia="Calibri" w:cs="Times New Roman"/>
          <w:b/>
          <w:i/>
          <w:iCs/>
          <w:sz w:val="24"/>
          <w:szCs w:val="20"/>
          <w:lang w:val="ru-RU"/>
        </w:rPr>
        <w:t>.</w:t>
      </w:r>
      <w:r w:rsidRPr="00A35AD6">
        <w:rPr>
          <w:rFonts w:eastAsia="Calibri" w:cs="Times New Roman"/>
          <w:b/>
          <w:i/>
          <w:iCs/>
          <w:sz w:val="24"/>
          <w:szCs w:val="20"/>
        </w:rPr>
        <w:t>B</w:t>
      </w:r>
      <w:r w:rsidRPr="00632F29">
        <w:rPr>
          <w:rFonts w:eastAsia="Calibri" w:cs="Times New Roman"/>
          <w:b/>
          <w:i/>
          <w:iCs/>
          <w:sz w:val="24"/>
          <w:szCs w:val="20"/>
          <w:lang w:val="ru-RU"/>
        </w:rPr>
        <w:t xml:space="preserve">., </w:t>
      </w:r>
      <w:r w:rsidRPr="00A35AD6">
        <w:rPr>
          <w:rFonts w:eastAsia="Calibri" w:cs="Times New Roman"/>
          <w:b/>
          <w:i/>
          <w:iCs/>
          <w:sz w:val="24"/>
          <w:szCs w:val="20"/>
        </w:rPr>
        <w:t>Sattarov</w:t>
      </w:r>
      <w:r w:rsidRPr="00632F29">
        <w:rPr>
          <w:rFonts w:eastAsia="Calibri" w:cs="Times New Roman"/>
          <w:b/>
          <w:i/>
          <w:iCs/>
          <w:sz w:val="24"/>
          <w:szCs w:val="20"/>
          <w:lang w:val="ru-RU"/>
        </w:rPr>
        <w:t xml:space="preserve"> </w:t>
      </w:r>
      <w:r w:rsidRPr="00A35AD6">
        <w:rPr>
          <w:rFonts w:eastAsia="Calibri" w:cs="Times New Roman"/>
          <w:b/>
          <w:i/>
          <w:iCs/>
          <w:sz w:val="24"/>
          <w:szCs w:val="20"/>
        </w:rPr>
        <w:t>O</w:t>
      </w:r>
      <w:r w:rsidRPr="00632F29">
        <w:rPr>
          <w:rFonts w:eastAsia="Calibri" w:cs="Times New Roman"/>
          <w:b/>
          <w:i/>
          <w:iCs/>
          <w:sz w:val="24"/>
          <w:szCs w:val="20"/>
          <w:lang w:val="ru-RU"/>
        </w:rPr>
        <w:t>.</w:t>
      </w:r>
      <w:r w:rsidRPr="00A35AD6">
        <w:rPr>
          <w:rFonts w:eastAsia="Calibri" w:cs="Times New Roman"/>
          <w:b/>
          <w:i/>
          <w:iCs/>
          <w:sz w:val="24"/>
          <w:szCs w:val="20"/>
        </w:rPr>
        <w:t>T</w:t>
      </w:r>
      <w:r w:rsidRPr="00632F29">
        <w:rPr>
          <w:rFonts w:eastAsia="Calibri" w:cs="Times New Roman"/>
          <w:b/>
          <w:i/>
          <w:iCs/>
          <w:sz w:val="24"/>
          <w:szCs w:val="20"/>
          <w:lang w:val="ru-RU"/>
        </w:rPr>
        <w:t xml:space="preserve">., </w:t>
      </w:r>
      <w:r w:rsidRPr="00A35AD6">
        <w:rPr>
          <w:rFonts w:eastAsia="Calibri" w:cs="Times New Roman"/>
          <w:b/>
          <w:i/>
          <w:iCs/>
          <w:sz w:val="24"/>
          <w:szCs w:val="20"/>
        </w:rPr>
        <w:t>Ermatov</w:t>
      </w:r>
      <w:r w:rsidRPr="00632F29">
        <w:rPr>
          <w:rFonts w:eastAsia="Calibri" w:cs="Times New Roman"/>
          <w:b/>
          <w:i/>
          <w:iCs/>
          <w:sz w:val="24"/>
          <w:szCs w:val="20"/>
          <w:lang w:val="ru-RU"/>
        </w:rPr>
        <w:t xml:space="preserve"> </w:t>
      </w:r>
      <w:r w:rsidRPr="00A35AD6">
        <w:rPr>
          <w:rFonts w:eastAsia="Calibri" w:cs="Times New Roman"/>
          <w:b/>
          <w:i/>
          <w:iCs/>
          <w:sz w:val="24"/>
          <w:szCs w:val="20"/>
        </w:rPr>
        <w:t>B</w:t>
      </w:r>
      <w:r w:rsidRPr="00632F29">
        <w:rPr>
          <w:rFonts w:eastAsia="Calibri" w:cs="Times New Roman"/>
          <w:b/>
          <w:i/>
          <w:iCs/>
          <w:sz w:val="24"/>
          <w:szCs w:val="20"/>
          <w:lang w:val="ru-RU"/>
        </w:rPr>
        <w:t>.</w:t>
      </w:r>
      <w:r w:rsidRPr="00A35AD6">
        <w:rPr>
          <w:rFonts w:eastAsia="Calibri" w:cs="Times New Roman"/>
          <w:b/>
          <w:i/>
          <w:iCs/>
          <w:sz w:val="24"/>
          <w:szCs w:val="20"/>
        </w:rPr>
        <w:t>R</w:t>
      </w:r>
      <w:r w:rsidRPr="00632F29">
        <w:rPr>
          <w:rFonts w:eastAsia="Calibri" w:cs="Times New Roman"/>
          <w:b/>
          <w:i/>
          <w:iCs/>
          <w:sz w:val="24"/>
          <w:szCs w:val="20"/>
          <w:lang w:val="ru-RU"/>
        </w:rPr>
        <w:t>.</w:t>
      </w:r>
    </w:p>
    <w:p w14:paraId="5896ACC9" w14:textId="77777777" w:rsidR="00F52DBC" w:rsidRPr="00632F29" w:rsidRDefault="00AA571D" w:rsidP="00F52DBC">
      <w:pPr>
        <w:spacing w:line="276" w:lineRule="auto"/>
        <w:jc w:val="center"/>
        <w:rPr>
          <w:rFonts w:eastAsia="Calibri" w:cs="Times New Roman"/>
          <w:bCs/>
          <w:i/>
          <w:iCs/>
          <w:sz w:val="24"/>
          <w:szCs w:val="20"/>
          <w:lang w:val="es-MX"/>
        </w:rPr>
      </w:pPr>
      <w:r w:rsidRPr="00632F29">
        <w:rPr>
          <w:rFonts w:eastAsia="Calibri" w:cs="Times New Roman"/>
          <w:bCs/>
          <w:i/>
          <w:iCs/>
          <w:sz w:val="24"/>
          <w:szCs w:val="20"/>
          <w:lang w:val="es-MX"/>
        </w:rPr>
        <w:t>1 sonli fakultet va gospital jarroxlik kafedrasi</w:t>
      </w:r>
      <w:r w:rsidR="00F52DBC" w:rsidRPr="00632F29">
        <w:rPr>
          <w:rFonts w:eastAsia="Calibri" w:cs="Times New Roman"/>
          <w:bCs/>
          <w:i/>
          <w:iCs/>
          <w:sz w:val="24"/>
          <w:szCs w:val="20"/>
          <w:lang w:val="es-MX"/>
        </w:rPr>
        <w:t xml:space="preserve"> </w:t>
      </w:r>
    </w:p>
    <w:p w14:paraId="43BC42C4" w14:textId="0EF5B066" w:rsidR="00F52DBC" w:rsidRPr="00632F29" w:rsidRDefault="00F52DBC" w:rsidP="00F52DBC">
      <w:pPr>
        <w:spacing w:line="276" w:lineRule="auto"/>
        <w:jc w:val="center"/>
        <w:rPr>
          <w:rFonts w:eastAsia="Calibri" w:cs="Times New Roman"/>
          <w:bCs/>
          <w:i/>
          <w:iCs/>
          <w:sz w:val="24"/>
          <w:szCs w:val="20"/>
          <w:lang w:val="es-MX"/>
        </w:rPr>
      </w:pPr>
      <w:r w:rsidRPr="00632F29">
        <w:rPr>
          <w:rFonts w:eastAsia="Calibri" w:cs="Times New Roman"/>
          <w:bCs/>
          <w:i/>
          <w:iCs/>
          <w:sz w:val="24"/>
          <w:szCs w:val="20"/>
          <w:lang w:val="es-MX"/>
        </w:rPr>
        <w:t>Toshkent tibbiyot akademiyasi, Toshkent, Oʻzbekiston</w:t>
      </w:r>
    </w:p>
    <w:p w14:paraId="7E58377D" w14:textId="285A428E" w:rsidR="00AA571D" w:rsidRPr="00632F29" w:rsidRDefault="00AA571D" w:rsidP="0068419D">
      <w:pPr>
        <w:spacing w:line="276" w:lineRule="auto"/>
        <w:jc w:val="center"/>
        <w:rPr>
          <w:rFonts w:eastAsia="Calibri" w:cs="Times New Roman"/>
          <w:bCs/>
          <w:i/>
          <w:iCs/>
          <w:sz w:val="24"/>
          <w:szCs w:val="20"/>
          <w:lang w:val="es-MX"/>
        </w:rPr>
      </w:pPr>
    </w:p>
    <w:p w14:paraId="1955C2AE" w14:textId="77777777" w:rsidR="00AA571D" w:rsidRPr="00632F29" w:rsidRDefault="00AA571D" w:rsidP="0068419D">
      <w:pPr>
        <w:spacing w:line="276" w:lineRule="auto"/>
        <w:jc w:val="center"/>
        <w:rPr>
          <w:rFonts w:eastAsia="Calibri" w:cs="Times New Roman"/>
          <w:b/>
          <w:sz w:val="24"/>
          <w:szCs w:val="20"/>
          <w:lang w:val="es-MX"/>
        </w:rPr>
      </w:pPr>
    </w:p>
    <w:p w14:paraId="0A1A41E4" w14:textId="77777777" w:rsidR="00AA571D" w:rsidRPr="00632F29" w:rsidRDefault="00AA571D" w:rsidP="0068419D">
      <w:pPr>
        <w:spacing w:line="276" w:lineRule="auto"/>
        <w:ind w:firstLine="567"/>
        <w:jc w:val="both"/>
        <w:rPr>
          <w:rFonts w:eastAsia="Calibri" w:cs="Times New Roman"/>
          <w:b/>
          <w:sz w:val="24"/>
          <w:szCs w:val="20"/>
          <w:lang w:val="es-MX"/>
        </w:rPr>
      </w:pPr>
    </w:p>
    <w:p w14:paraId="2C5E6F8B" w14:textId="77777777" w:rsidR="00AA571D" w:rsidRPr="00632F29" w:rsidRDefault="00AA571D" w:rsidP="0068419D">
      <w:pPr>
        <w:spacing w:line="276" w:lineRule="auto"/>
        <w:ind w:firstLine="567"/>
        <w:jc w:val="both"/>
        <w:rPr>
          <w:rFonts w:eastAsia="Calibri" w:cs="Times New Roman"/>
          <w:i/>
          <w:iCs/>
          <w:sz w:val="24"/>
          <w:szCs w:val="20"/>
          <w:lang w:val="es-MX"/>
        </w:rPr>
      </w:pPr>
      <w:r w:rsidRPr="00632F29">
        <w:rPr>
          <w:rFonts w:eastAsia="Calibri" w:cs="Times New Roman"/>
          <w:b/>
          <w:i/>
          <w:iCs/>
          <w:sz w:val="24"/>
          <w:szCs w:val="20"/>
          <w:lang w:val="es-MX"/>
        </w:rPr>
        <w:t xml:space="preserve">Xulosa. </w:t>
      </w:r>
      <w:r w:rsidRPr="00632F29">
        <w:rPr>
          <w:rFonts w:eastAsia="Calibri" w:cs="Times New Roman"/>
          <w:i/>
          <w:iCs/>
          <w:sz w:val="24"/>
          <w:szCs w:val="20"/>
          <w:lang w:val="es-MX"/>
        </w:rPr>
        <w:t>Laparoskopik Nissen-Rosetti fundoplikasiyasidan o‘tkazilgan 22 nafar bemorni tek</w:t>
      </w:r>
      <w:r w:rsidRPr="00632F29">
        <w:rPr>
          <w:rFonts w:eastAsia="Calibri" w:cs="Times New Roman"/>
          <w:i/>
          <w:iCs/>
          <w:sz w:val="24"/>
          <w:szCs w:val="20"/>
          <w:lang w:val="es-MX"/>
        </w:rPr>
        <w:softHyphen/>
        <w:t>shirish va jarrohlik davolash natijalari tahlil qilindi. Bemorni tuzilishi va tana massasi indeksiga qarab, mualliflar troakarlarni kiritish usullarini taklif qildilar va komp'yuter dasturini ishlab chiqdi</w:t>
      </w:r>
      <w:r w:rsidRPr="00632F29">
        <w:rPr>
          <w:rFonts w:eastAsia="Calibri" w:cs="Times New Roman"/>
          <w:i/>
          <w:iCs/>
          <w:sz w:val="24"/>
          <w:szCs w:val="20"/>
          <w:lang w:val="es-MX"/>
        </w:rPr>
        <w:softHyphen/>
        <w:t>lar. Taklif etilayotgan dasturiy ta'minot troakarlarni kiritish uchun eng qulay nuqtalarni aniqlashni osonlashtiradi, bu esa jarroxlk instrumentlarni qayta tartibga solishni talab qilmasdan manipulya</w:t>
      </w:r>
      <w:r w:rsidRPr="00632F29">
        <w:rPr>
          <w:rFonts w:eastAsia="Calibri" w:cs="Times New Roman"/>
          <w:i/>
          <w:iCs/>
          <w:sz w:val="24"/>
          <w:szCs w:val="20"/>
          <w:lang w:val="es-MX"/>
        </w:rPr>
        <w:softHyphen/>
        <w:t>siya qilishni osonlashtiradi va shu bilan jarrohlik aralashuvlarning klinik natijalarini yaxshilaydi.</w:t>
      </w:r>
    </w:p>
    <w:p w14:paraId="510F0248" w14:textId="77777777" w:rsidR="00AA571D" w:rsidRPr="00632F29" w:rsidRDefault="00AA571D" w:rsidP="0068419D">
      <w:pPr>
        <w:spacing w:line="276" w:lineRule="auto"/>
        <w:ind w:firstLine="567"/>
        <w:jc w:val="both"/>
        <w:rPr>
          <w:rFonts w:eastAsia="Calibri" w:cs="Times New Roman"/>
          <w:i/>
          <w:iCs/>
          <w:sz w:val="24"/>
          <w:szCs w:val="20"/>
          <w:lang w:val="es-MX"/>
        </w:rPr>
      </w:pPr>
      <w:r w:rsidRPr="00632F29">
        <w:rPr>
          <w:rFonts w:eastAsia="Calibri" w:cs="Times New Roman"/>
          <w:b/>
          <w:bCs/>
          <w:i/>
          <w:iCs/>
          <w:sz w:val="24"/>
          <w:szCs w:val="20"/>
          <w:lang w:val="es-MX"/>
        </w:rPr>
        <w:t>Kalit so‘zlar:</w:t>
      </w:r>
      <w:r w:rsidRPr="00632F29">
        <w:rPr>
          <w:rFonts w:eastAsia="Calibri" w:cs="Times New Roman"/>
          <w:i/>
          <w:iCs/>
          <w:sz w:val="24"/>
          <w:szCs w:val="20"/>
          <w:lang w:val="es-MX"/>
        </w:rPr>
        <w:t xml:space="preserve"> laparoskopik fundoplikasiya, komp'yuter dasturi, diafragmal churra.</w:t>
      </w:r>
    </w:p>
    <w:p w14:paraId="47D7644A" w14:textId="77777777" w:rsidR="00AA571D" w:rsidRPr="00632F29" w:rsidRDefault="00AA571D" w:rsidP="0068419D">
      <w:pPr>
        <w:spacing w:line="276" w:lineRule="auto"/>
        <w:ind w:firstLine="567"/>
        <w:jc w:val="both"/>
        <w:rPr>
          <w:rFonts w:eastAsia="Calibri" w:cs="Times New Roman"/>
          <w:b/>
          <w:sz w:val="24"/>
          <w:szCs w:val="28"/>
          <w:lang w:val="es-MX"/>
        </w:rPr>
      </w:pPr>
    </w:p>
    <w:p w14:paraId="2D2F4672" w14:textId="77777777" w:rsidR="00AA571D" w:rsidRPr="00632F29" w:rsidRDefault="00AA571D" w:rsidP="0068419D">
      <w:pPr>
        <w:spacing w:line="276" w:lineRule="auto"/>
        <w:ind w:firstLine="567"/>
        <w:jc w:val="both"/>
        <w:rPr>
          <w:rFonts w:eastAsia="Calibri" w:cs="Times New Roman"/>
          <w:b/>
          <w:sz w:val="24"/>
          <w:szCs w:val="28"/>
          <w:lang w:val="es-MX"/>
        </w:rPr>
        <w:sectPr w:rsidR="00AA571D" w:rsidRPr="00632F29" w:rsidSect="001B41EC">
          <w:type w:val="continuous"/>
          <w:pgSz w:w="11907" w:h="16840" w:code="9"/>
          <w:pgMar w:top="1418" w:right="1134" w:bottom="1134" w:left="1134" w:header="907" w:footer="794" w:gutter="0"/>
          <w:cols w:space="708"/>
          <w:docGrid w:linePitch="381"/>
        </w:sectPr>
      </w:pPr>
    </w:p>
    <w:p w14:paraId="09AE5BE8"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b/>
          <w:sz w:val="24"/>
          <w:szCs w:val="28"/>
        </w:rPr>
        <w:t>Background.</w:t>
      </w:r>
      <w:r w:rsidRPr="00A35AD6">
        <w:rPr>
          <w:rFonts w:eastAsia="Calibri" w:cs="Times New Roman"/>
          <w:sz w:val="24"/>
          <w:szCs w:val="28"/>
        </w:rPr>
        <w:t xml:space="preserve"> Currently, the frequency of patients visiting a doctor with esophageal hi</w:t>
      </w:r>
      <w:r>
        <w:rPr>
          <w:rFonts w:eastAsia="Calibri" w:cs="Times New Roman"/>
          <w:sz w:val="24"/>
          <w:szCs w:val="28"/>
        </w:rPr>
        <w:softHyphen/>
      </w:r>
      <w:r w:rsidRPr="00A35AD6">
        <w:rPr>
          <w:rFonts w:eastAsia="Calibri" w:cs="Times New Roman"/>
          <w:sz w:val="24"/>
          <w:szCs w:val="28"/>
        </w:rPr>
        <w:t xml:space="preserve">atal hernias (EHH) of diaphragm is growing steadily. According to the WHO </w:t>
      </w:r>
      <w:r w:rsidRPr="00A35AD6">
        <w:rPr>
          <w:rFonts w:eastAsia="Calibri" w:cs="Times New Roman"/>
          <w:sz w:val="24"/>
          <w:szCs w:val="28"/>
        </w:rPr>
        <w:sym w:font="Symbol" w:char="F05B"/>
      </w:r>
      <w:r w:rsidRPr="00A35AD6">
        <w:rPr>
          <w:rFonts w:eastAsia="Calibri" w:cs="Times New Roman"/>
          <w:sz w:val="24"/>
          <w:szCs w:val="28"/>
        </w:rPr>
        <w:t>1, 2</w:t>
      </w:r>
      <w:r w:rsidRPr="00A35AD6">
        <w:rPr>
          <w:rFonts w:eastAsia="Calibri" w:cs="Times New Roman"/>
          <w:sz w:val="24"/>
          <w:szCs w:val="28"/>
        </w:rPr>
        <w:sym w:font="Symbol" w:char="F05D"/>
      </w:r>
      <w:r w:rsidRPr="00A35AD6">
        <w:rPr>
          <w:rFonts w:eastAsia="Calibri" w:cs="Times New Roman"/>
          <w:sz w:val="24"/>
          <w:szCs w:val="28"/>
        </w:rPr>
        <w:t>, dia</w:t>
      </w:r>
      <w:r>
        <w:rPr>
          <w:rFonts w:eastAsia="Calibri" w:cs="Times New Roman"/>
          <w:sz w:val="24"/>
          <w:szCs w:val="28"/>
        </w:rPr>
        <w:softHyphen/>
      </w:r>
      <w:r w:rsidRPr="00A35AD6">
        <w:rPr>
          <w:rFonts w:eastAsia="Calibri" w:cs="Times New Roman"/>
          <w:sz w:val="24"/>
          <w:szCs w:val="28"/>
        </w:rPr>
        <w:t>phragmatic hernias are the cause of pathologi</w:t>
      </w:r>
      <w:r>
        <w:rPr>
          <w:rFonts w:eastAsia="Calibri" w:cs="Times New Roman"/>
          <w:sz w:val="24"/>
          <w:szCs w:val="28"/>
        </w:rPr>
        <w:softHyphen/>
      </w:r>
      <w:r w:rsidRPr="00A35AD6">
        <w:rPr>
          <w:rFonts w:eastAsia="Calibri" w:cs="Times New Roman"/>
          <w:sz w:val="24"/>
          <w:szCs w:val="28"/>
        </w:rPr>
        <w:t>cal conditions in every second elderly patient in gastroenterological practice. Laparoscopic fundoplication by Nissen, by Toupet and other minimally invasive methods are increasingly applied for surgical treatment of EHH. The ad</w:t>
      </w:r>
      <w:r>
        <w:rPr>
          <w:rFonts w:eastAsia="Calibri" w:cs="Times New Roman"/>
          <w:sz w:val="24"/>
          <w:szCs w:val="28"/>
        </w:rPr>
        <w:softHyphen/>
      </w:r>
      <w:r w:rsidRPr="00A35AD6">
        <w:rPr>
          <w:rFonts w:eastAsia="Calibri" w:cs="Times New Roman"/>
          <w:sz w:val="24"/>
          <w:szCs w:val="28"/>
        </w:rPr>
        <w:t>vantages of such interventions are obvious: the surgery is carried out through minimal inci</w:t>
      </w:r>
      <w:r>
        <w:rPr>
          <w:rFonts w:eastAsia="Calibri" w:cs="Times New Roman"/>
          <w:sz w:val="24"/>
          <w:szCs w:val="28"/>
        </w:rPr>
        <w:softHyphen/>
      </w:r>
      <w:r w:rsidRPr="00A35AD6">
        <w:rPr>
          <w:rFonts w:eastAsia="Calibri" w:cs="Times New Roman"/>
          <w:sz w:val="24"/>
          <w:szCs w:val="28"/>
        </w:rPr>
        <w:t>sions with the sizes of 10 and 5 mm that guar</w:t>
      </w:r>
      <w:r>
        <w:rPr>
          <w:rFonts w:eastAsia="Calibri" w:cs="Times New Roman"/>
          <w:sz w:val="24"/>
          <w:szCs w:val="28"/>
        </w:rPr>
        <w:softHyphen/>
      </w:r>
      <w:r w:rsidRPr="00A35AD6">
        <w:rPr>
          <w:rFonts w:eastAsia="Calibri" w:cs="Times New Roman"/>
          <w:sz w:val="24"/>
          <w:szCs w:val="28"/>
        </w:rPr>
        <w:t>antees a cosmetic effect; precise work with tis</w:t>
      </w:r>
      <w:r>
        <w:rPr>
          <w:rFonts w:eastAsia="Calibri" w:cs="Times New Roman"/>
          <w:sz w:val="24"/>
          <w:szCs w:val="28"/>
        </w:rPr>
        <w:softHyphen/>
      </w:r>
      <w:r w:rsidRPr="00A35AD6">
        <w:rPr>
          <w:rFonts w:eastAsia="Calibri" w:cs="Times New Roman"/>
          <w:sz w:val="24"/>
          <w:szCs w:val="28"/>
        </w:rPr>
        <w:t>sues is improved owing to the optical zoom of the target surgical area and the patient’s hospi</w:t>
      </w:r>
      <w:r>
        <w:rPr>
          <w:rFonts w:eastAsia="Calibri" w:cs="Times New Roman"/>
          <w:sz w:val="24"/>
          <w:szCs w:val="28"/>
        </w:rPr>
        <w:softHyphen/>
      </w:r>
      <w:r w:rsidRPr="00A35AD6">
        <w:rPr>
          <w:rFonts w:eastAsia="Calibri" w:cs="Times New Roman"/>
          <w:sz w:val="24"/>
          <w:szCs w:val="28"/>
        </w:rPr>
        <w:t>tal stay is significantly reduced. Due to these merits, the number of such interventions is in</w:t>
      </w:r>
      <w:r>
        <w:rPr>
          <w:rFonts w:eastAsia="Calibri" w:cs="Times New Roman"/>
          <w:sz w:val="24"/>
          <w:szCs w:val="28"/>
        </w:rPr>
        <w:softHyphen/>
      </w:r>
      <w:r w:rsidRPr="00A35AD6">
        <w:rPr>
          <w:rFonts w:eastAsia="Calibri" w:cs="Times New Roman"/>
          <w:sz w:val="24"/>
          <w:szCs w:val="28"/>
        </w:rPr>
        <w:t xml:space="preserve">creasing progressively </w:t>
      </w:r>
      <w:r w:rsidRPr="00A35AD6">
        <w:rPr>
          <w:rFonts w:eastAsia="Calibri" w:cs="Times New Roman"/>
          <w:sz w:val="24"/>
          <w:szCs w:val="28"/>
        </w:rPr>
        <w:sym w:font="Symbol" w:char="F05B"/>
      </w:r>
      <w:r w:rsidRPr="00A35AD6">
        <w:rPr>
          <w:rFonts w:eastAsia="Calibri" w:cs="Times New Roman"/>
          <w:sz w:val="24"/>
          <w:szCs w:val="28"/>
        </w:rPr>
        <w:t>3</w:t>
      </w:r>
      <w:r w:rsidRPr="00A35AD6">
        <w:rPr>
          <w:rFonts w:eastAsia="Calibri" w:cs="Times New Roman"/>
          <w:sz w:val="24"/>
          <w:szCs w:val="28"/>
        </w:rPr>
        <w:sym w:font="Symbol" w:char="F05D"/>
      </w:r>
      <w:r w:rsidRPr="00A35AD6">
        <w:rPr>
          <w:rFonts w:eastAsia="Calibri" w:cs="Times New Roman"/>
          <w:sz w:val="24"/>
          <w:szCs w:val="28"/>
        </w:rPr>
        <w:t>.</w:t>
      </w:r>
    </w:p>
    <w:p w14:paraId="01089A9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Yet, the frequent implementation of lap</w:t>
      </w:r>
      <w:r>
        <w:rPr>
          <w:rFonts w:eastAsia="Calibri" w:cs="Times New Roman"/>
          <w:sz w:val="24"/>
          <w:szCs w:val="28"/>
        </w:rPr>
        <w:softHyphen/>
      </w:r>
      <w:r w:rsidRPr="00A35AD6">
        <w:rPr>
          <w:rFonts w:eastAsia="Calibri" w:cs="Times New Roman"/>
          <w:sz w:val="24"/>
          <w:szCs w:val="28"/>
        </w:rPr>
        <w:t>aroscopic interventions for EHH has generated a number of unresolved problems associated with recurrence of the disease, the develop</w:t>
      </w:r>
      <w:r>
        <w:rPr>
          <w:rFonts w:eastAsia="Calibri" w:cs="Times New Roman"/>
          <w:sz w:val="24"/>
          <w:szCs w:val="28"/>
        </w:rPr>
        <w:softHyphen/>
      </w:r>
      <w:r w:rsidRPr="00A35AD6">
        <w:rPr>
          <w:rFonts w:eastAsia="Calibri" w:cs="Times New Roman"/>
          <w:sz w:val="24"/>
          <w:szCs w:val="28"/>
        </w:rPr>
        <w:t>ment of dysphagia and other complications during the postoperative period. In addition, the laparoscopic surgery for elimination of EHH is not a routine intervention and requires high skills of endoscopic surgery from the phy</w:t>
      </w:r>
      <w:r>
        <w:rPr>
          <w:rFonts w:eastAsia="Calibri" w:cs="Times New Roman"/>
          <w:sz w:val="24"/>
          <w:szCs w:val="28"/>
        </w:rPr>
        <w:softHyphen/>
      </w:r>
      <w:r w:rsidRPr="00A35AD6">
        <w:rPr>
          <w:rFonts w:eastAsia="Calibri" w:cs="Times New Roman"/>
          <w:sz w:val="24"/>
          <w:szCs w:val="28"/>
        </w:rPr>
        <w:t>sician. This issue becomes even more tough when it comes to patients with a high body mass index (BMI). According to a number of researches, in this category of patients, the fre</w:t>
      </w:r>
      <w:r>
        <w:rPr>
          <w:rFonts w:eastAsia="Calibri" w:cs="Times New Roman"/>
          <w:sz w:val="24"/>
          <w:szCs w:val="28"/>
        </w:rPr>
        <w:softHyphen/>
      </w:r>
      <w:r w:rsidRPr="00A35AD6">
        <w:rPr>
          <w:rFonts w:eastAsia="Calibri" w:cs="Times New Roman"/>
          <w:sz w:val="24"/>
          <w:szCs w:val="28"/>
        </w:rPr>
        <w:t>quency of intra- and postoperative complica</w:t>
      </w:r>
      <w:r>
        <w:rPr>
          <w:rFonts w:eastAsia="Calibri" w:cs="Times New Roman"/>
          <w:sz w:val="24"/>
          <w:szCs w:val="28"/>
        </w:rPr>
        <w:softHyphen/>
      </w:r>
      <w:r w:rsidRPr="00A35AD6">
        <w:rPr>
          <w:rFonts w:eastAsia="Calibri" w:cs="Times New Roman"/>
          <w:sz w:val="24"/>
          <w:szCs w:val="28"/>
        </w:rPr>
        <w:t xml:space="preserve">tions and the rate of recurrence of the disease after laparoscopic fundoplication increased by </w:t>
      </w:r>
      <w:r w:rsidRPr="00A35AD6">
        <w:rPr>
          <w:rFonts w:eastAsia="Calibri" w:cs="Times New Roman"/>
          <w:sz w:val="24"/>
          <w:szCs w:val="28"/>
        </w:rPr>
        <w:t>about 2 times and reached up to 14-15% com</w:t>
      </w:r>
      <w:r>
        <w:rPr>
          <w:rFonts w:eastAsia="Calibri" w:cs="Times New Roman"/>
          <w:sz w:val="24"/>
          <w:szCs w:val="28"/>
        </w:rPr>
        <w:softHyphen/>
      </w:r>
      <w:r w:rsidRPr="00A35AD6">
        <w:rPr>
          <w:rFonts w:eastAsia="Calibri" w:cs="Times New Roman"/>
          <w:sz w:val="24"/>
          <w:szCs w:val="28"/>
        </w:rPr>
        <w:t xml:space="preserve">pared to patients with normal BMI </w:t>
      </w:r>
      <w:r w:rsidRPr="00A35AD6">
        <w:rPr>
          <w:rFonts w:eastAsia="Calibri" w:cs="Times New Roman"/>
          <w:sz w:val="24"/>
          <w:szCs w:val="28"/>
        </w:rPr>
        <w:sym w:font="Symbol" w:char="F05B"/>
      </w:r>
      <w:r w:rsidRPr="00A35AD6">
        <w:rPr>
          <w:rFonts w:eastAsia="Calibri" w:cs="Times New Roman"/>
          <w:sz w:val="24"/>
          <w:szCs w:val="28"/>
        </w:rPr>
        <w:t>4, 5</w:t>
      </w:r>
      <w:r w:rsidRPr="00A35AD6">
        <w:rPr>
          <w:rFonts w:eastAsia="Calibri" w:cs="Times New Roman"/>
          <w:sz w:val="24"/>
          <w:szCs w:val="28"/>
        </w:rPr>
        <w:sym w:font="Symbol" w:char="F05D"/>
      </w:r>
      <w:r w:rsidRPr="00A35AD6">
        <w:rPr>
          <w:rFonts w:eastAsia="Calibri" w:cs="Times New Roman"/>
          <w:sz w:val="24"/>
          <w:szCs w:val="28"/>
        </w:rPr>
        <w:t>.</w:t>
      </w:r>
    </w:p>
    <w:p w14:paraId="42204FE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One of the key points of solving this problem is to create a comfortable operating environment, which, in our opinion, first of all, will be provided by choosing the right trocar placement for this category of patients.</w:t>
      </w:r>
    </w:p>
    <w:p w14:paraId="6CA53238"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 xml:space="preserve">Considering the statement mentioned above, </w:t>
      </w:r>
      <w:r w:rsidRPr="00A35AD6">
        <w:rPr>
          <w:rFonts w:eastAsia="Calibri" w:cs="Times New Roman"/>
          <w:b/>
          <w:sz w:val="24"/>
          <w:szCs w:val="28"/>
        </w:rPr>
        <w:t>the purpose</w:t>
      </w:r>
      <w:r w:rsidRPr="00A35AD6">
        <w:rPr>
          <w:rFonts w:eastAsia="Calibri" w:cs="Times New Roman"/>
          <w:sz w:val="24"/>
          <w:szCs w:val="28"/>
        </w:rPr>
        <w:t xml:space="preserve"> of this study was to deter</w:t>
      </w:r>
      <w:r>
        <w:rPr>
          <w:rFonts w:eastAsia="Calibri" w:cs="Times New Roman"/>
          <w:sz w:val="24"/>
          <w:szCs w:val="28"/>
        </w:rPr>
        <w:softHyphen/>
      </w:r>
      <w:r w:rsidRPr="00A35AD6">
        <w:rPr>
          <w:rFonts w:eastAsia="Calibri" w:cs="Times New Roman"/>
          <w:sz w:val="24"/>
          <w:szCs w:val="28"/>
        </w:rPr>
        <w:t>mine the optimal trocar sites when performing laparoscopic repair of EHH in patients with high BMI.</w:t>
      </w:r>
    </w:p>
    <w:p w14:paraId="18847E97"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b/>
          <w:sz w:val="24"/>
          <w:szCs w:val="28"/>
        </w:rPr>
        <w:t>Methods and research materials.</w:t>
      </w:r>
      <w:r w:rsidRPr="00A35AD6">
        <w:rPr>
          <w:rFonts w:eastAsia="Calibri" w:cs="Times New Roman"/>
          <w:sz w:val="24"/>
          <w:szCs w:val="28"/>
        </w:rPr>
        <w:t xml:space="preserve"> </w:t>
      </w:r>
    </w:p>
    <w:p w14:paraId="2DF91E3B"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results of the examination and selec</w:t>
      </w:r>
      <w:r>
        <w:rPr>
          <w:rFonts w:eastAsia="Calibri" w:cs="Times New Roman"/>
          <w:sz w:val="24"/>
          <w:szCs w:val="28"/>
        </w:rPr>
        <w:softHyphen/>
      </w:r>
      <w:r w:rsidRPr="00A35AD6">
        <w:rPr>
          <w:rFonts w:eastAsia="Calibri" w:cs="Times New Roman"/>
          <w:sz w:val="24"/>
          <w:szCs w:val="28"/>
        </w:rPr>
        <w:t>tive surgical treatment of 22 patients with EHH and BMI of more than 30, who were hospital</w:t>
      </w:r>
      <w:r>
        <w:rPr>
          <w:rFonts w:eastAsia="Calibri" w:cs="Times New Roman"/>
          <w:sz w:val="24"/>
          <w:szCs w:val="28"/>
        </w:rPr>
        <w:softHyphen/>
      </w:r>
      <w:r w:rsidRPr="00A35AD6">
        <w:rPr>
          <w:rFonts w:eastAsia="Calibri" w:cs="Times New Roman"/>
          <w:sz w:val="24"/>
          <w:szCs w:val="28"/>
        </w:rPr>
        <w:t>ized in the multidisciplinary clinic of the Tash</w:t>
      </w:r>
      <w:r>
        <w:rPr>
          <w:rFonts w:eastAsia="Calibri" w:cs="Times New Roman"/>
          <w:sz w:val="24"/>
          <w:szCs w:val="28"/>
        </w:rPr>
        <w:softHyphen/>
      </w:r>
      <w:r w:rsidRPr="00A35AD6">
        <w:rPr>
          <w:rFonts w:eastAsia="Calibri" w:cs="Times New Roman"/>
          <w:sz w:val="24"/>
          <w:szCs w:val="28"/>
        </w:rPr>
        <w:t>kent Medical Academy in the period from 2014 to 2019, were analyzed. All patients were divided into two clinical groups. The control group included 10 patients who underwent standard laparoscopic fundoplication (LFP) according to Nissen-Rosetti. The trocar site for the patients of main group (12 patients) was determined according to the calculations of the computer program developed by us.</w:t>
      </w:r>
    </w:p>
    <w:p w14:paraId="490979D3"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All analyzed patients had a sliding EHH (type 1 EHH according to Hill). There were 9 women (55.9%) and 13 men (44.1%). The age of patients ranged from 42 to 68 years (mean age was 55.2 ± 8.6 years). Their average BMI was 32.2 ± 2.5 kg / cm2. There were not any particular differences in the above parameters of discrepancies in the compared groups.</w:t>
      </w:r>
    </w:p>
    <w:p w14:paraId="0B937CE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One of the features of performing lapa</w:t>
      </w:r>
      <w:r>
        <w:rPr>
          <w:rFonts w:eastAsia="Calibri" w:cs="Times New Roman"/>
          <w:sz w:val="24"/>
          <w:szCs w:val="28"/>
        </w:rPr>
        <w:softHyphen/>
      </w:r>
      <w:r w:rsidRPr="00A35AD6">
        <w:rPr>
          <w:rFonts w:eastAsia="Calibri" w:cs="Times New Roman"/>
          <w:sz w:val="24"/>
          <w:szCs w:val="28"/>
        </w:rPr>
        <w:t xml:space="preserve">roscopic fundoplication in patients with high </w:t>
      </w:r>
      <w:r w:rsidRPr="00A35AD6">
        <w:rPr>
          <w:rFonts w:eastAsia="Calibri" w:cs="Times New Roman"/>
          <w:sz w:val="24"/>
          <w:szCs w:val="28"/>
        </w:rPr>
        <w:lastRenderedPageBreak/>
        <w:t>BMI is the strict abidance of the patient’s po</w:t>
      </w:r>
      <w:r>
        <w:rPr>
          <w:rFonts w:eastAsia="Calibri" w:cs="Times New Roman"/>
          <w:sz w:val="24"/>
          <w:szCs w:val="28"/>
        </w:rPr>
        <w:softHyphen/>
      </w:r>
      <w:r w:rsidRPr="00A35AD6">
        <w:rPr>
          <w:rFonts w:eastAsia="Calibri" w:cs="Times New Roman"/>
          <w:sz w:val="24"/>
          <w:szCs w:val="28"/>
        </w:rPr>
        <w:t>sition on the operating table: it should be with the position of head-up (when head is lifted as much as possible) that is used in the compared groups.</w:t>
      </w:r>
    </w:p>
    <w:p w14:paraId="342C71C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stages of laparoscopic fundoplica</w:t>
      </w:r>
      <w:r>
        <w:rPr>
          <w:rFonts w:eastAsia="Calibri" w:cs="Times New Roman"/>
          <w:sz w:val="24"/>
          <w:szCs w:val="28"/>
        </w:rPr>
        <w:softHyphen/>
      </w:r>
      <w:r w:rsidRPr="00A35AD6">
        <w:rPr>
          <w:rFonts w:eastAsia="Calibri" w:cs="Times New Roman"/>
          <w:sz w:val="24"/>
          <w:szCs w:val="28"/>
        </w:rPr>
        <w:t>tion in the control group were as following:</w:t>
      </w:r>
    </w:p>
    <w:p w14:paraId="2816C048"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Laparoscopic fundoplication (LFP) was performed by introducing five trocars into the abdominal cavity. In this case, the first 10 mm trocar (A) was introduced above the navel at an angle; the second (B) 10 mm trocar was intro</w:t>
      </w:r>
      <w:r>
        <w:rPr>
          <w:rFonts w:eastAsia="Calibri" w:cs="Times New Roman"/>
          <w:sz w:val="24"/>
          <w:szCs w:val="28"/>
        </w:rPr>
        <w:softHyphen/>
      </w:r>
      <w:r w:rsidRPr="00A35AD6">
        <w:rPr>
          <w:rFonts w:eastAsia="Calibri" w:cs="Times New Roman"/>
          <w:sz w:val="24"/>
          <w:szCs w:val="28"/>
        </w:rPr>
        <w:t>duced 1 cm below the xiphoid process in the midline; the third (C) 5 mm trocar was intro</w:t>
      </w:r>
      <w:r>
        <w:rPr>
          <w:rFonts w:eastAsia="Calibri" w:cs="Times New Roman"/>
          <w:sz w:val="24"/>
          <w:szCs w:val="28"/>
        </w:rPr>
        <w:softHyphen/>
      </w:r>
      <w:r w:rsidRPr="00A35AD6">
        <w:rPr>
          <w:rFonts w:eastAsia="Calibri" w:cs="Times New Roman"/>
          <w:sz w:val="24"/>
          <w:szCs w:val="28"/>
        </w:rPr>
        <w:t>duced along the midclavicular line to the right, 4 cm below the costal arch; the fourth (D) 5 mm trocar was introduced along the anterior axillary line on the left, 3 cm below the costal arch; a fifth (E) 5 mm trocar was introduced to the left of the midline, 4 cm below the costal arch, at the intersection with the line connect</w:t>
      </w:r>
      <w:r>
        <w:rPr>
          <w:rFonts w:eastAsia="Calibri" w:cs="Times New Roman"/>
          <w:sz w:val="24"/>
          <w:szCs w:val="28"/>
        </w:rPr>
        <w:softHyphen/>
      </w:r>
      <w:r w:rsidRPr="00A35AD6">
        <w:rPr>
          <w:rFonts w:eastAsia="Calibri" w:cs="Times New Roman"/>
          <w:sz w:val="24"/>
          <w:szCs w:val="28"/>
        </w:rPr>
        <w:t>ing the second and third trocars. Then, the standard stages of the operation were per</w:t>
      </w:r>
      <w:r>
        <w:rPr>
          <w:rFonts w:eastAsia="Calibri" w:cs="Times New Roman"/>
          <w:sz w:val="24"/>
          <w:szCs w:val="28"/>
        </w:rPr>
        <w:softHyphen/>
      </w:r>
      <w:r w:rsidRPr="00A35AD6">
        <w:rPr>
          <w:rFonts w:eastAsia="Calibri" w:cs="Times New Roman"/>
          <w:sz w:val="24"/>
          <w:szCs w:val="28"/>
        </w:rPr>
        <w:t>formed: cruroraphy, fundoplication with the formation of a tensioned fundoplication cuff, capturing the front wall of the fundal part of stomach and passing it by the esophagus, 3-4 steps away from the large curvature, carried out to the right behind the esophagus, in an amount that is sufficient to form a tension-free cuff, a first suture is applied, without tension between the anterior surface of the fundus of stomach on the left, the anterior surface of the esophageal-cardiac transition and the wall of the stomach held behind the esophagus , the su</w:t>
      </w:r>
      <w:r>
        <w:rPr>
          <w:rFonts w:eastAsia="Calibri" w:cs="Times New Roman"/>
          <w:sz w:val="24"/>
          <w:szCs w:val="28"/>
        </w:rPr>
        <w:softHyphen/>
      </w:r>
      <w:r w:rsidRPr="00A35AD6">
        <w:rPr>
          <w:rFonts w:eastAsia="Calibri" w:cs="Times New Roman"/>
          <w:sz w:val="24"/>
          <w:szCs w:val="28"/>
        </w:rPr>
        <w:t>ture is tightened with five knots, and then con</w:t>
      </w:r>
      <w:r>
        <w:rPr>
          <w:rFonts w:eastAsia="Calibri" w:cs="Times New Roman"/>
          <w:sz w:val="24"/>
          <w:szCs w:val="28"/>
        </w:rPr>
        <w:softHyphen/>
      </w:r>
      <w:r w:rsidRPr="00A35AD6">
        <w:rPr>
          <w:rFonts w:eastAsia="Calibri" w:cs="Times New Roman"/>
          <w:sz w:val="24"/>
          <w:szCs w:val="28"/>
        </w:rPr>
        <w:t>tinue to form a continuous suture down, be</w:t>
      </w:r>
      <w:r>
        <w:rPr>
          <w:rFonts w:eastAsia="Calibri" w:cs="Times New Roman"/>
          <w:sz w:val="24"/>
          <w:szCs w:val="28"/>
        </w:rPr>
        <w:softHyphen/>
      </w:r>
      <w:r w:rsidRPr="00A35AD6">
        <w:rPr>
          <w:rFonts w:eastAsia="Calibri" w:cs="Times New Roman"/>
          <w:sz w:val="24"/>
          <w:szCs w:val="28"/>
        </w:rPr>
        <w:t>tween the front surface of the bottom of the stomach on the left, the front surface of the car</w:t>
      </w:r>
      <w:r>
        <w:rPr>
          <w:rFonts w:eastAsia="Calibri" w:cs="Times New Roman"/>
          <w:sz w:val="24"/>
          <w:szCs w:val="28"/>
        </w:rPr>
        <w:softHyphen/>
      </w:r>
      <w:r w:rsidRPr="00A35AD6">
        <w:rPr>
          <w:rFonts w:eastAsia="Calibri" w:cs="Times New Roman"/>
          <w:sz w:val="24"/>
          <w:szCs w:val="28"/>
        </w:rPr>
        <w:t>dia and the wall of the stomach drawn behind the esophagus, then continue suture between the front surface of the left side of stomach bot</w:t>
      </w:r>
      <w:r>
        <w:rPr>
          <w:rFonts w:eastAsia="Calibri" w:cs="Times New Roman"/>
          <w:sz w:val="24"/>
          <w:szCs w:val="28"/>
        </w:rPr>
        <w:softHyphen/>
      </w:r>
      <w:r w:rsidRPr="00A35AD6">
        <w:rPr>
          <w:rFonts w:eastAsia="Calibri" w:cs="Times New Roman"/>
          <w:sz w:val="24"/>
          <w:szCs w:val="28"/>
        </w:rPr>
        <w:t>tom and held behind the esophagus stomach wall without strain and a length of 5 cm, to form a full cuff.</w:t>
      </w:r>
    </w:p>
    <w:p w14:paraId="0BDB58D6"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In the main group, the points of introduc</w:t>
      </w:r>
      <w:r>
        <w:rPr>
          <w:rFonts w:eastAsia="Calibri" w:cs="Times New Roman"/>
          <w:sz w:val="24"/>
          <w:szCs w:val="28"/>
        </w:rPr>
        <w:softHyphen/>
      </w:r>
      <w:r w:rsidRPr="00A35AD6">
        <w:rPr>
          <w:rFonts w:eastAsia="Calibri" w:cs="Times New Roman"/>
          <w:sz w:val="24"/>
          <w:szCs w:val="28"/>
        </w:rPr>
        <w:t>tion of instruments for laparoscopic hernia re</w:t>
      </w:r>
      <w:r>
        <w:rPr>
          <w:rFonts w:eastAsia="Calibri" w:cs="Times New Roman"/>
          <w:sz w:val="24"/>
          <w:szCs w:val="28"/>
        </w:rPr>
        <w:softHyphen/>
      </w:r>
      <w:r w:rsidRPr="00A35AD6">
        <w:rPr>
          <w:rFonts w:eastAsia="Calibri" w:cs="Times New Roman"/>
          <w:sz w:val="24"/>
          <w:szCs w:val="28"/>
        </w:rPr>
        <w:t>pair were determined on the basis of our pro</w:t>
      </w:r>
      <w:r>
        <w:rPr>
          <w:rFonts w:eastAsia="Calibri" w:cs="Times New Roman"/>
          <w:sz w:val="24"/>
          <w:szCs w:val="28"/>
        </w:rPr>
        <w:softHyphen/>
      </w:r>
      <w:r w:rsidRPr="00A35AD6">
        <w:rPr>
          <w:rFonts w:eastAsia="Calibri" w:cs="Times New Roman"/>
          <w:sz w:val="24"/>
          <w:szCs w:val="28"/>
        </w:rPr>
        <w:t>gram - the “Hernioplasty.exe”, the program for calculating the insertion parameters of trocars for laparoscopic hernia repair, used to perform laparoscopic hernia repair for inguinal hernias (certificate from the Intellectual Property Agency of the Republic of Uzbekistan DGU No. 04043 on 10/04/2016). This access point selection program was also used to select ac</w:t>
      </w:r>
      <w:r>
        <w:rPr>
          <w:rFonts w:eastAsia="Calibri" w:cs="Times New Roman"/>
          <w:sz w:val="24"/>
          <w:szCs w:val="28"/>
        </w:rPr>
        <w:softHyphen/>
      </w:r>
      <w:r w:rsidRPr="00A35AD6">
        <w:rPr>
          <w:rFonts w:eastAsia="Calibri" w:cs="Times New Roman"/>
          <w:sz w:val="24"/>
          <w:szCs w:val="28"/>
        </w:rPr>
        <w:t>cess points for LFP.</w:t>
      </w:r>
    </w:p>
    <w:p w14:paraId="78EBB293"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To assess the effectiveness of the pro</w:t>
      </w:r>
      <w:r>
        <w:rPr>
          <w:rFonts w:eastAsia="Calibri" w:cs="Times New Roman"/>
          <w:sz w:val="24"/>
          <w:szCs w:val="28"/>
        </w:rPr>
        <w:softHyphen/>
      </w:r>
      <w:r w:rsidRPr="00A35AD6">
        <w:rPr>
          <w:rFonts w:eastAsia="Calibri" w:cs="Times New Roman"/>
          <w:sz w:val="24"/>
          <w:szCs w:val="28"/>
        </w:rPr>
        <w:t>gram for determining laparoscopic accesses, studies were conducted on the selection of op</w:t>
      </w:r>
      <w:r>
        <w:rPr>
          <w:rFonts w:eastAsia="Calibri" w:cs="Times New Roman"/>
          <w:sz w:val="24"/>
          <w:szCs w:val="28"/>
        </w:rPr>
        <w:softHyphen/>
      </w:r>
      <w:r w:rsidRPr="00A35AD6">
        <w:rPr>
          <w:rFonts w:eastAsia="Calibri" w:cs="Times New Roman"/>
          <w:sz w:val="24"/>
          <w:szCs w:val="28"/>
        </w:rPr>
        <w:t>timal laparoscopic approaches for hiatal her</w:t>
      </w:r>
      <w:r>
        <w:rPr>
          <w:rFonts w:eastAsia="Calibri" w:cs="Times New Roman"/>
          <w:sz w:val="24"/>
          <w:szCs w:val="28"/>
        </w:rPr>
        <w:softHyphen/>
      </w:r>
      <w:r w:rsidRPr="00A35AD6">
        <w:rPr>
          <w:rFonts w:eastAsia="Calibri" w:cs="Times New Roman"/>
          <w:sz w:val="24"/>
          <w:szCs w:val="28"/>
        </w:rPr>
        <w:t>nia.</w:t>
      </w:r>
    </w:p>
    <w:p w14:paraId="052EB162"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According to the results, the distance of the working tools was from 5 to 10 cm, the depth of insertion of the tool was from 17-33 cm, and the angle of introduction of tools was from 38 ° to 65 ° (Fig. 1.).</w:t>
      </w:r>
    </w:p>
    <w:p w14:paraId="6B57B95E" w14:textId="77777777" w:rsidR="00AA571D"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So, in the first position, the triangular shapes of the geometric image in the ABC po</w:t>
      </w:r>
      <w:r>
        <w:rPr>
          <w:rFonts w:eastAsia="Calibri" w:cs="Times New Roman"/>
          <w:sz w:val="24"/>
          <w:szCs w:val="28"/>
        </w:rPr>
        <w:softHyphen/>
      </w:r>
      <w:r w:rsidRPr="00A35AD6">
        <w:rPr>
          <w:rFonts w:eastAsia="Calibri" w:cs="Times New Roman"/>
          <w:sz w:val="24"/>
          <w:szCs w:val="28"/>
        </w:rPr>
        <w:t>sition, with attitude to A, are located above the umbilical region at an angle of 45°, and in the ABD position at an angle of 60°.</w:t>
      </w:r>
    </w:p>
    <w:p w14:paraId="1F6F30E7" w14:textId="77777777" w:rsidR="00AA571D" w:rsidRDefault="00AA571D" w:rsidP="0068419D">
      <w:pPr>
        <w:spacing w:line="276" w:lineRule="auto"/>
        <w:ind w:firstLine="567"/>
        <w:jc w:val="both"/>
        <w:rPr>
          <w:rFonts w:eastAsia="Calibri" w:cs="Times New Roman"/>
          <w:sz w:val="24"/>
          <w:szCs w:val="28"/>
        </w:rPr>
        <w:sectPr w:rsidR="00AA571D" w:rsidSect="00AA5A37">
          <w:type w:val="continuous"/>
          <w:pgSz w:w="11907" w:h="16840" w:code="9"/>
          <w:pgMar w:top="1418" w:right="1134" w:bottom="1134" w:left="1134" w:header="907" w:footer="794" w:gutter="0"/>
          <w:cols w:num="2" w:space="708"/>
          <w:docGrid w:linePitch="381"/>
        </w:sectPr>
      </w:pPr>
    </w:p>
    <w:p w14:paraId="07B3DB2C" w14:textId="77777777" w:rsidR="00AA571D" w:rsidRPr="00A35AD6" w:rsidRDefault="00AA571D" w:rsidP="0068419D">
      <w:pPr>
        <w:spacing w:line="276" w:lineRule="auto"/>
        <w:ind w:firstLine="567"/>
        <w:jc w:val="both"/>
        <w:rPr>
          <w:rFonts w:eastAsia="Calibri" w:cs="Times New Roman"/>
          <w:sz w:val="24"/>
          <w:szCs w:val="28"/>
        </w:rPr>
      </w:pPr>
    </w:p>
    <w:p w14:paraId="19EBE4E1" w14:textId="77777777" w:rsidR="00AA571D" w:rsidRPr="00A35AD6" w:rsidRDefault="00AA571D" w:rsidP="0068419D">
      <w:pPr>
        <w:spacing w:line="276" w:lineRule="auto"/>
        <w:jc w:val="center"/>
        <w:rPr>
          <w:rFonts w:eastAsia="Calibri" w:cs="Times New Roman"/>
          <w:sz w:val="24"/>
          <w:szCs w:val="28"/>
        </w:rPr>
      </w:pPr>
      <w:r w:rsidRPr="00A35AD6">
        <w:rPr>
          <w:rFonts w:eastAsia="Calibri" w:cs="Times New Roman"/>
          <w:noProof/>
          <w:sz w:val="24"/>
          <w:szCs w:val="28"/>
          <w:lang w:val="ru-RU" w:eastAsia="ru-RU"/>
        </w:rPr>
        <w:lastRenderedPageBreak/>
        <w:drawing>
          <wp:inline distT="0" distB="0" distL="0" distR="0" wp14:anchorId="71E15751" wp14:editId="6CDFB543">
            <wp:extent cx="1592580" cy="1939290"/>
            <wp:effectExtent l="0" t="0" r="7620" b="3810"/>
            <wp:docPr id="389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Рисунок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2580" cy="1939290"/>
                    </a:xfrm>
                    <a:prstGeom prst="rect">
                      <a:avLst/>
                    </a:prstGeom>
                    <a:noFill/>
                    <a:ln>
                      <a:noFill/>
                    </a:ln>
                  </pic:spPr>
                </pic:pic>
              </a:graphicData>
            </a:graphic>
          </wp:inline>
        </w:drawing>
      </w:r>
      <w:r w:rsidRPr="00A35AD6">
        <w:rPr>
          <w:rFonts w:eastAsia="Calibri" w:cs="Times New Roman"/>
          <w:noProof/>
          <w:sz w:val="24"/>
          <w:szCs w:val="28"/>
          <w:lang w:val="ru-RU" w:eastAsia="ru-RU"/>
        </w:rPr>
        <w:drawing>
          <wp:inline distT="0" distB="0" distL="0" distR="0" wp14:anchorId="5D39B3DD" wp14:editId="09B60E1D">
            <wp:extent cx="1570355" cy="1994535"/>
            <wp:effectExtent l="0" t="0" r="0" b="5715"/>
            <wp:docPr id="389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Рисунок 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0355" cy="1994535"/>
                    </a:xfrm>
                    <a:prstGeom prst="rect">
                      <a:avLst/>
                    </a:prstGeom>
                    <a:noFill/>
                    <a:ln>
                      <a:noFill/>
                    </a:ln>
                  </pic:spPr>
                </pic:pic>
              </a:graphicData>
            </a:graphic>
          </wp:inline>
        </w:drawing>
      </w:r>
      <w:r w:rsidRPr="00A35AD6">
        <w:rPr>
          <w:rFonts w:eastAsia="Calibri" w:cs="Times New Roman"/>
          <w:noProof/>
          <w:sz w:val="24"/>
          <w:szCs w:val="28"/>
          <w:lang w:val="ru-RU" w:eastAsia="ru-RU"/>
        </w:rPr>
        <w:drawing>
          <wp:inline distT="0" distB="0" distL="0" distR="0" wp14:anchorId="2848266F" wp14:editId="72F73721">
            <wp:extent cx="1532518" cy="2022969"/>
            <wp:effectExtent l="0" t="0" r="0" b="0"/>
            <wp:docPr id="38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Рисунок 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2518" cy="2022969"/>
                    </a:xfrm>
                    <a:prstGeom prst="rect">
                      <a:avLst/>
                    </a:prstGeom>
                    <a:noFill/>
                    <a:ln>
                      <a:noFill/>
                    </a:ln>
                  </pic:spPr>
                </pic:pic>
              </a:graphicData>
            </a:graphic>
          </wp:inline>
        </w:drawing>
      </w:r>
    </w:p>
    <w:p w14:paraId="09B84091" w14:textId="77777777" w:rsidR="00AA571D" w:rsidRPr="00A35AD6" w:rsidRDefault="00AA571D" w:rsidP="0068419D">
      <w:pPr>
        <w:spacing w:line="276" w:lineRule="auto"/>
        <w:jc w:val="both"/>
        <w:rPr>
          <w:rFonts w:eastAsia="Calibri" w:cs="Times New Roman"/>
          <w:sz w:val="24"/>
          <w:szCs w:val="28"/>
        </w:rPr>
      </w:pPr>
      <w:r w:rsidRPr="00A35AD6">
        <w:rPr>
          <w:rFonts w:eastAsia="Calibri" w:cs="Times New Roman"/>
          <w:sz w:val="24"/>
          <w:szCs w:val="28"/>
        </w:rPr>
        <w:tab/>
      </w:r>
      <w:r w:rsidRPr="00485D3A">
        <w:rPr>
          <w:rFonts w:eastAsia="Calibri" w:cs="Times New Roman"/>
          <w:sz w:val="24"/>
          <w:szCs w:val="28"/>
        </w:rPr>
        <w:t xml:space="preserve">                        </w:t>
      </w:r>
      <w:r>
        <w:rPr>
          <w:rFonts w:eastAsia="Calibri" w:cs="Times New Roman"/>
          <w:sz w:val="24"/>
          <w:szCs w:val="28"/>
        </w:rPr>
        <w:t xml:space="preserve"> </w:t>
      </w:r>
      <w:r w:rsidRPr="00A35AD6">
        <w:rPr>
          <w:rFonts w:eastAsia="Calibri" w:cs="Times New Roman"/>
          <w:sz w:val="24"/>
          <w:szCs w:val="28"/>
        </w:rPr>
        <w:t>I</w:t>
      </w:r>
      <w:r w:rsidRPr="00A35AD6">
        <w:rPr>
          <w:rFonts w:eastAsia="Calibri" w:cs="Times New Roman"/>
          <w:sz w:val="24"/>
          <w:szCs w:val="28"/>
        </w:rPr>
        <w:tab/>
      </w:r>
      <w:r w:rsidRPr="00A35AD6">
        <w:rPr>
          <w:rFonts w:eastAsia="Calibri" w:cs="Times New Roman"/>
          <w:sz w:val="24"/>
          <w:szCs w:val="28"/>
        </w:rPr>
        <w:tab/>
      </w:r>
      <w:r w:rsidRPr="00A35AD6">
        <w:rPr>
          <w:rFonts w:eastAsia="Calibri" w:cs="Times New Roman"/>
          <w:sz w:val="24"/>
          <w:szCs w:val="28"/>
        </w:rPr>
        <w:tab/>
      </w:r>
      <w:r w:rsidRPr="00485D3A">
        <w:rPr>
          <w:rFonts w:eastAsia="Calibri" w:cs="Times New Roman"/>
          <w:sz w:val="24"/>
          <w:szCs w:val="28"/>
        </w:rPr>
        <w:t xml:space="preserve">      </w:t>
      </w:r>
      <w:r w:rsidRPr="00A35AD6">
        <w:rPr>
          <w:rFonts w:eastAsia="Calibri" w:cs="Times New Roman"/>
          <w:sz w:val="24"/>
          <w:szCs w:val="28"/>
        </w:rPr>
        <w:t>II</w:t>
      </w:r>
      <w:r w:rsidRPr="00A35AD6">
        <w:rPr>
          <w:rFonts w:eastAsia="Calibri" w:cs="Times New Roman"/>
          <w:sz w:val="24"/>
          <w:szCs w:val="28"/>
        </w:rPr>
        <w:tab/>
      </w:r>
      <w:r w:rsidRPr="00A35AD6">
        <w:rPr>
          <w:rFonts w:eastAsia="Calibri" w:cs="Times New Roman"/>
          <w:sz w:val="24"/>
          <w:szCs w:val="28"/>
        </w:rPr>
        <w:tab/>
      </w:r>
      <w:r w:rsidRPr="00A35AD6">
        <w:rPr>
          <w:rFonts w:eastAsia="Calibri" w:cs="Times New Roman"/>
          <w:sz w:val="24"/>
          <w:szCs w:val="28"/>
        </w:rPr>
        <w:tab/>
      </w:r>
      <w:r w:rsidRPr="00A35AD6">
        <w:rPr>
          <w:rFonts w:eastAsia="Calibri" w:cs="Times New Roman"/>
          <w:sz w:val="24"/>
          <w:szCs w:val="28"/>
        </w:rPr>
        <w:tab/>
        <w:t>III</w:t>
      </w:r>
    </w:p>
    <w:p w14:paraId="7C91B052" w14:textId="77777777" w:rsidR="00AA571D" w:rsidRDefault="00AA571D" w:rsidP="0068419D">
      <w:pPr>
        <w:spacing w:line="276" w:lineRule="auto"/>
        <w:jc w:val="both"/>
        <w:rPr>
          <w:rFonts w:eastAsia="Calibri" w:cs="Times New Roman"/>
          <w:sz w:val="24"/>
          <w:szCs w:val="28"/>
        </w:rPr>
      </w:pPr>
    </w:p>
    <w:p w14:paraId="7C263C16" w14:textId="77777777" w:rsidR="00AA571D" w:rsidRPr="003B0CA5" w:rsidRDefault="00AA571D" w:rsidP="0068419D">
      <w:pPr>
        <w:spacing w:line="276" w:lineRule="auto"/>
        <w:jc w:val="center"/>
        <w:rPr>
          <w:rFonts w:eastAsia="Calibri" w:cs="Times New Roman"/>
          <w:sz w:val="24"/>
          <w:szCs w:val="28"/>
        </w:rPr>
      </w:pPr>
      <w:r w:rsidRPr="003B0CA5">
        <w:rPr>
          <w:rFonts w:eastAsia="Calibri" w:cs="Times New Roman"/>
          <w:b/>
          <w:bCs/>
          <w:sz w:val="24"/>
          <w:szCs w:val="28"/>
        </w:rPr>
        <w:t>Fig. 1. Placement laparoscopic instruments by position</w:t>
      </w:r>
    </w:p>
    <w:p w14:paraId="52CFC2C0" w14:textId="77777777" w:rsidR="00AA571D" w:rsidRDefault="00AA571D" w:rsidP="0068419D">
      <w:pPr>
        <w:spacing w:line="276" w:lineRule="auto"/>
        <w:ind w:firstLine="567"/>
        <w:jc w:val="both"/>
        <w:rPr>
          <w:rFonts w:eastAsia="Calibri" w:cs="Times New Roman"/>
          <w:i/>
          <w:sz w:val="24"/>
          <w:szCs w:val="28"/>
        </w:rPr>
      </w:pPr>
    </w:p>
    <w:p w14:paraId="61DC1366" w14:textId="5A82464C" w:rsidR="003B0CA5" w:rsidRDefault="003B0CA5" w:rsidP="0068419D">
      <w:pPr>
        <w:spacing w:line="276" w:lineRule="auto"/>
        <w:ind w:firstLine="567"/>
        <w:jc w:val="both"/>
        <w:rPr>
          <w:rFonts w:eastAsia="Calibri" w:cs="Times New Roman"/>
          <w:i/>
          <w:sz w:val="24"/>
          <w:szCs w:val="28"/>
        </w:rPr>
        <w:sectPr w:rsidR="003B0CA5" w:rsidSect="001B41EC">
          <w:type w:val="continuous"/>
          <w:pgSz w:w="11907" w:h="16840" w:code="9"/>
          <w:pgMar w:top="1418" w:right="1134" w:bottom="1134" w:left="1134" w:header="907" w:footer="794" w:gutter="0"/>
          <w:cols w:space="708"/>
          <w:docGrid w:linePitch="381"/>
        </w:sectPr>
      </w:pPr>
    </w:p>
    <w:p w14:paraId="52E11030" w14:textId="77777777" w:rsidR="00AA571D" w:rsidRPr="00A35AD6" w:rsidRDefault="00AA571D" w:rsidP="0068419D">
      <w:pPr>
        <w:spacing w:line="276" w:lineRule="auto"/>
        <w:ind w:firstLine="567"/>
        <w:jc w:val="both"/>
        <w:rPr>
          <w:rFonts w:eastAsia="Calibri" w:cs="Times New Roman"/>
          <w:i/>
          <w:sz w:val="24"/>
          <w:szCs w:val="28"/>
        </w:rPr>
      </w:pPr>
      <w:r w:rsidRPr="00A35AD6">
        <w:rPr>
          <w:rFonts w:eastAsia="Calibri" w:cs="Times New Roman"/>
          <w:i/>
          <w:sz w:val="24"/>
          <w:szCs w:val="28"/>
        </w:rPr>
        <w:t>In this case, E is 2 cm lower along the drawn line from A to D points and with attitude to it they are at an angle of 120°. According to this type, LFP surgery was performed in 9 (37.5%) patients.</w:t>
      </w:r>
    </w:p>
    <w:p w14:paraId="1F36DD01" w14:textId="77777777" w:rsidR="00AA571D" w:rsidRPr="00A35AD6" w:rsidRDefault="00AA571D" w:rsidP="0068419D">
      <w:pPr>
        <w:spacing w:line="276" w:lineRule="auto"/>
        <w:ind w:firstLine="567"/>
        <w:jc w:val="both"/>
        <w:rPr>
          <w:rFonts w:eastAsia="Calibri" w:cs="Times New Roman"/>
          <w:i/>
          <w:sz w:val="24"/>
          <w:szCs w:val="28"/>
        </w:rPr>
      </w:pPr>
      <w:r w:rsidRPr="00A35AD6">
        <w:rPr>
          <w:rFonts w:eastAsia="Calibri" w:cs="Times New Roman"/>
          <w:i/>
          <w:sz w:val="24"/>
          <w:szCs w:val="28"/>
        </w:rPr>
        <w:t>In the second position, the triangular shapes of the geometric image in the positions of ABC and ABD with attitude to A are located at an angle of 60°, i.e. in the form of two equiv</w:t>
      </w:r>
      <w:r>
        <w:rPr>
          <w:rFonts w:eastAsia="Calibri" w:cs="Times New Roman"/>
          <w:i/>
          <w:sz w:val="24"/>
          <w:szCs w:val="28"/>
        </w:rPr>
        <w:softHyphen/>
      </w:r>
      <w:r w:rsidRPr="00A35AD6">
        <w:rPr>
          <w:rFonts w:eastAsia="Calibri" w:cs="Times New Roman"/>
          <w:i/>
          <w:sz w:val="24"/>
          <w:szCs w:val="28"/>
        </w:rPr>
        <w:t>alent triangles. At the same time, E is at a cen</w:t>
      </w:r>
      <w:r>
        <w:rPr>
          <w:rFonts w:eastAsia="Calibri" w:cs="Times New Roman"/>
          <w:i/>
          <w:sz w:val="24"/>
          <w:szCs w:val="28"/>
        </w:rPr>
        <w:softHyphen/>
      </w:r>
      <w:r w:rsidRPr="00A35AD6">
        <w:rPr>
          <w:rFonts w:eastAsia="Calibri" w:cs="Times New Roman"/>
          <w:i/>
          <w:sz w:val="24"/>
          <w:szCs w:val="28"/>
        </w:rPr>
        <w:t>tral point along the line from A to D. For this type, LFP surgery was performed in 7 (30.2%) patients.</w:t>
      </w:r>
    </w:p>
    <w:p w14:paraId="16C9217E" w14:textId="77777777" w:rsidR="00AA571D" w:rsidRPr="00A35AD6" w:rsidRDefault="00AA571D" w:rsidP="0068419D">
      <w:pPr>
        <w:spacing w:line="276" w:lineRule="auto"/>
        <w:ind w:firstLine="567"/>
        <w:jc w:val="both"/>
        <w:rPr>
          <w:rFonts w:eastAsia="Calibri" w:cs="Times New Roman"/>
          <w:i/>
          <w:sz w:val="24"/>
          <w:szCs w:val="28"/>
        </w:rPr>
      </w:pPr>
      <w:r w:rsidRPr="00A35AD6">
        <w:rPr>
          <w:rFonts w:eastAsia="Calibri" w:cs="Times New Roman"/>
          <w:i/>
          <w:sz w:val="24"/>
          <w:szCs w:val="28"/>
        </w:rPr>
        <w:t>In the third position, the triangular shapes of the geometric image in the ABC po</w:t>
      </w:r>
      <w:r>
        <w:rPr>
          <w:rFonts w:eastAsia="Calibri" w:cs="Times New Roman"/>
          <w:i/>
          <w:sz w:val="24"/>
          <w:szCs w:val="28"/>
        </w:rPr>
        <w:softHyphen/>
      </w:r>
      <w:r w:rsidRPr="00A35AD6">
        <w:rPr>
          <w:rFonts w:eastAsia="Calibri" w:cs="Times New Roman"/>
          <w:i/>
          <w:sz w:val="24"/>
          <w:szCs w:val="28"/>
        </w:rPr>
        <w:t>sition, with attitude to A, are located at an an</w:t>
      </w:r>
      <w:r>
        <w:rPr>
          <w:rFonts w:eastAsia="Calibri" w:cs="Times New Roman"/>
          <w:i/>
          <w:sz w:val="24"/>
          <w:szCs w:val="28"/>
        </w:rPr>
        <w:softHyphen/>
      </w:r>
      <w:r w:rsidRPr="00A35AD6">
        <w:rPr>
          <w:rFonts w:eastAsia="Calibri" w:cs="Times New Roman"/>
          <w:i/>
          <w:sz w:val="24"/>
          <w:szCs w:val="28"/>
        </w:rPr>
        <w:t>gle of 110°, and in the ABD position at an an</w:t>
      </w:r>
      <w:r>
        <w:rPr>
          <w:rFonts w:eastAsia="Calibri" w:cs="Times New Roman"/>
          <w:i/>
          <w:sz w:val="24"/>
          <w:szCs w:val="28"/>
        </w:rPr>
        <w:softHyphen/>
      </w:r>
      <w:r w:rsidRPr="00A35AD6">
        <w:rPr>
          <w:rFonts w:eastAsia="Calibri" w:cs="Times New Roman"/>
          <w:i/>
          <w:sz w:val="24"/>
          <w:szCs w:val="28"/>
        </w:rPr>
        <w:t>gle of 70°.</w:t>
      </w:r>
    </w:p>
    <w:p w14:paraId="3D16A61B"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In this case, E is 2 cm higher along the drawn line from the A to D points and with at</w:t>
      </w:r>
      <w:r>
        <w:rPr>
          <w:rFonts w:eastAsia="Calibri" w:cs="Times New Roman"/>
          <w:sz w:val="24"/>
          <w:szCs w:val="28"/>
        </w:rPr>
        <w:softHyphen/>
      </w:r>
      <w:r w:rsidRPr="00A35AD6">
        <w:rPr>
          <w:rFonts w:eastAsia="Calibri" w:cs="Times New Roman"/>
          <w:sz w:val="24"/>
          <w:szCs w:val="28"/>
        </w:rPr>
        <w:t>titude to it they are at the angle of 120°. For this type, LFP surgery was performed in 8 (33.3%) patients.</w:t>
      </w:r>
    </w:p>
    <w:p w14:paraId="28EF30A7"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b/>
          <w:sz w:val="24"/>
          <w:szCs w:val="28"/>
        </w:rPr>
        <w:t xml:space="preserve">Results and discussions. </w:t>
      </w:r>
      <w:r w:rsidRPr="00A35AD6">
        <w:rPr>
          <w:rFonts w:eastAsia="Calibri" w:cs="Times New Roman"/>
          <w:sz w:val="24"/>
          <w:szCs w:val="28"/>
        </w:rPr>
        <w:t>In the control group, the duration of LFP surgery in patients with a body mass index (BMI) below 30 kg / cm</w:t>
      </w:r>
      <w:r w:rsidRPr="00A35AD6">
        <w:rPr>
          <w:rFonts w:eastAsia="Calibri" w:cs="Times New Roman"/>
          <w:sz w:val="24"/>
          <w:szCs w:val="28"/>
          <w:vertAlign w:val="superscript"/>
        </w:rPr>
        <w:t>2</w:t>
      </w:r>
      <w:r w:rsidRPr="00A35AD6">
        <w:rPr>
          <w:rFonts w:eastAsia="Calibri" w:cs="Times New Roman"/>
          <w:sz w:val="24"/>
          <w:szCs w:val="28"/>
        </w:rPr>
        <w:t xml:space="preserve"> was on average 132.2 ± 2.1 minutes, in pa</w:t>
      </w:r>
      <w:r>
        <w:rPr>
          <w:rFonts w:eastAsia="Calibri" w:cs="Times New Roman"/>
          <w:sz w:val="24"/>
          <w:szCs w:val="28"/>
        </w:rPr>
        <w:softHyphen/>
      </w:r>
      <w:r w:rsidRPr="00A35AD6">
        <w:rPr>
          <w:rFonts w:eastAsia="Calibri" w:cs="Times New Roman"/>
          <w:sz w:val="24"/>
          <w:szCs w:val="28"/>
        </w:rPr>
        <w:t>tients with a BMI more than 30 kg / cm</w:t>
      </w:r>
      <w:r w:rsidRPr="00A35AD6">
        <w:rPr>
          <w:rFonts w:eastAsia="Calibri" w:cs="Times New Roman"/>
          <w:sz w:val="24"/>
          <w:szCs w:val="28"/>
          <w:vertAlign w:val="superscript"/>
        </w:rPr>
        <w:t>2</w:t>
      </w:r>
      <w:r w:rsidRPr="00A35AD6">
        <w:rPr>
          <w:rFonts w:eastAsia="Calibri" w:cs="Times New Roman"/>
          <w:sz w:val="24"/>
          <w:szCs w:val="28"/>
        </w:rPr>
        <w:t xml:space="preserve"> lasted for 152.2 ± 3.2 minutes. Due to the inconven</w:t>
      </w:r>
      <w:r>
        <w:rPr>
          <w:rFonts w:eastAsia="Calibri" w:cs="Times New Roman"/>
          <w:sz w:val="24"/>
          <w:szCs w:val="28"/>
        </w:rPr>
        <w:softHyphen/>
      </w:r>
      <w:r w:rsidRPr="00A35AD6">
        <w:rPr>
          <w:rFonts w:eastAsia="Calibri" w:cs="Times New Roman"/>
          <w:sz w:val="24"/>
          <w:szCs w:val="28"/>
        </w:rPr>
        <w:t xml:space="preserve">ience of performing the manipulation and poor </w:t>
      </w:r>
      <w:r w:rsidRPr="00A35AD6">
        <w:rPr>
          <w:rFonts w:eastAsia="Calibri" w:cs="Times New Roman"/>
          <w:sz w:val="24"/>
          <w:szCs w:val="28"/>
        </w:rPr>
        <w:t>visualization of the fundus of the stomach, the trocars, standard points and angle degrees in 11 (47.8%) cases in patients with a BMI of more than 30 kg / cm</w:t>
      </w:r>
      <w:r w:rsidRPr="00A35AD6">
        <w:rPr>
          <w:rFonts w:eastAsia="Calibri" w:cs="Times New Roman"/>
          <w:sz w:val="24"/>
          <w:szCs w:val="28"/>
          <w:vertAlign w:val="superscript"/>
        </w:rPr>
        <w:t>2</w:t>
      </w:r>
      <w:r w:rsidRPr="00A35AD6">
        <w:rPr>
          <w:rFonts w:eastAsia="Calibri" w:cs="Times New Roman"/>
          <w:sz w:val="24"/>
          <w:szCs w:val="28"/>
        </w:rPr>
        <w:t xml:space="preserve"> had to be intraoperatively re</w:t>
      </w:r>
      <w:r>
        <w:rPr>
          <w:rFonts w:eastAsia="Calibri" w:cs="Times New Roman"/>
          <w:sz w:val="24"/>
          <w:szCs w:val="28"/>
        </w:rPr>
        <w:softHyphen/>
      </w:r>
      <w:r w:rsidRPr="00A35AD6">
        <w:rPr>
          <w:rFonts w:eastAsia="Calibri" w:cs="Times New Roman"/>
          <w:sz w:val="24"/>
          <w:szCs w:val="28"/>
        </w:rPr>
        <w:t>installed. So, in three cases, the working parts of the tools did not correspond to their jobs in relation to each other, where the surgery was technically difficult and therefore the duration of the operation increased. In two cases, with the separation of the gastro-diaphragmatic and gastro-hepatic connections, damage to the dia</w:t>
      </w:r>
      <w:r>
        <w:rPr>
          <w:rFonts w:eastAsia="Calibri" w:cs="Times New Roman"/>
          <w:sz w:val="24"/>
          <w:szCs w:val="28"/>
        </w:rPr>
        <w:softHyphen/>
      </w:r>
      <w:r w:rsidRPr="00A35AD6">
        <w:rPr>
          <w:rFonts w:eastAsia="Calibri" w:cs="Times New Roman"/>
          <w:sz w:val="24"/>
          <w:szCs w:val="28"/>
        </w:rPr>
        <w:t>phragm and the left lobe of the liver was noted. In the postoperative period, one of these pa</w:t>
      </w:r>
      <w:r>
        <w:rPr>
          <w:rFonts w:eastAsia="Calibri" w:cs="Times New Roman"/>
          <w:sz w:val="24"/>
          <w:szCs w:val="28"/>
        </w:rPr>
        <w:softHyphen/>
      </w:r>
      <w:r w:rsidRPr="00A35AD6">
        <w:rPr>
          <w:rFonts w:eastAsia="Calibri" w:cs="Times New Roman"/>
          <w:sz w:val="24"/>
          <w:szCs w:val="28"/>
        </w:rPr>
        <w:t>tients showed pneumothorax on the left side, which resolved after thoracocentesis. In one (4%) case, during preparation of the gastric lig</w:t>
      </w:r>
      <w:r>
        <w:rPr>
          <w:rFonts w:eastAsia="Calibri" w:cs="Times New Roman"/>
          <w:sz w:val="24"/>
          <w:szCs w:val="28"/>
        </w:rPr>
        <w:softHyphen/>
      </w:r>
      <w:r w:rsidRPr="00A35AD6">
        <w:rPr>
          <w:rFonts w:eastAsia="Calibri" w:cs="Times New Roman"/>
          <w:sz w:val="24"/>
          <w:szCs w:val="28"/>
        </w:rPr>
        <w:t>ament, damage was noted to the branch of the left gastric artery where a hematoma was formed. In the postoperative period, the fol</w:t>
      </w:r>
      <w:r>
        <w:rPr>
          <w:rFonts w:eastAsia="Calibri" w:cs="Times New Roman"/>
          <w:sz w:val="24"/>
          <w:szCs w:val="28"/>
        </w:rPr>
        <w:softHyphen/>
      </w:r>
      <w:r w:rsidRPr="00A35AD6">
        <w:rPr>
          <w:rFonts w:eastAsia="Calibri" w:cs="Times New Roman"/>
          <w:sz w:val="24"/>
          <w:szCs w:val="28"/>
        </w:rPr>
        <w:t>lowing complications were observed: seroma of wounds in the navel area in 3 (13%) patients, pain in the epigastric area in 3 (13%) patients, dysphagia in 1 (4%) patient who completely cured after conservative therapy.</w:t>
      </w:r>
    </w:p>
    <w:p w14:paraId="7B2A3E25"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Thus, due to the impossibility of the ex</w:t>
      </w:r>
      <w:r>
        <w:rPr>
          <w:rFonts w:eastAsia="Calibri" w:cs="Times New Roman"/>
          <w:sz w:val="24"/>
          <w:szCs w:val="28"/>
        </w:rPr>
        <w:softHyphen/>
      </w:r>
      <w:r w:rsidRPr="00A35AD6">
        <w:rPr>
          <w:rFonts w:eastAsia="Calibri" w:cs="Times New Roman"/>
          <w:sz w:val="24"/>
          <w:szCs w:val="28"/>
        </w:rPr>
        <w:t>act orientation of the working laparoscopic in</w:t>
      </w:r>
      <w:r>
        <w:rPr>
          <w:rFonts w:eastAsia="Calibri" w:cs="Times New Roman"/>
          <w:sz w:val="24"/>
          <w:szCs w:val="28"/>
        </w:rPr>
        <w:softHyphen/>
      </w:r>
      <w:r w:rsidRPr="00A35AD6">
        <w:rPr>
          <w:rFonts w:eastAsia="Calibri" w:cs="Times New Roman"/>
          <w:sz w:val="24"/>
          <w:szCs w:val="28"/>
        </w:rPr>
        <w:t>struments in abdominal cavity and, without measuring the thickness of the soft tissue lay</w:t>
      </w:r>
      <w:r>
        <w:rPr>
          <w:rFonts w:eastAsia="Calibri" w:cs="Times New Roman"/>
          <w:sz w:val="24"/>
          <w:szCs w:val="28"/>
        </w:rPr>
        <w:softHyphen/>
      </w:r>
      <w:r w:rsidRPr="00A35AD6">
        <w:rPr>
          <w:rFonts w:eastAsia="Calibri" w:cs="Times New Roman"/>
          <w:sz w:val="24"/>
          <w:szCs w:val="28"/>
        </w:rPr>
        <w:t xml:space="preserve">ers of the anterior abdominal wall, technical difficulties arise in the operation and thereby </w:t>
      </w:r>
      <w:r w:rsidRPr="00A35AD6">
        <w:rPr>
          <w:rFonts w:eastAsia="Calibri" w:cs="Times New Roman"/>
          <w:sz w:val="24"/>
          <w:szCs w:val="28"/>
        </w:rPr>
        <w:lastRenderedPageBreak/>
        <w:t>increase the number and frequency of compli</w:t>
      </w:r>
      <w:r>
        <w:rPr>
          <w:rFonts w:eastAsia="Calibri" w:cs="Times New Roman"/>
          <w:sz w:val="24"/>
          <w:szCs w:val="28"/>
        </w:rPr>
        <w:softHyphen/>
      </w:r>
      <w:r w:rsidRPr="00A35AD6">
        <w:rPr>
          <w:rFonts w:eastAsia="Calibri" w:cs="Times New Roman"/>
          <w:sz w:val="24"/>
          <w:szCs w:val="28"/>
        </w:rPr>
        <w:t>cations in the early and late postoperative peri</w:t>
      </w:r>
      <w:r>
        <w:rPr>
          <w:rFonts w:eastAsia="Calibri" w:cs="Times New Roman"/>
          <w:sz w:val="24"/>
          <w:szCs w:val="28"/>
        </w:rPr>
        <w:softHyphen/>
      </w:r>
      <w:r w:rsidRPr="00A35AD6">
        <w:rPr>
          <w:rFonts w:eastAsia="Calibri" w:cs="Times New Roman"/>
          <w:sz w:val="24"/>
          <w:szCs w:val="28"/>
        </w:rPr>
        <w:t>ods.</w:t>
      </w:r>
    </w:p>
    <w:p w14:paraId="1E9F1C96"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In order to improve the technical aspects of performing laparoscopic hernia repair and reduce intra- and postoperative complications, we developed a computer software, what al</w:t>
      </w:r>
      <w:r>
        <w:rPr>
          <w:rFonts w:eastAsia="Calibri" w:cs="Times New Roman"/>
          <w:sz w:val="24"/>
          <w:szCs w:val="28"/>
        </w:rPr>
        <w:softHyphen/>
      </w:r>
      <w:r w:rsidRPr="00A35AD6">
        <w:rPr>
          <w:rFonts w:eastAsia="Calibri" w:cs="Times New Roman"/>
          <w:sz w:val="24"/>
          <w:szCs w:val="28"/>
        </w:rPr>
        <w:t>lows us to determine the optimal combination of the introduction of trocars and working tools.</w:t>
      </w:r>
    </w:p>
    <w:p w14:paraId="591865C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In the main group, for all patients prior to LFP were determined the parameters of the introduction of trocars and working tools ac</w:t>
      </w:r>
      <w:r>
        <w:rPr>
          <w:rFonts w:eastAsia="Calibri" w:cs="Times New Roman"/>
          <w:sz w:val="24"/>
          <w:szCs w:val="28"/>
        </w:rPr>
        <w:softHyphen/>
      </w:r>
      <w:r w:rsidRPr="00A35AD6">
        <w:rPr>
          <w:rFonts w:eastAsia="Calibri" w:cs="Times New Roman"/>
          <w:sz w:val="24"/>
          <w:szCs w:val="28"/>
        </w:rPr>
        <w:t>cording to our software.</w:t>
      </w:r>
    </w:p>
    <w:p w14:paraId="18067C56"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In the main group, the duration of sur</w:t>
      </w:r>
      <w:r>
        <w:rPr>
          <w:rFonts w:eastAsia="Calibri" w:cs="Times New Roman"/>
          <w:sz w:val="24"/>
          <w:szCs w:val="28"/>
        </w:rPr>
        <w:softHyphen/>
      </w:r>
      <w:r w:rsidRPr="00A35AD6">
        <w:rPr>
          <w:rFonts w:eastAsia="Calibri" w:cs="Times New Roman"/>
          <w:sz w:val="24"/>
          <w:szCs w:val="28"/>
        </w:rPr>
        <w:t>gery in patients with a body mass index (BMI) below 30 kg / cm</w:t>
      </w:r>
      <w:r w:rsidRPr="00A35AD6">
        <w:rPr>
          <w:rFonts w:eastAsia="Calibri" w:cs="Times New Roman"/>
          <w:sz w:val="24"/>
          <w:szCs w:val="28"/>
          <w:vertAlign w:val="superscript"/>
        </w:rPr>
        <w:t>2</w:t>
      </w:r>
      <w:r w:rsidRPr="00A35AD6">
        <w:rPr>
          <w:rFonts w:eastAsia="Calibri" w:cs="Times New Roman"/>
          <w:sz w:val="24"/>
          <w:szCs w:val="28"/>
        </w:rPr>
        <w:t xml:space="preserve"> was on average 110.3 ± 1.8 minutes, in patients with a BMI more than 30 kg / cm</w:t>
      </w:r>
      <w:r w:rsidRPr="00A35AD6">
        <w:rPr>
          <w:rFonts w:eastAsia="Calibri" w:cs="Times New Roman"/>
          <w:sz w:val="24"/>
          <w:szCs w:val="28"/>
          <w:vertAlign w:val="superscript"/>
        </w:rPr>
        <w:t>2</w:t>
      </w:r>
      <w:r w:rsidRPr="00A35AD6">
        <w:rPr>
          <w:rFonts w:eastAsia="Calibri" w:cs="Times New Roman"/>
          <w:sz w:val="24"/>
          <w:szCs w:val="28"/>
        </w:rPr>
        <w:t xml:space="preserve"> that pattern made up 115.1 ± 2.4 minutes. Moreover, in patients with a BMI of more than 30 kg / cm</w:t>
      </w:r>
      <w:r w:rsidRPr="00A35AD6">
        <w:rPr>
          <w:rFonts w:eastAsia="Calibri" w:cs="Times New Roman"/>
          <w:sz w:val="24"/>
          <w:szCs w:val="28"/>
          <w:vertAlign w:val="superscript"/>
        </w:rPr>
        <w:t>2</w:t>
      </w:r>
      <w:r w:rsidRPr="00A35AD6">
        <w:rPr>
          <w:rFonts w:eastAsia="Calibri" w:cs="Times New Roman"/>
          <w:sz w:val="24"/>
          <w:szCs w:val="28"/>
        </w:rPr>
        <w:t>, the duration of the op</w:t>
      </w:r>
      <w:r>
        <w:rPr>
          <w:rFonts w:eastAsia="Calibri" w:cs="Times New Roman"/>
          <w:sz w:val="24"/>
          <w:szCs w:val="28"/>
        </w:rPr>
        <w:softHyphen/>
      </w:r>
      <w:r w:rsidRPr="00A35AD6">
        <w:rPr>
          <w:rFonts w:eastAsia="Calibri" w:cs="Times New Roman"/>
          <w:sz w:val="24"/>
          <w:szCs w:val="28"/>
        </w:rPr>
        <w:t>eration was shortened by 30-35 minutes than in the control group. There were not any in</w:t>
      </w:r>
      <w:r>
        <w:rPr>
          <w:rFonts w:eastAsia="Calibri" w:cs="Times New Roman"/>
          <w:sz w:val="24"/>
          <w:szCs w:val="28"/>
        </w:rPr>
        <w:softHyphen/>
      </w:r>
      <w:r w:rsidRPr="00A35AD6">
        <w:rPr>
          <w:rFonts w:eastAsia="Calibri" w:cs="Times New Roman"/>
          <w:sz w:val="24"/>
          <w:szCs w:val="28"/>
        </w:rPr>
        <w:t xml:space="preserve">traoperative complications. The surgeries were completed without technical difficulties under </w:t>
      </w:r>
      <w:r w:rsidRPr="00A35AD6">
        <w:rPr>
          <w:rFonts w:eastAsia="Calibri" w:cs="Times New Roman"/>
          <w:sz w:val="24"/>
          <w:szCs w:val="28"/>
        </w:rPr>
        <w:t>adequate access to organs and good visualiza</w:t>
      </w:r>
      <w:r>
        <w:rPr>
          <w:rFonts w:eastAsia="Calibri" w:cs="Times New Roman"/>
          <w:sz w:val="24"/>
          <w:szCs w:val="28"/>
        </w:rPr>
        <w:softHyphen/>
      </w:r>
      <w:r w:rsidRPr="00A35AD6">
        <w:rPr>
          <w:rFonts w:eastAsia="Calibri" w:cs="Times New Roman"/>
          <w:sz w:val="24"/>
          <w:szCs w:val="28"/>
        </w:rPr>
        <w:t>tion. In the postoperative period, in two pa</w:t>
      </w:r>
      <w:r>
        <w:rPr>
          <w:rFonts w:eastAsia="Calibri" w:cs="Times New Roman"/>
          <w:sz w:val="24"/>
          <w:szCs w:val="28"/>
        </w:rPr>
        <w:softHyphen/>
      </w:r>
      <w:r w:rsidRPr="00A35AD6">
        <w:rPr>
          <w:rFonts w:eastAsia="Calibri" w:cs="Times New Roman"/>
          <w:sz w:val="24"/>
          <w:szCs w:val="28"/>
        </w:rPr>
        <w:t>tients had pain in the epigastric region, which relieved the day after antispasmodic therapy. There were not any other complications.</w:t>
      </w:r>
    </w:p>
    <w:p w14:paraId="4BDCA35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reduction in the average time of the LFP completion is associated with the exact reference point of the operation area and the correct choice of the instrument insertion pa</w:t>
      </w:r>
      <w:r>
        <w:rPr>
          <w:rFonts w:eastAsia="Calibri" w:cs="Times New Roman"/>
          <w:sz w:val="24"/>
          <w:szCs w:val="28"/>
        </w:rPr>
        <w:softHyphen/>
      </w:r>
      <w:r w:rsidRPr="00A35AD6">
        <w:rPr>
          <w:rFonts w:eastAsia="Calibri" w:cs="Times New Roman"/>
          <w:sz w:val="24"/>
          <w:szCs w:val="28"/>
        </w:rPr>
        <w:t>rameters, the absence of the need to reinstall working trocars along the abdominal wall. Pa</w:t>
      </w:r>
      <w:r>
        <w:rPr>
          <w:rFonts w:eastAsia="Calibri" w:cs="Times New Roman"/>
          <w:sz w:val="24"/>
          <w:szCs w:val="28"/>
        </w:rPr>
        <w:softHyphen/>
      </w:r>
      <w:r w:rsidRPr="00A35AD6">
        <w:rPr>
          <w:rFonts w:eastAsia="Calibri" w:cs="Times New Roman"/>
          <w:sz w:val="24"/>
          <w:szCs w:val="28"/>
        </w:rPr>
        <w:t>tients after LFP were active as early as the next day after surgery.</w:t>
      </w:r>
    </w:p>
    <w:p w14:paraId="6A723D7B"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Clinical example: Patient Z.Kh. 58 years old, clinical record No. 1104, complained of pain and discomfort in the epigastrium and left chest, shortness of breath, palpitation after having food. In anamnesis: the above men</w:t>
      </w:r>
      <w:r>
        <w:rPr>
          <w:rFonts w:eastAsia="Calibri" w:cs="Times New Roman"/>
          <w:sz w:val="24"/>
          <w:szCs w:val="28"/>
        </w:rPr>
        <w:softHyphen/>
      </w:r>
      <w:r w:rsidRPr="00A35AD6">
        <w:rPr>
          <w:rFonts w:eastAsia="Calibri" w:cs="Times New Roman"/>
          <w:sz w:val="24"/>
          <w:szCs w:val="28"/>
        </w:rPr>
        <w:t>tioned signs over the past 5 years, associates with physical exertion. Anthropometric data of the patient: height 164 cm, weight 87 kg. BMI 34 kg / cm</w:t>
      </w:r>
      <w:r w:rsidRPr="00A35AD6">
        <w:rPr>
          <w:rFonts w:eastAsia="Calibri" w:cs="Times New Roman"/>
          <w:sz w:val="24"/>
          <w:szCs w:val="28"/>
          <w:vertAlign w:val="superscript"/>
        </w:rPr>
        <w:t>2</w:t>
      </w:r>
      <w:r w:rsidRPr="00A35AD6">
        <w:rPr>
          <w:rFonts w:eastAsia="Calibri" w:cs="Times New Roman"/>
          <w:sz w:val="24"/>
          <w:szCs w:val="28"/>
        </w:rPr>
        <w:t>.</w:t>
      </w:r>
    </w:p>
    <w:p w14:paraId="3BAD7678"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Diagnosis: Sliding esophageal hiatal her</w:t>
      </w:r>
      <w:r>
        <w:rPr>
          <w:rFonts w:eastAsia="Calibri" w:cs="Times New Roman"/>
          <w:sz w:val="24"/>
          <w:szCs w:val="28"/>
        </w:rPr>
        <w:softHyphen/>
      </w:r>
      <w:r w:rsidRPr="00A35AD6">
        <w:rPr>
          <w:rFonts w:eastAsia="Calibri" w:cs="Times New Roman"/>
          <w:sz w:val="24"/>
          <w:szCs w:val="28"/>
        </w:rPr>
        <w:t>nia of the diaphragm. Obesity 2</w:t>
      </w:r>
      <w:r w:rsidRPr="00A35AD6">
        <w:rPr>
          <w:rFonts w:eastAsia="Calibri" w:cs="Times New Roman"/>
          <w:sz w:val="24"/>
          <w:szCs w:val="28"/>
          <w:vertAlign w:val="superscript"/>
        </w:rPr>
        <w:t>nd</w:t>
      </w:r>
      <w:r w:rsidRPr="00A35AD6">
        <w:rPr>
          <w:rFonts w:eastAsia="Calibri" w:cs="Times New Roman"/>
          <w:sz w:val="24"/>
          <w:szCs w:val="28"/>
        </w:rPr>
        <w:t xml:space="preserve"> degree.</w:t>
      </w:r>
    </w:p>
    <w:p w14:paraId="08A6AAD2" w14:textId="77777777" w:rsidR="00AA571D" w:rsidRDefault="00AA571D" w:rsidP="0068419D">
      <w:pPr>
        <w:spacing w:line="276" w:lineRule="auto"/>
        <w:ind w:firstLine="567"/>
        <w:jc w:val="both"/>
        <w:rPr>
          <w:rFonts w:eastAsia="Calibri" w:cs="Times New Roman"/>
          <w:sz w:val="24"/>
          <w:szCs w:val="28"/>
        </w:rPr>
        <w:sectPr w:rsidR="00AA571D" w:rsidSect="00AA5A37">
          <w:type w:val="continuous"/>
          <w:pgSz w:w="11907" w:h="16840" w:code="9"/>
          <w:pgMar w:top="1418" w:right="1134" w:bottom="1134" w:left="1134" w:header="907" w:footer="794" w:gutter="0"/>
          <w:cols w:num="2" w:space="708"/>
          <w:docGrid w:linePitch="381"/>
        </w:sectPr>
      </w:pPr>
    </w:p>
    <w:p w14:paraId="7CF3E9DD"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Patient data on the surgery table at the re</w:t>
      </w:r>
      <w:r>
        <w:rPr>
          <w:rFonts w:eastAsia="Calibri" w:cs="Times New Roman"/>
          <w:sz w:val="24"/>
          <w:szCs w:val="28"/>
        </w:rPr>
        <w:softHyphen/>
      </w:r>
      <w:r w:rsidRPr="00A35AD6">
        <w:rPr>
          <w:rFonts w:eastAsia="Calibri" w:cs="Times New Roman"/>
          <w:sz w:val="24"/>
          <w:szCs w:val="28"/>
        </w:rPr>
        <w:t>quest of a computer program: patient data cor</w:t>
      </w:r>
      <w:r>
        <w:rPr>
          <w:rFonts w:eastAsia="Calibri" w:cs="Times New Roman"/>
          <w:sz w:val="24"/>
          <w:szCs w:val="28"/>
        </w:rPr>
        <w:softHyphen/>
      </w:r>
      <w:r w:rsidRPr="00A35AD6">
        <w:rPr>
          <w:rFonts w:eastAsia="Calibri" w:cs="Times New Roman"/>
          <w:sz w:val="24"/>
          <w:szCs w:val="28"/>
        </w:rPr>
        <w:t>responded to the third position in the geometric image of the instruments, and so, the distance from the table plane to the point of insertion of the instrument is 25 cm; the distance from the table plane to the area of ​​operation on the skin is 21 cm; fat fold thickness - 3 cm; muscle ap</w:t>
      </w:r>
      <w:r>
        <w:rPr>
          <w:rFonts w:eastAsia="Calibri" w:cs="Times New Roman"/>
          <w:sz w:val="24"/>
          <w:szCs w:val="28"/>
        </w:rPr>
        <w:softHyphen/>
      </w:r>
      <w:r w:rsidRPr="00A35AD6">
        <w:rPr>
          <w:rFonts w:eastAsia="Calibri" w:cs="Times New Roman"/>
          <w:sz w:val="24"/>
          <w:szCs w:val="28"/>
        </w:rPr>
        <w:t xml:space="preserve">oneurotic tissue thickness - 1.2 cm (according </w:t>
      </w:r>
      <w:r w:rsidRPr="00A35AD6">
        <w:rPr>
          <w:rFonts w:eastAsia="Calibri" w:cs="Times New Roman"/>
          <w:sz w:val="24"/>
          <w:szCs w:val="28"/>
        </w:rPr>
        <w:t>to ultrasound); the distance from the insertion point to the operation area along the table plane is 17 cm.</w:t>
      </w:r>
    </w:p>
    <w:p w14:paraId="345FD09A" w14:textId="77777777" w:rsidR="00AA571D" w:rsidRDefault="00AA571D" w:rsidP="0068419D">
      <w:pPr>
        <w:spacing w:line="276" w:lineRule="auto"/>
        <w:ind w:firstLine="567"/>
        <w:jc w:val="both"/>
        <w:rPr>
          <w:rFonts w:eastAsia="Calibri" w:cs="Times New Roman"/>
          <w:sz w:val="24"/>
          <w:szCs w:val="28"/>
        </w:rPr>
        <w:sectPr w:rsidR="00AA571D" w:rsidSect="00AA5A37">
          <w:type w:val="continuous"/>
          <w:pgSz w:w="11907" w:h="16840" w:code="9"/>
          <w:pgMar w:top="1418" w:right="1134" w:bottom="1134" w:left="1134" w:header="907" w:footer="794" w:gutter="0"/>
          <w:cols w:num="2" w:space="708"/>
          <w:docGrid w:linePitch="381"/>
        </w:sectPr>
      </w:pPr>
      <w:r w:rsidRPr="00A35AD6">
        <w:rPr>
          <w:rFonts w:eastAsia="Calibri" w:cs="Times New Roman"/>
          <w:sz w:val="24"/>
          <w:szCs w:val="28"/>
        </w:rPr>
        <w:t>According to the result of the computer program for this patient, the distance of the in</w:t>
      </w:r>
      <w:r>
        <w:rPr>
          <w:rFonts w:eastAsia="Calibri" w:cs="Times New Roman"/>
          <w:sz w:val="24"/>
          <w:szCs w:val="28"/>
        </w:rPr>
        <w:softHyphen/>
      </w:r>
      <w:r w:rsidRPr="00A35AD6">
        <w:rPr>
          <w:rFonts w:eastAsia="Calibri" w:cs="Times New Roman"/>
          <w:sz w:val="24"/>
          <w:szCs w:val="28"/>
        </w:rPr>
        <w:t>strument from the muscle layer was 9 cm, the instrument was inserted 22 cm deep at an angle of 47 degrees.</w:t>
      </w:r>
    </w:p>
    <w:p w14:paraId="5AD26D99" w14:textId="77777777" w:rsidR="00AA571D" w:rsidRDefault="00AA571D" w:rsidP="0068419D">
      <w:pPr>
        <w:spacing w:line="276" w:lineRule="auto"/>
        <w:ind w:firstLine="567"/>
        <w:jc w:val="both"/>
        <w:rPr>
          <w:rFonts w:eastAsia="Calibri" w:cs="Times New Roman"/>
          <w:sz w:val="24"/>
          <w:szCs w:val="28"/>
        </w:rPr>
      </w:pPr>
    </w:p>
    <w:p w14:paraId="55C375A0" w14:textId="77777777" w:rsidR="00AA571D" w:rsidRPr="00A35AD6" w:rsidRDefault="00AA571D" w:rsidP="0068419D">
      <w:pPr>
        <w:spacing w:line="276" w:lineRule="auto"/>
        <w:ind w:firstLine="567"/>
        <w:jc w:val="both"/>
        <w:rPr>
          <w:rFonts w:eastAsia="Calibri" w:cs="Times New Roman"/>
          <w:sz w:val="24"/>
          <w:szCs w:val="28"/>
        </w:rPr>
      </w:pPr>
    </w:p>
    <w:p w14:paraId="46845C4F" w14:textId="77777777" w:rsidR="00AA571D" w:rsidRPr="00A35AD6" w:rsidRDefault="00AA571D" w:rsidP="0068419D">
      <w:pPr>
        <w:spacing w:line="276" w:lineRule="auto"/>
        <w:jc w:val="center"/>
        <w:rPr>
          <w:rFonts w:eastAsia="Calibri" w:cs="Times New Roman"/>
          <w:sz w:val="24"/>
          <w:szCs w:val="28"/>
        </w:rPr>
      </w:pPr>
      <w:r w:rsidRPr="00A35AD6">
        <w:rPr>
          <w:rFonts w:eastAsia="Calibri" w:cs="Times New Roman"/>
          <w:noProof/>
          <w:sz w:val="24"/>
          <w:szCs w:val="28"/>
          <w:lang w:val="ru-RU" w:eastAsia="ru-RU"/>
        </w:rPr>
        <w:drawing>
          <wp:inline distT="0" distB="0" distL="0" distR="0" wp14:anchorId="110ADFC8" wp14:editId="6937B99F">
            <wp:extent cx="1640626" cy="1332000"/>
            <wp:effectExtent l="0" t="0" r="0" b="1905"/>
            <wp:docPr id="13" name="Рисунок 13" descr="D:\Ойбек\New scince 2019\Статья\759_1200x808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йбек\New scince 2019\Статья\759_1200x808_9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198" t="7967" r="1462" b="6998"/>
                    <a:stretch/>
                  </pic:blipFill>
                  <pic:spPr bwMode="auto">
                    <a:xfrm>
                      <a:off x="0" y="0"/>
                      <a:ext cx="1640626" cy="1332000"/>
                    </a:xfrm>
                    <a:prstGeom prst="rect">
                      <a:avLst/>
                    </a:prstGeom>
                    <a:noFill/>
                    <a:ln>
                      <a:noFill/>
                    </a:ln>
                    <a:extLst>
                      <a:ext uri="{53640926-AAD7-44D8-BBD7-CCE9431645EC}">
                        <a14:shadowObscured xmlns:a14="http://schemas.microsoft.com/office/drawing/2010/main"/>
                      </a:ext>
                    </a:extLst>
                  </pic:spPr>
                </pic:pic>
              </a:graphicData>
            </a:graphic>
          </wp:inline>
        </w:drawing>
      </w:r>
      <w:r w:rsidRPr="00485D3A">
        <w:rPr>
          <w:rFonts w:eastAsia="Calibri" w:cs="Times New Roman"/>
          <w:sz w:val="24"/>
          <w:szCs w:val="28"/>
        </w:rPr>
        <w:t xml:space="preserve">     </w:t>
      </w:r>
      <w:r w:rsidRPr="00A35AD6">
        <w:rPr>
          <w:rFonts w:eastAsia="Calibri" w:cs="Times New Roman"/>
          <w:noProof/>
          <w:sz w:val="24"/>
          <w:szCs w:val="28"/>
          <w:lang w:val="ru-RU" w:eastAsia="ru-RU"/>
        </w:rPr>
        <w:drawing>
          <wp:inline distT="0" distB="0" distL="0" distR="0" wp14:anchorId="19D8EAEC" wp14:editId="31B91143">
            <wp:extent cx="1673488" cy="1332000"/>
            <wp:effectExtent l="0" t="0" r="3175" b="1905"/>
            <wp:docPr id="14" name="Рисунок 14" descr="D:\Ойбек\New scince 2019\Статья\772_592x328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йбек\New scince 2019\Статья\772_592x328_9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359" t="2883" r="14619" b="-222"/>
                    <a:stretch/>
                  </pic:blipFill>
                  <pic:spPr bwMode="auto">
                    <a:xfrm>
                      <a:off x="0" y="0"/>
                      <a:ext cx="1673488" cy="1332000"/>
                    </a:xfrm>
                    <a:prstGeom prst="rect">
                      <a:avLst/>
                    </a:prstGeom>
                    <a:noFill/>
                    <a:ln>
                      <a:noFill/>
                    </a:ln>
                    <a:extLst>
                      <a:ext uri="{53640926-AAD7-44D8-BBD7-CCE9431645EC}">
                        <a14:shadowObscured xmlns:a14="http://schemas.microsoft.com/office/drawing/2010/main"/>
                      </a:ext>
                    </a:extLst>
                  </pic:spPr>
                </pic:pic>
              </a:graphicData>
            </a:graphic>
          </wp:inline>
        </w:drawing>
      </w:r>
      <w:r w:rsidRPr="00485D3A">
        <w:rPr>
          <w:rFonts w:eastAsia="Calibri" w:cs="Times New Roman"/>
          <w:sz w:val="24"/>
          <w:szCs w:val="28"/>
        </w:rPr>
        <w:t xml:space="preserve">     </w:t>
      </w:r>
      <w:r w:rsidRPr="00A35AD6">
        <w:rPr>
          <w:rFonts w:eastAsia="Calibri" w:cs="Times New Roman"/>
          <w:noProof/>
          <w:sz w:val="24"/>
          <w:szCs w:val="28"/>
          <w:lang w:val="ru-RU" w:eastAsia="ru-RU"/>
        </w:rPr>
        <w:drawing>
          <wp:inline distT="0" distB="0" distL="0" distR="0" wp14:anchorId="23D813A7" wp14:editId="3376BF1E">
            <wp:extent cx="1613535" cy="133159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46" t="21621" r="11032" b="18822"/>
                    <a:stretch/>
                  </pic:blipFill>
                  <pic:spPr bwMode="auto">
                    <a:xfrm>
                      <a:off x="0" y="0"/>
                      <a:ext cx="1613535" cy="1331595"/>
                    </a:xfrm>
                    <a:prstGeom prst="rect">
                      <a:avLst/>
                    </a:prstGeom>
                    <a:noFill/>
                    <a:ln>
                      <a:noFill/>
                    </a:ln>
                    <a:extLst>
                      <a:ext uri="{53640926-AAD7-44D8-BBD7-CCE9431645EC}">
                        <a14:shadowObscured xmlns:a14="http://schemas.microsoft.com/office/drawing/2010/main"/>
                      </a:ext>
                    </a:extLst>
                  </pic:spPr>
                </pic:pic>
              </a:graphicData>
            </a:graphic>
          </wp:inline>
        </w:drawing>
      </w:r>
    </w:p>
    <w:p w14:paraId="5ED60CBA" w14:textId="77777777" w:rsidR="00AA571D" w:rsidRDefault="00AA571D" w:rsidP="0068419D">
      <w:pPr>
        <w:spacing w:line="276" w:lineRule="auto"/>
        <w:jc w:val="both"/>
        <w:rPr>
          <w:rFonts w:eastAsia="Calibri" w:cs="Times New Roman"/>
          <w:sz w:val="24"/>
          <w:szCs w:val="28"/>
        </w:rPr>
      </w:pPr>
    </w:p>
    <w:p w14:paraId="54B32717" w14:textId="77777777" w:rsidR="00AA571D" w:rsidRPr="003B0CA5" w:rsidRDefault="00AA571D" w:rsidP="0068419D">
      <w:pPr>
        <w:spacing w:line="276" w:lineRule="auto"/>
        <w:jc w:val="center"/>
        <w:rPr>
          <w:rFonts w:eastAsia="Calibri" w:cs="Times New Roman"/>
          <w:b/>
          <w:bCs/>
          <w:sz w:val="24"/>
          <w:szCs w:val="28"/>
        </w:rPr>
      </w:pPr>
      <w:r w:rsidRPr="003B0CA5">
        <w:rPr>
          <w:rFonts w:eastAsia="Calibri" w:cs="Times New Roman"/>
          <w:b/>
          <w:bCs/>
          <w:sz w:val="24"/>
          <w:szCs w:val="28"/>
        </w:rPr>
        <w:t>Fig. 2. Intraoperative view of the EHH</w:t>
      </w:r>
    </w:p>
    <w:p w14:paraId="77EF904B" w14:textId="77777777" w:rsidR="00AA571D" w:rsidRDefault="00AA571D" w:rsidP="0068419D">
      <w:pPr>
        <w:spacing w:line="276" w:lineRule="auto"/>
        <w:ind w:firstLine="567"/>
        <w:jc w:val="both"/>
        <w:rPr>
          <w:rFonts w:eastAsia="Calibri" w:cs="Times New Roman"/>
          <w:sz w:val="24"/>
          <w:szCs w:val="28"/>
        </w:rPr>
      </w:pPr>
    </w:p>
    <w:p w14:paraId="3C7F7F83" w14:textId="77777777" w:rsidR="00AA571D" w:rsidRDefault="00AA571D" w:rsidP="0068419D">
      <w:pPr>
        <w:spacing w:line="276" w:lineRule="auto"/>
        <w:ind w:firstLine="567"/>
        <w:jc w:val="both"/>
        <w:rPr>
          <w:rFonts w:eastAsia="Calibri" w:cs="Times New Roman"/>
          <w:sz w:val="24"/>
          <w:szCs w:val="28"/>
        </w:rPr>
        <w:sectPr w:rsidR="00AA571D" w:rsidSect="001B41EC">
          <w:type w:val="continuous"/>
          <w:pgSz w:w="11907" w:h="16840" w:code="9"/>
          <w:pgMar w:top="1418" w:right="1134" w:bottom="1134" w:left="1134" w:header="907" w:footer="794" w:gutter="0"/>
          <w:cols w:space="708"/>
          <w:docGrid w:linePitch="381"/>
        </w:sectPr>
      </w:pPr>
    </w:p>
    <w:p w14:paraId="024B9E95" w14:textId="77777777" w:rsidR="00AA571D"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For the patient was performed LFP. In laparoscopy, there was a fairly adequate view of the gastro-diaphragmatic zone (Fig. 2.). The surgery went without technical difficulties. The duration of the operation was 106.8 minutes. There were no intraoperative compli</w:t>
      </w:r>
      <w:r>
        <w:rPr>
          <w:rFonts w:eastAsia="Calibri" w:cs="Times New Roman"/>
          <w:sz w:val="24"/>
          <w:szCs w:val="28"/>
        </w:rPr>
        <w:softHyphen/>
      </w:r>
      <w:r w:rsidRPr="00A35AD6">
        <w:rPr>
          <w:rFonts w:eastAsia="Calibri" w:cs="Times New Roman"/>
          <w:sz w:val="24"/>
          <w:szCs w:val="28"/>
        </w:rPr>
        <w:t xml:space="preserve">cations. In the postoperative period, the patient </w:t>
      </w:r>
      <w:r w:rsidRPr="00A35AD6">
        <w:rPr>
          <w:rFonts w:eastAsia="Calibri" w:cs="Times New Roman"/>
          <w:sz w:val="24"/>
          <w:szCs w:val="28"/>
        </w:rPr>
        <w:t>was activated on the next day (Fig. 3.). We did not noted any complications. The nasogastric tube was removed on second day. The patient was discharged from the hospital on the 4th day of the surgery. Remote follow up period of 2 years. No recurrence.</w:t>
      </w:r>
    </w:p>
    <w:p w14:paraId="2A0F7360" w14:textId="77777777" w:rsidR="00AA571D" w:rsidRDefault="00AA571D" w:rsidP="0068419D">
      <w:pPr>
        <w:spacing w:line="276" w:lineRule="auto"/>
        <w:ind w:firstLine="567"/>
        <w:jc w:val="both"/>
        <w:rPr>
          <w:rFonts w:eastAsia="Calibri" w:cs="Times New Roman"/>
          <w:sz w:val="24"/>
          <w:szCs w:val="28"/>
        </w:rPr>
        <w:sectPr w:rsidR="00AA571D" w:rsidSect="00AA5A37">
          <w:type w:val="continuous"/>
          <w:pgSz w:w="11907" w:h="16840" w:code="9"/>
          <w:pgMar w:top="1418" w:right="1134" w:bottom="1134" w:left="1134" w:header="907" w:footer="794" w:gutter="0"/>
          <w:cols w:num="2" w:space="708"/>
          <w:docGrid w:linePitch="381"/>
        </w:sectPr>
      </w:pPr>
    </w:p>
    <w:p w14:paraId="2DC9FB07" w14:textId="77777777" w:rsidR="00AA571D" w:rsidRPr="00A35AD6" w:rsidRDefault="00AA571D" w:rsidP="0068419D">
      <w:pPr>
        <w:spacing w:line="276" w:lineRule="auto"/>
        <w:ind w:firstLine="567"/>
        <w:jc w:val="both"/>
        <w:rPr>
          <w:rFonts w:eastAsia="Calibri" w:cs="Times New Roman"/>
          <w:sz w:val="24"/>
          <w:szCs w:val="28"/>
        </w:rPr>
      </w:pPr>
    </w:p>
    <w:p w14:paraId="38AFFB28" w14:textId="77777777" w:rsidR="00AA571D" w:rsidRPr="00A35AD6" w:rsidRDefault="00AA571D" w:rsidP="0068419D">
      <w:pPr>
        <w:spacing w:line="276" w:lineRule="auto"/>
        <w:jc w:val="center"/>
        <w:rPr>
          <w:rFonts w:eastAsia="Calibri" w:cs="Times New Roman"/>
          <w:sz w:val="24"/>
          <w:szCs w:val="28"/>
        </w:rPr>
      </w:pPr>
      <w:r w:rsidRPr="00A35AD6">
        <w:rPr>
          <w:rFonts w:eastAsia="Calibri" w:cs="Times New Roman"/>
          <w:noProof/>
          <w:sz w:val="24"/>
          <w:szCs w:val="28"/>
          <w:lang w:val="ru-RU" w:eastAsia="ru-RU"/>
        </w:rPr>
        <w:drawing>
          <wp:inline distT="0" distB="0" distL="0" distR="0" wp14:anchorId="6D8EA661" wp14:editId="1491D831">
            <wp:extent cx="1455109" cy="1764000"/>
            <wp:effectExtent l="0" t="0" r="0" b="8255"/>
            <wp:docPr id="9" name="Рисунок 9" descr="D:\Ойбек\DSc\ОСТ\материал\Диафрагмальная\IMG_20190223_1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йбек\DSc\ОСТ\материал\Диафрагмальная\IMG_20190223_1020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5109" cy="1764000"/>
                    </a:xfrm>
                    <a:prstGeom prst="rect">
                      <a:avLst/>
                    </a:prstGeom>
                    <a:noFill/>
                    <a:ln>
                      <a:noFill/>
                    </a:ln>
                  </pic:spPr>
                </pic:pic>
              </a:graphicData>
            </a:graphic>
          </wp:inline>
        </w:drawing>
      </w:r>
      <w:r w:rsidRPr="00485D3A">
        <w:rPr>
          <w:rFonts w:eastAsia="Calibri" w:cs="Times New Roman"/>
          <w:sz w:val="24"/>
          <w:szCs w:val="28"/>
        </w:rPr>
        <w:t xml:space="preserve">     </w:t>
      </w:r>
      <w:r w:rsidRPr="00A35AD6">
        <w:rPr>
          <w:rFonts w:eastAsia="Calibri" w:cs="Times New Roman"/>
          <w:noProof/>
          <w:sz w:val="24"/>
          <w:szCs w:val="28"/>
          <w:lang w:val="ru-RU" w:eastAsia="ru-RU"/>
        </w:rPr>
        <w:drawing>
          <wp:inline distT="0" distB="0" distL="0" distR="0" wp14:anchorId="3A1F9A81" wp14:editId="6977245F">
            <wp:extent cx="1760201" cy="1548000"/>
            <wp:effectExtent l="0" t="8255" r="3810" b="3810"/>
            <wp:docPr id="33" name="Рисунок 33" descr="D:\Ойбек\DSc\ОСТ\материал\Диафрагмальная\IMG_20190223_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йбек\DSc\ОСТ\материал\Диафрагмальная\IMG_20190223_1017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60201" cy="1548000"/>
                    </a:xfrm>
                    <a:prstGeom prst="rect">
                      <a:avLst/>
                    </a:prstGeom>
                    <a:noFill/>
                    <a:ln>
                      <a:noFill/>
                    </a:ln>
                  </pic:spPr>
                </pic:pic>
              </a:graphicData>
            </a:graphic>
          </wp:inline>
        </w:drawing>
      </w:r>
      <w:r w:rsidRPr="00485D3A">
        <w:rPr>
          <w:rFonts w:eastAsia="Calibri" w:cs="Times New Roman"/>
          <w:sz w:val="24"/>
          <w:szCs w:val="28"/>
        </w:rPr>
        <w:t xml:space="preserve">     </w:t>
      </w:r>
      <w:r w:rsidRPr="00A35AD6">
        <w:rPr>
          <w:rFonts w:eastAsia="Calibri" w:cs="Times New Roman"/>
          <w:noProof/>
          <w:sz w:val="24"/>
          <w:szCs w:val="28"/>
          <w:lang w:val="ru-RU" w:eastAsia="ru-RU"/>
        </w:rPr>
        <w:drawing>
          <wp:inline distT="0" distB="0" distL="0" distR="0" wp14:anchorId="1ABB44BA" wp14:editId="1D4862D9">
            <wp:extent cx="1728707" cy="1764000"/>
            <wp:effectExtent l="0" t="0" r="5080" b="8255"/>
            <wp:docPr id="34" name="Рисунок 34" descr="D:\Ойбек\DSc\ОСТ\материал\Диафрагмальная\IMG_20190223_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йбек\DSc\ОСТ\материал\Диафрагмальная\IMG_20190223_102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8707" cy="1764000"/>
                    </a:xfrm>
                    <a:prstGeom prst="rect">
                      <a:avLst/>
                    </a:prstGeom>
                    <a:noFill/>
                    <a:ln>
                      <a:noFill/>
                    </a:ln>
                  </pic:spPr>
                </pic:pic>
              </a:graphicData>
            </a:graphic>
          </wp:inline>
        </w:drawing>
      </w:r>
    </w:p>
    <w:p w14:paraId="52430F89" w14:textId="77777777" w:rsidR="00AA571D" w:rsidRPr="00A35AD6" w:rsidRDefault="00AA571D" w:rsidP="0068419D">
      <w:pPr>
        <w:spacing w:line="276" w:lineRule="auto"/>
        <w:ind w:firstLine="567"/>
        <w:jc w:val="both"/>
        <w:rPr>
          <w:rFonts w:eastAsia="Calibri" w:cs="Times New Roman"/>
          <w:sz w:val="24"/>
          <w:szCs w:val="28"/>
        </w:rPr>
      </w:pPr>
    </w:p>
    <w:p w14:paraId="71B7EB16" w14:textId="77777777" w:rsidR="00AA571D" w:rsidRPr="003B0CA5" w:rsidRDefault="00AA571D" w:rsidP="0068419D">
      <w:pPr>
        <w:spacing w:line="276" w:lineRule="auto"/>
        <w:jc w:val="center"/>
        <w:rPr>
          <w:rFonts w:eastAsia="Calibri" w:cs="Times New Roman"/>
          <w:b/>
          <w:bCs/>
          <w:sz w:val="24"/>
          <w:szCs w:val="28"/>
        </w:rPr>
      </w:pPr>
      <w:r w:rsidRPr="003B0CA5">
        <w:rPr>
          <w:rFonts w:eastAsia="Calibri" w:cs="Times New Roman"/>
          <w:b/>
          <w:bCs/>
          <w:sz w:val="24"/>
          <w:szCs w:val="28"/>
        </w:rPr>
        <w:t>Fig. 3. The patient is after LFP, 1</w:t>
      </w:r>
      <w:r w:rsidRPr="003B0CA5">
        <w:rPr>
          <w:rFonts w:eastAsia="Calibri" w:cs="Times New Roman"/>
          <w:b/>
          <w:bCs/>
          <w:sz w:val="24"/>
          <w:szCs w:val="28"/>
          <w:vertAlign w:val="superscript"/>
        </w:rPr>
        <w:t>st</w:t>
      </w:r>
      <w:r w:rsidRPr="003B0CA5">
        <w:rPr>
          <w:rFonts w:eastAsia="Calibri" w:cs="Times New Roman"/>
          <w:b/>
          <w:bCs/>
          <w:sz w:val="24"/>
          <w:szCs w:val="28"/>
        </w:rPr>
        <w:t xml:space="preserve"> day.</w:t>
      </w:r>
    </w:p>
    <w:p w14:paraId="37C28F8C" w14:textId="77777777" w:rsidR="00AA571D" w:rsidRDefault="00AA571D" w:rsidP="0068419D">
      <w:pPr>
        <w:spacing w:line="276" w:lineRule="auto"/>
        <w:ind w:firstLine="567"/>
        <w:jc w:val="both"/>
        <w:rPr>
          <w:rFonts w:eastAsia="Calibri" w:cs="Times New Roman"/>
          <w:sz w:val="24"/>
          <w:szCs w:val="28"/>
        </w:rPr>
      </w:pPr>
    </w:p>
    <w:p w14:paraId="3E09BEB5" w14:textId="77777777" w:rsidR="00AA571D" w:rsidRDefault="00AA571D" w:rsidP="0068419D">
      <w:pPr>
        <w:spacing w:line="276" w:lineRule="auto"/>
        <w:ind w:firstLine="567"/>
        <w:jc w:val="both"/>
        <w:rPr>
          <w:rFonts w:eastAsia="Calibri" w:cs="Times New Roman"/>
          <w:sz w:val="24"/>
          <w:szCs w:val="28"/>
        </w:rPr>
        <w:sectPr w:rsidR="00AA571D" w:rsidSect="001B41EC">
          <w:type w:val="continuous"/>
          <w:pgSz w:w="11907" w:h="16840" w:code="9"/>
          <w:pgMar w:top="1418" w:right="1134" w:bottom="1134" w:left="1134" w:header="907" w:footer="794" w:gutter="0"/>
          <w:cols w:space="708"/>
          <w:docGrid w:linePitch="381"/>
        </w:sectPr>
      </w:pPr>
    </w:p>
    <w:p w14:paraId="16E5FF39"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Theoretically, laparoscopic hernia repair eradicates the risk of damage to the intra-ab</w:t>
      </w:r>
      <w:r>
        <w:rPr>
          <w:rFonts w:eastAsia="Calibri" w:cs="Times New Roman"/>
          <w:sz w:val="24"/>
          <w:szCs w:val="28"/>
        </w:rPr>
        <w:softHyphen/>
      </w:r>
      <w:r w:rsidRPr="00A35AD6">
        <w:rPr>
          <w:rFonts w:eastAsia="Calibri" w:cs="Times New Roman"/>
          <w:sz w:val="24"/>
          <w:szCs w:val="28"/>
        </w:rPr>
        <w:t>dominal organs and adhesions [6, 7, 8]. How</w:t>
      </w:r>
      <w:r>
        <w:rPr>
          <w:rFonts w:eastAsia="Calibri" w:cs="Times New Roman"/>
          <w:sz w:val="24"/>
          <w:szCs w:val="28"/>
        </w:rPr>
        <w:softHyphen/>
      </w:r>
      <w:r w:rsidRPr="00A35AD6">
        <w:rPr>
          <w:rFonts w:eastAsia="Calibri" w:cs="Times New Roman"/>
          <w:sz w:val="24"/>
          <w:szCs w:val="28"/>
        </w:rPr>
        <w:t>ever, the method is time-consuming, since the working space is limited and orientation may be difficult. Surgeons cannot begin this opera</w:t>
      </w:r>
      <w:r>
        <w:rPr>
          <w:rFonts w:eastAsia="Calibri" w:cs="Times New Roman"/>
          <w:sz w:val="24"/>
          <w:szCs w:val="28"/>
        </w:rPr>
        <w:softHyphen/>
      </w:r>
      <w:r w:rsidRPr="00A35AD6">
        <w:rPr>
          <w:rFonts w:eastAsia="Calibri" w:cs="Times New Roman"/>
          <w:sz w:val="24"/>
          <w:szCs w:val="28"/>
        </w:rPr>
        <w:t>tion until they gain the mastery of working with endosurgical instruments in order to freely navigate the anatomy of the preperito</w:t>
      </w:r>
      <w:r>
        <w:rPr>
          <w:rFonts w:eastAsia="Calibri" w:cs="Times New Roman"/>
          <w:sz w:val="24"/>
          <w:szCs w:val="28"/>
        </w:rPr>
        <w:softHyphen/>
      </w:r>
      <w:r w:rsidRPr="00A35AD6">
        <w:rPr>
          <w:rFonts w:eastAsia="Calibri" w:cs="Times New Roman"/>
          <w:sz w:val="24"/>
          <w:szCs w:val="28"/>
        </w:rPr>
        <w:t>neal space, in the inguinal region and at the same time, improper insertion of the instru</w:t>
      </w:r>
      <w:r>
        <w:rPr>
          <w:rFonts w:eastAsia="Calibri" w:cs="Times New Roman"/>
          <w:sz w:val="24"/>
          <w:szCs w:val="28"/>
        </w:rPr>
        <w:softHyphen/>
      </w:r>
      <w:r w:rsidRPr="00A35AD6">
        <w:rPr>
          <w:rFonts w:eastAsia="Calibri" w:cs="Times New Roman"/>
          <w:sz w:val="24"/>
          <w:szCs w:val="28"/>
        </w:rPr>
        <w:t>ment increases the likelihood of damage to nearby organs of the inguinal region.</w:t>
      </w:r>
    </w:p>
    <w:p w14:paraId="107CDC8A"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The software "Hernioplasty.exe" is cal</w:t>
      </w:r>
      <w:r>
        <w:rPr>
          <w:rFonts w:eastAsia="Calibri" w:cs="Times New Roman"/>
          <w:sz w:val="24"/>
          <w:szCs w:val="28"/>
        </w:rPr>
        <w:softHyphen/>
      </w:r>
      <w:r w:rsidRPr="00A35AD6">
        <w:rPr>
          <w:rFonts w:eastAsia="Calibri" w:cs="Times New Roman"/>
          <w:sz w:val="24"/>
          <w:szCs w:val="28"/>
        </w:rPr>
        <w:t xml:space="preserve">culated based on the parameters of the patient, i.e. thickness of subcutaneous fat and muscle-aponeurotic layer of the abdominal wall, height of the abdomen from the plane of the operating table in the horizontal position of the patient. The software "Hernioplasty.exe" allows you to calculate the parameters of the introduction of a working trocar along with a laparoscope. Based on the software calculations, the angle of insertion of the instrument into the umbilical </w:t>
      </w:r>
      <w:r w:rsidRPr="00A35AD6">
        <w:rPr>
          <w:rFonts w:eastAsia="Calibri" w:cs="Times New Roman"/>
          <w:sz w:val="24"/>
          <w:szCs w:val="28"/>
        </w:rPr>
        <w:t>region and the depth of insertion of the instru</w:t>
      </w:r>
      <w:r>
        <w:rPr>
          <w:rFonts w:eastAsia="Calibri" w:cs="Times New Roman"/>
          <w:sz w:val="24"/>
          <w:szCs w:val="28"/>
        </w:rPr>
        <w:softHyphen/>
      </w:r>
      <w:r w:rsidRPr="00A35AD6">
        <w:rPr>
          <w:rFonts w:eastAsia="Calibri" w:cs="Times New Roman"/>
          <w:sz w:val="24"/>
          <w:szCs w:val="28"/>
        </w:rPr>
        <w:t>ment are determined, which allow surgeons to easily manipulate in the area of operation.</w:t>
      </w:r>
    </w:p>
    <w:p w14:paraId="212561C4"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Thus, the effectiveness of the program we developed for laparoscopic fundoplication is determined by the fact that the exact intro</w:t>
      </w:r>
      <w:r>
        <w:rPr>
          <w:rFonts w:eastAsia="Calibri" w:cs="Times New Roman"/>
          <w:sz w:val="24"/>
          <w:szCs w:val="28"/>
        </w:rPr>
        <w:softHyphen/>
      </w:r>
      <w:r w:rsidRPr="00A35AD6">
        <w:rPr>
          <w:rFonts w:eastAsia="Calibri" w:cs="Times New Roman"/>
          <w:sz w:val="24"/>
          <w:szCs w:val="28"/>
        </w:rPr>
        <w:t>duction of endoscopic instruments by the sur</w:t>
      </w:r>
      <w:r>
        <w:rPr>
          <w:rFonts w:eastAsia="Calibri" w:cs="Times New Roman"/>
          <w:sz w:val="24"/>
          <w:szCs w:val="28"/>
        </w:rPr>
        <w:softHyphen/>
      </w:r>
      <w:r w:rsidRPr="00A35AD6">
        <w:rPr>
          <w:rFonts w:eastAsia="Calibri" w:cs="Times New Roman"/>
          <w:sz w:val="24"/>
          <w:szCs w:val="28"/>
        </w:rPr>
        <w:t>geon gives the correct orientation with attitude to the fundal region of the stomachs and the left cupola of the diaphragm, shortens the duration of the surgery and, reduces the frequency of in</w:t>
      </w:r>
      <w:r>
        <w:rPr>
          <w:rFonts w:eastAsia="Calibri" w:cs="Times New Roman"/>
          <w:sz w:val="24"/>
          <w:szCs w:val="28"/>
        </w:rPr>
        <w:softHyphen/>
      </w:r>
      <w:r w:rsidRPr="00A35AD6">
        <w:rPr>
          <w:rFonts w:eastAsia="Calibri" w:cs="Times New Roman"/>
          <w:sz w:val="24"/>
          <w:szCs w:val="28"/>
        </w:rPr>
        <w:t>tra and postoperative complications. In pa</w:t>
      </w:r>
      <w:r>
        <w:rPr>
          <w:rFonts w:eastAsia="Calibri" w:cs="Times New Roman"/>
          <w:sz w:val="24"/>
          <w:szCs w:val="28"/>
        </w:rPr>
        <w:softHyphen/>
      </w:r>
      <w:r w:rsidRPr="00A35AD6">
        <w:rPr>
          <w:rFonts w:eastAsia="Calibri" w:cs="Times New Roman"/>
          <w:sz w:val="24"/>
          <w:szCs w:val="28"/>
        </w:rPr>
        <w:t>tients with morbid and supermorbid obesity, the use of this program makes easily manipu</w:t>
      </w:r>
      <w:r>
        <w:rPr>
          <w:rFonts w:eastAsia="Calibri" w:cs="Times New Roman"/>
          <w:sz w:val="24"/>
          <w:szCs w:val="28"/>
        </w:rPr>
        <w:softHyphen/>
      </w:r>
      <w:r w:rsidRPr="00A35AD6">
        <w:rPr>
          <w:rFonts w:eastAsia="Calibri" w:cs="Times New Roman"/>
          <w:sz w:val="24"/>
          <w:szCs w:val="28"/>
        </w:rPr>
        <w:t>late the instrument without requiring their re</w:t>
      </w:r>
      <w:r>
        <w:rPr>
          <w:rFonts w:eastAsia="Calibri" w:cs="Times New Roman"/>
          <w:sz w:val="24"/>
          <w:szCs w:val="28"/>
        </w:rPr>
        <w:softHyphen/>
      </w:r>
      <w:r w:rsidRPr="00A35AD6">
        <w:rPr>
          <w:rFonts w:eastAsia="Calibri" w:cs="Times New Roman"/>
          <w:sz w:val="24"/>
          <w:szCs w:val="28"/>
        </w:rPr>
        <w:t>arrangement.</w:t>
      </w:r>
    </w:p>
    <w:p w14:paraId="3224688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Our studies have shown the clinical ef</w:t>
      </w:r>
      <w:r>
        <w:rPr>
          <w:rFonts w:eastAsia="Calibri" w:cs="Times New Roman"/>
          <w:sz w:val="24"/>
          <w:szCs w:val="28"/>
        </w:rPr>
        <w:softHyphen/>
      </w:r>
      <w:r w:rsidRPr="00A35AD6">
        <w:rPr>
          <w:rFonts w:eastAsia="Calibri" w:cs="Times New Roman"/>
          <w:sz w:val="24"/>
          <w:szCs w:val="28"/>
        </w:rPr>
        <w:t>fectiveness of the complex of measures devel</w:t>
      </w:r>
      <w:r>
        <w:rPr>
          <w:rFonts w:eastAsia="Calibri" w:cs="Times New Roman"/>
          <w:sz w:val="24"/>
          <w:szCs w:val="28"/>
        </w:rPr>
        <w:softHyphen/>
      </w:r>
      <w:r w:rsidRPr="00A35AD6">
        <w:rPr>
          <w:rFonts w:eastAsia="Calibri" w:cs="Times New Roman"/>
          <w:sz w:val="24"/>
          <w:szCs w:val="28"/>
        </w:rPr>
        <w:t>oped by us, not only when performing laparo</w:t>
      </w:r>
      <w:r>
        <w:rPr>
          <w:rFonts w:eastAsia="Calibri" w:cs="Times New Roman"/>
          <w:sz w:val="24"/>
          <w:szCs w:val="28"/>
        </w:rPr>
        <w:softHyphen/>
      </w:r>
      <w:r w:rsidRPr="00A35AD6">
        <w:rPr>
          <w:rFonts w:eastAsia="Calibri" w:cs="Times New Roman"/>
          <w:sz w:val="24"/>
          <w:szCs w:val="28"/>
        </w:rPr>
        <w:t>scopic interventions on the organs of ab</w:t>
      </w:r>
      <w:r>
        <w:rPr>
          <w:rFonts w:eastAsia="Calibri" w:cs="Times New Roman"/>
          <w:sz w:val="24"/>
          <w:szCs w:val="28"/>
        </w:rPr>
        <w:softHyphen/>
      </w:r>
      <w:r w:rsidRPr="00A35AD6">
        <w:rPr>
          <w:rFonts w:eastAsia="Calibri" w:cs="Times New Roman"/>
          <w:sz w:val="24"/>
          <w:szCs w:val="28"/>
        </w:rPr>
        <w:t>dominal cavity, in particular, hiatal hernia.</w:t>
      </w:r>
    </w:p>
    <w:p w14:paraId="39CBECF3" w14:textId="77777777" w:rsidR="00AA571D" w:rsidRPr="00A35AD6" w:rsidRDefault="00AA571D" w:rsidP="0068419D">
      <w:pPr>
        <w:spacing w:line="276" w:lineRule="auto"/>
        <w:ind w:firstLine="567"/>
        <w:jc w:val="both"/>
        <w:rPr>
          <w:rFonts w:eastAsia="Calibri" w:cs="Times New Roman"/>
          <w:b/>
          <w:sz w:val="24"/>
          <w:szCs w:val="28"/>
        </w:rPr>
      </w:pPr>
      <w:r w:rsidRPr="00A35AD6">
        <w:rPr>
          <w:rFonts w:eastAsia="Calibri" w:cs="Times New Roman"/>
          <w:b/>
          <w:sz w:val="24"/>
          <w:szCs w:val="28"/>
        </w:rPr>
        <w:t>Conclusions</w:t>
      </w:r>
    </w:p>
    <w:p w14:paraId="5F4DE63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 xml:space="preserve">1. Performing laparoscopic hernia repair with the implementation of standard points of </w:t>
      </w:r>
      <w:r w:rsidRPr="00A35AD6">
        <w:rPr>
          <w:rFonts w:eastAsia="Calibri" w:cs="Times New Roman"/>
          <w:sz w:val="24"/>
          <w:szCs w:val="28"/>
        </w:rPr>
        <w:lastRenderedPageBreak/>
        <w:t>introduction for instruments in patients with high BMI presents certain difficulties due to the pronounced thickness of the soft tissues of anterior abdominal wall and increases of the risk for conversion or reinstallation of instru</w:t>
      </w:r>
      <w:r>
        <w:rPr>
          <w:rFonts w:eastAsia="Calibri" w:cs="Times New Roman"/>
          <w:sz w:val="24"/>
          <w:szCs w:val="28"/>
        </w:rPr>
        <w:softHyphen/>
      </w:r>
      <w:r w:rsidRPr="00A35AD6">
        <w:rPr>
          <w:rFonts w:eastAsia="Calibri" w:cs="Times New Roman"/>
          <w:sz w:val="24"/>
          <w:szCs w:val="28"/>
        </w:rPr>
        <w:t>ments.</w:t>
      </w:r>
    </w:p>
    <w:p w14:paraId="4A84BD51"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2. The proposed software facilitates the determination of the most convenient points for introducing trocars, which makes it easy to manipulate the instrument without requiring their rearrangement, and thereby improves the clinical results of surgical interventions.</w:t>
      </w:r>
    </w:p>
    <w:p w14:paraId="615FAC42"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3. The absence of complications in the intra- and postoperative period, proves the highly specificity and effectiveness of the pro</w:t>
      </w:r>
      <w:r>
        <w:rPr>
          <w:rFonts w:eastAsia="Calibri" w:cs="Times New Roman"/>
          <w:sz w:val="24"/>
          <w:szCs w:val="28"/>
        </w:rPr>
        <w:softHyphen/>
      </w:r>
      <w:r w:rsidRPr="00A35AD6">
        <w:rPr>
          <w:rFonts w:eastAsia="Calibri" w:cs="Times New Roman"/>
          <w:sz w:val="24"/>
          <w:szCs w:val="28"/>
        </w:rPr>
        <w:t>posed program for laparoscopic correction of EHH and is the key to reducing the risk of re</w:t>
      </w:r>
      <w:r>
        <w:rPr>
          <w:rFonts w:eastAsia="Calibri" w:cs="Times New Roman"/>
          <w:sz w:val="24"/>
          <w:szCs w:val="28"/>
        </w:rPr>
        <w:softHyphen/>
      </w:r>
      <w:r w:rsidRPr="00A35AD6">
        <w:rPr>
          <w:rFonts w:eastAsia="Calibri" w:cs="Times New Roman"/>
          <w:sz w:val="24"/>
          <w:szCs w:val="28"/>
        </w:rPr>
        <w:t>currence.</w:t>
      </w:r>
    </w:p>
    <w:p w14:paraId="2E604608" w14:textId="77777777" w:rsidR="00AA571D" w:rsidRPr="00A35AD6" w:rsidRDefault="00AA571D" w:rsidP="0068419D">
      <w:pPr>
        <w:spacing w:line="276" w:lineRule="auto"/>
        <w:ind w:firstLine="567"/>
        <w:jc w:val="both"/>
        <w:rPr>
          <w:rFonts w:eastAsia="Calibri" w:cs="Times New Roman"/>
          <w:b/>
          <w:sz w:val="24"/>
          <w:szCs w:val="28"/>
        </w:rPr>
      </w:pPr>
    </w:p>
    <w:p w14:paraId="3E6B6385" w14:textId="77777777" w:rsidR="00AA571D" w:rsidRDefault="00AA571D" w:rsidP="0068419D">
      <w:pPr>
        <w:spacing w:line="276" w:lineRule="auto"/>
        <w:jc w:val="center"/>
        <w:rPr>
          <w:rFonts w:eastAsia="Calibri" w:cs="Times New Roman"/>
          <w:b/>
          <w:sz w:val="24"/>
          <w:szCs w:val="28"/>
        </w:rPr>
      </w:pPr>
      <w:r w:rsidRPr="00A35AD6">
        <w:rPr>
          <w:rFonts w:eastAsia="Calibri" w:cs="Times New Roman"/>
          <w:b/>
          <w:sz w:val="24"/>
          <w:szCs w:val="28"/>
        </w:rPr>
        <w:t>REFERENCE</w:t>
      </w:r>
    </w:p>
    <w:p w14:paraId="38D5AB26" w14:textId="77777777" w:rsidR="00AA571D" w:rsidRPr="00A35AD6" w:rsidRDefault="00AA571D" w:rsidP="0068419D">
      <w:pPr>
        <w:spacing w:line="276" w:lineRule="auto"/>
        <w:ind w:firstLine="567"/>
        <w:jc w:val="both"/>
        <w:rPr>
          <w:rFonts w:eastAsia="Calibri" w:cs="Times New Roman"/>
          <w:b/>
          <w:sz w:val="24"/>
          <w:szCs w:val="28"/>
        </w:rPr>
      </w:pPr>
    </w:p>
    <w:p w14:paraId="7813B5BB"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1. Laparoscopic fixation of Giss angle by xeno-pericardial tape in surgery for gas</w:t>
      </w:r>
      <w:r>
        <w:rPr>
          <w:rFonts w:eastAsia="Calibri" w:cs="Times New Roman"/>
          <w:sz w:val="24"/>
          <w:szCs w:val="28"/>
        </w:rPr>
        <w:softHyphen/>
      </w:r>
      <w:r w:rsidRPr="00A35AD6">
        <w:rPr>
          <w:rFonts w:eastAsia="Calibri" w:cs="Times New Roman"/>
          <w:sz w:val="24"/>
          <w:szCs w:val="28"/>
        </w:rPr>
        <w:t>troesophageal reflux disease. Baulina O.A. Surgery News. - 2018. - No. 2. - S. 164-70.</w:t>
      </w:r>
    </w:p>
    <w:p w14:paraId="272FBA7A" w14:textId="6D858C33"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2. Results of a multicenter observational study on the use of the international GerdQ questionnaire for the diagnosis of gastroesoph</w:t>
      </w:r>
      <w:r>
        <w:rPr>
          <w:rFonts w:eastAsia="Calibri" w:cs="Times New Roman"/>
          <w:sz w:val="24"/>
          <w:szCs w:val="28"/>
        </w:rPr>
        <w:softHyphen/>
      </w:r>
      <w:r w:rsidRPr="00A35AD6">
        <w:rPr>
          <w:rFonts w:eastAsia="Calibri" w:cs="Times New Roman"/>
          <w:sz w:val="24"/>
          <w:szCs w:val="28"/>
        </w:rPr>
        <w:t>ageal reflux disease. Kaybysheva V.O. Rus</w:t>
      </w:r>
      <w:r>
        <w:rPr>
          <w:rFonts w:eastAsia="Calibri" w:cs="Times New Roman"/>
          <w:sz w:val="24"/>
          <w:szCs w:val="28"/>
        </w:rPr>
        <w:softHyphen/>
      </w:r>
      <w:r w:rsidRPr="00A35AD6">
        <w:rPr>
          <w:rFonts w:eastAsia="Calibri" w:cs="Times New Roman"/>
          <w:sz w:val="24"/>
          <w:szCs w:val="28"/>
        </w:rPr>
        <w:t>sian Journal of Gastroenterology, Hepatology, Coloproctology - 2020.- T. 23, No. 5.-S. 15-23.</w:t>
      </w:r>
    </w:p>
    <w:p w14:paraId="6D119164"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 xml:space="preserve">3. Analysis of the results of endovascular surgical treatment of hiatal hernia. Nikitenko </w:t>
      </w:r>
      <w:r w:rsidRPr="00A35AD6">
        <w:rPr>
          <w:rFonts w:eastAsia="Calibri" w:cs="Times New Roman"/>
          <w:sz w:val="24"/>
          <w:szCs w:val="28"/>
        </w:rPr>
        <w:t>A. I., Rodin A. G., Ovchinnikov V. A. Endo</w:t>
      </w:r>
      <w:r>
        <w:rPr>
          <w:rFonts w:eastAsia="Calibri" w:cs="Times New Roman"/>
          <w:sz w:val="24"/>
          <w:szCs w:val="28"/>
        </w:rPr>
        <w:softHyphen/>
      </w:r>
      <w:r w:rsidRPr="00A35AD6">
        <w:rPr>
          <w:rFonts w:eastAsia="Calibri" w:cs="Times New Roman"/>
          <w:sz w:val="24"/>
          <w:szCs w:val="28"/>
        </w:rPr>
        <w:t>scopic surgery - 2018. - No. 5. - S. 3-7.</w:t>
      </w:r>
    </w:p>
    <w:p w14:paraId="56039693"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4. Experience in surgical treatment of hernias of the esophageal hiatus of the dia</w:t>
      </w:r>
      <w:r>
        <w:rPr>
          <w:rFonts w:eastAsia="Calibri" w:cs="Times New Roman"/>
          <w:sz w:val="24"/>
          <w:szCs w:val="28"/>
        </w:rPr>
        <w:softHyphen/>
      </w:r>
      <w:r w:rsidRPr="00A35AD6">
        <w:rPr>
          <w:rFonts w:eastAsia="Calibri" w:cs="Times New Roman"/>
          <w:sz w:val="24"/>
          <w:szCs w:val="28"/>
        </w:rPr>
        <w:t>phragm. Rodin A. G. Clinical medicine. - 2019. - No. 4. - S. 89-93.</w:t>
      </w:r>
    </w:p>
    <w:p w14:paraId="62B458F2" w14:textId="5C9110FF"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5. A method for surgical treatment of in</w:t>
      </w:r>
      <w:r>
        <w:rPr>
          <w:rFonts w:eastAsia="Calibri" w:cs="Times New Roman"/>
          <w:sz w:val="24"/>
          <w:szCs w:val="28"/>
        </w:rPr>
        <w:softHyphen/>
      </w:r>
      <w:r w:rsidRPr="00A35AD6">
        <w:rPr>
          <w:rFonts w:eastAsia="Calibri" w:cs="Times New Roman"/>
          <w:sz w:val="24"/>
          <w:szCs w:val="28"/>
        </w:rPr>
        <w:t xml:space="preserve">sufficiency of the lower esophageal sphincter: Pat. No. 17738. Belarus, IPC A6IB 17/00 / G. A. Zhurbenko, A. S. Karpitsky, S. V. Panko, R. I. Bowfalik, A. M. Shestyuk, D. S. Vakulich, A. N. Ignatyuk; applicant Brest. reg. hospital. - No. a20110453 // Officer. bull. - </w:t>
      </w:r>
      <w:r w:rsidR="00AC75DC" w:rsidRPr="00A35AD6">
        <w:rPr>
          <w:rFonts w:eastAsia="Calibri" w:cs="Times New Roman"/>
          <w:sz w:val="24"/>
          <w:szCs w:val="28"/>
        </w:rPr>
        <w:t>2018. -</w:t>
      </w:r>
      <w:r w:rsidRPr="00A35AD6">
        <w:rPr>
          <w:rFonts w:eastAsia="Calibri" w:cs="Times New Roman"/>
          <w:sz w:val="24"/>
          <w:szCs w:val="28"/>
        </w:rPr>
        <w:t xml:space="preserve"> No. 6 (95). - S. 70.</w:t>
      </w:r>
    </w:p>
    <w:p w14:paraId="3BC52A0F"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6. The effects of laparoscopic Nissen fundoplication on patients with severe gas</w:t>
      </w:r>
      <w:r>
        <w:rPr>
          <w:rFonts w:eastAsia="Calibri" w:cs="Times New Roman"/>
          <w:sz w:val="24"/>
          <w:szCs w:val="28"/>
        </w:rPr>
        <w:softHyphen/>
      </w:r>
      <w:r w:rsidRPr="00A35AD6">
        <w:rPr>
          <w:rFonts w:eastAsia="Calibri" w:cs="Times New Roman"/>
          <w:sz w:val="24"/>
          <w:szCs w:val="28"/>
        </w:rPr>
        <w:t>troesophageal reflux disease and steroid-de</w:t>
      </w:r>
      <w:r>
        <w:rPr>
          <w:rFonts w:eastAsia="Calibri" w:cs="Times New Roman"/>
          <w:sz w:val="24"/>
          <w:szCs w:val="28"/>
        </w:rPr>
        <w:softHyphen/>
      </w:r>
      <w:r w:rsidRPr="00A35AD6">
        <w:rPr>
          <w:rFonts w:eastAsia="Calibri" w:cs="Times New Roman"/>
          <w:sz w:val="24"/>
          <w:szCs w:val="28"/>
        </w:rPr>
        <w:t>pendent asthma. Rothenberg S., Cowles R. Journal of Pediatric Surgery. - 2017.-№ 47. –R. 1101-1104.</w:t>
      </w:r>
    </w:p>
    <w:p w14:paraId="15EB5BBE" w14:textId="77777777"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7. Tarek S, Neil B, Marya, at all. Lapa</w:t>
      </w:r>
      <w:r>
        <w:rPr>
          <w:rFonts w:eastAsia="Calibri" w:cs="Times New Roman"/>
          <w:sz w:val="24"/>
          <w:szCs w:val="28"/>
        </w:rPr>
        <w:softHyphen/>
      </w:r>
      <w:r w:rsidRPr="00A35AD6">
        <w:rPr>
          <w:rFonts w:eastAsia="Calibri" w:cs="Times New Roman"/>
          <w:sz w:val="24"/>
          <w:szCs w:val="28"/>
        </w:rPr>
        <w:t>roscopic hernia repair and fundoplication with endoscopic sleeve gastroplasty for complex hernia and GERD management in morbid obe</w:t>
      </w:r>
      <w:r>
        <w:rPr>
          <w:rFonts w:eastAsia="Calibri" w:cs="Times New Roman"/>
          <w:sz w:val="24"/>
          <w:szCs w:val="28"/>
        </w:rPr>
        <w:softHyphen/>
      </w:r>
      <w:r w:rsidRPr="00A35AD6">
        <w:rPr>
          <w:rFonts w:eastAsia="Calibri" w:cs="Times New Roman"/>
          <w:sz w:val="24"/>
          <w:szCs w:val="28"/>
        </w:rPr>
        <w:t>sity VIDEOGIE Volume -1, No. - 2: 2020</w:t>
      </w:r>
    </w:p>
    <w:p w14:paraId="012B36C8" w14:textId="27474B9A" w:rsidR="00AA571D" w:rsidRPr="00A35AD6" w:rsidRDefault="00AA571D" w:rsidP="0068419D">
      <w:pPr>
        <w:spacing w:line="276" w:lineRule="auto"/>
        <w:ind w:firstLine="567"/>
        <w:jc w:val="both"/>
        <w:rPr>
          <w:rFonts w:eastAsia="Calibri" w:cs="Times New Roman"/>
          <w:sz w:val="24"/>
          <w:szCs w:val="28"/>
        </w:rPr>
      </w:pPr>
      <w:r w:rsidRPr="00A35AD6">
        <w:rPr>
          <w:rFonts w:eastAsia="Calibri" w:cs="Times New Roman"/>
          <w:sz w:val="24"/>
          <w:szCs w:val="28"/>
        </w:rPr>
        <w:t>8. Seyfi E, Hasan E, Mehmet G, at all. Laparoscopic Hiatal Hernia Repair during in-Sleeve Gastrectomy In book: Hernia Surgery Submitted: January 1st, 2022 Reviewed: March 8th, 2022Published: March 24th, 2022 DOI:</w:t>
      </w:r>
      <w:r w:rsidRPr="00A1291E">
        <w:rPr>
          <w:rFonts w:eastAsia="Calibri" w:cs="Times New Roman"/>
          <w:sz w:val="24"/>
          <w:szCs w:val="28"/>
        </w:rPr>
        <w:t>10.5772/intechopen.104395</w:t>
      </w:r>
    </w:p>
    <w:p w14:paraId="076F243C" w14:textId="77777777" w:rsidR="003B0CA5" w:rsidRDefault="003B0CA5" w:rsidP="0068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sectPr w:rsidR="003B0CA5" w:rsidSect="003B0CA5">
          <w:type w:val="continuous"/>
          <w:pgSz w:w="11907" w:h="16840" w:code="9"/>
          <w:pgMar w:top="1418" w:right="1134" w:bottom="1134" w:left="1134" w:header="907" w:footer="794" w:gutter="0"/>
          <w:cols w:num="2" w:space="708"/>
          <w:docGrid w:linePitch="381"/>
        </w:sectPr>
      </w:pPr>
    </w:p>
    <w:p w14:paraId="68EFDA00" w14:textId="77777777" w:rsidR="00034123" w:rsidRPr="00AA571D" w:rsidRDefault="00034123" w:rsidP="0068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color w:val="202124"/>
          <w:sz w:val="24"/>
          <w:szCs w:val="24"/>
          <w:lang w:eastAsia="ru-RU"/>
        </w:rPr>
      </w:pPr>
    </w:p>
    <w:p w14:paraId="548B2E9B" w14:textId="77777777" w:rsidR="00034123" w:rsidRPr="00034123" w:rsidRDefault="00034123" w:rsidP="0068419D">
      <w:pPr>
        <w:spacing w:line="276" w:lineRule="auto"/>
        <w:ind w:firstLine="567"/>
        <w:jc w:val="both"/>
        <w:rPr>
          <w:rFonts w:eastAsia="Calibri" w:cs="Times New Roman"/>
          <w:sz w:val="24"/>
          <w:szCs w:val="24"/>
          <w:lang w:val="uz-Latn-UZ"/>
        </w:rPr>
      </w:pPr>
    </w:p>
    <w:p w14:paraId="31BDED01" w14:textId="5E3A1827" w:rsidR="00D208DC" w:rsidRPr="00034123" w:rsidRDefault="00D208DC" w:rsidP="0068419D">
      <w:pPr>
        <w:spacing w:line="276" w:lineRule="auto"/>
        <w:ind w:firstLine="567"/>
        <w:jc w:val="both"/>
        <w:rPr>
          <w:rFonts w:cs="Times New Roman"/>
          <w:sz w:val="24"/>
          <w:szCs w:val="24"/>
          <w:lang w:val="uz-Latn-UZ"/>
        </w:rPr>
      </w:pPr>
    </w:p>
    <w:p w14:paraId="28100D63" w14:textId="5040A18B" w:rsidR="00034123" w:rsidRDefault="00034123" w:rsidP="0068419D">
      <w:pPr>
        <w:spacing w:line="276" w:lineRule="auto"/>
        <w:ind w:firstLine="567"/>
        <w:jc w:val="both"/>
        <w:rPr>
          <w:sz w:val="24"/>
          <w:lang w:val="uz-Latn-UZ"/>
        </w:rPr>
      </w:pPr>
    </w:p>
    <w:p w14:paraId="5A824209" w14:textId="522C4CBA" w:rsidR="009C16A8" w:rsidRDefault="009C16A8" w:rsidP="0068419D">
      <w:pPr>
        <w:spacing w:line="276" w:lineRule="auto"/>
        <w:ind w:firstLine="567"/>
        <w:jc w:val="both"/>
        <w:rPr>
          <w:sz w:val="24"/>
          <w:lang w:val="uz-Latn-UZ"/>
        </w:rPr>
      </w:pPr>
    </w:p>
    <w:p w14:paraId="08886646" w14:textId="73C831B7" w:rsidR="009C16A8" w:rsidRDefault="009C16A8" w:rsidP="0068419D">
      <w:pPr>
        <w:spacing w:line="276" w:lineRule="auto"/>
        <w:ind w:firstLine="567"/>
        <w:jc w:val="both"/>
        <w:rPr>
          <w:sz w:val="24"/>
          <w:lang w:val="uz-Latn-UZ"/>
        </w:rPr>
      </w:pPr>
    </w:p>
    <w:p w14:paraId="622832B6" w14:textId="3B2E6C6D" w:rsidR="009C16A8" w:rsidRDefault="009C16A8" w:rsidP="0068419D">
      <w:pPr>
        <w:spacing w:line="276" w:lineRule="auto"/>
        <w:ind w:firstLine="567"/>
        <w:jc w:val="both"/>
        <w:rPr>
          <w:sz w:val="24"/>
          <w:lang w:val="uz-Latn-UZ"/>
        </w:rPr>
      </w:pPr>
    </w:p>
    <w:p w14:paraId="7F02522F" w14:textId="1717C4F2" w:rsidR="009C16A8" w:rsidRDefault="009C16A8" w:rsidP="0068419D">
      <w:pPr>
        <w:spacing w:line="276" w:lineRule="auto"/>
        <w:ind w:firstLine="567"/>
        <w:jc w:val="both"/>
        <w:rPr>
          <w:sz w:val="24"/>
          <w:lang w:val="uz-Latn-UZ"/>
        </w:rPr>
      </w:pPr>
    </w:p>
    <w:p w14:paraId="05EB32BD" w14:textId="2B062054" w:rsidR="009C16A8" w:rsidRDefault="009C16A8" w:rsidP="0068419D">
      <w:pPr>
        <w:spacing w:line="276" w:lineRule="auto"/>
        <w:ind w:firstLine="567"/>
        <w:jc w:val="both"/>
        <w:rPr>
          <w:sz w:val="24"/>
          <w:lang w:val="uz-Latn-UZ"/>
        </w:rPr>
      </w:pPr>
    </w:p>
    <w:p w14:paraId="2512FBAD" w14:textId="644DE86C" w:rsidR="009C16A8" w:rsidRDefault="009C16A8" w:rsidP="0068419D">
      <w:pPr>
        <w:spacing w:line="276" w:lineRule="auto"/>
        <w:ind w:firstLine="567"/>
        <w:jc w:val="both"/>
        <w:rPr>
          <w:sz w:val="24"/>
          <w:lang w:val="uz-Latn-UZ"/>
        </w:rPr>
      </w:pPr>
    </w:p>
    <w:p w14:paraId="1BDA6981" w14:textId="250E2D6A" w:rsidR="009C16A8" w:rsidRDefault="009C16A8" w:rsidP="0068419D">
      <w:pPr>
        <w:spacing w:line="276" w:lineRule="auto"/>
        <w:ind w:firstLine="567"/>
        <w:jc w:val="both"/>
        <w:rPr>
          <w:sz w:val="24"/>
          <w:lang w:val="uz-Latn-UZ"/>
        </w:rPr>
      </w:pPr>
    </w:p>
    <w:p w14:paraId="2BF11426" w14:textId="5A9ECB12" w:rsidR="009C16A8" w:rsidRDefault="009C16A8" w:rsidP="0068419D">
      <w:pPr>
        <w:spacing w:line="276" w:lineRule="auto"/>
        <w:ind w:firstLine="567"/>
        <w:jc w:val="both"/>
        <w:rPr>
          <w:sz w:val="24"/>
          <w:lang w:val="uz-Latn-UZ"/>
        </w:rPr>
      </w:pPr>
    </w:p>
    <w:p w14:paraId="51B327CC" w14:textId="77777777" w:rsidR="00246D8F" w:rsidRPr="00246D8F" w:rsidRDefault="00246D8F" w:rsidP="00246D8F">
      <w:pPr>
        <w:spacing w:line="276" w:lineRule="auto"/>
        <w:jc w:val="center"/>
        <w:rPr>
          <w:b/>
          <w:bCs/>
          <w:sz w:val="24"/>
        </w:rPr>
      </w:pPr>
      <w:r w:rsidRPr="00246D8F">
        <w:rPr>
          <w:b/>
          <w:bCs/>
          <w:sz w:val="24"/>
        </w:rPr>
        <w:lastRenderedPageBreak/>
        <w:t>FOR THE ATTENTION OF AUTHORS</w:t>
      </w:r>
    </w:p>
    <w:p w14:paraId="610AAF73" w14:textId="23877BEC" w:rsidR="00246D8F" w:rsidRPr="00246D8F" w:rsidRDefault="00246D8F" w:rsidP="00246D8F">
      <w:pPr>
        <w:spacing w:line="276" w:lineRule="auto"/>
        <w:jc w:val="center"/>
        <w:rPr>
          <w:b/>
          <w:bCs/>
          <w:sz w:val="24"/>
        </w:rPr>
      </w:pPr>
      <w:r w:rsidRPr="00246D8F">
        <w:rPr>
          <w:b/>
          <w:bCs/>
          <w:sz w:val="24"/>
        </w:rPr>
        <w:t>Rules for manuscripts</w:t>
      </w:r>
    </w:p>
    <w:p w14:paraId="1FA9E1DB" w14:textId="77777777" w:rsidR="00246D8F" w:rsidRPr="00246D8F" w:rsidRDefault="00246D8F" w:rsidP="00246D8F">
      <w:pPr>
        <w:spacing w:line="276" w:lineRule="auto"/>
        <w:jc w:val="both"/>
        <w:rPr>
          <w:b/>
          <w:bCs/>
          <w:sz w:val="24"/>
        </w:rPr>
      </w:pPr>
    </w:p>
    <w:p w14:paraId="71F9AFA8" w14:textId="77777777" w:rsidR="00246D8F" w:rsidRPr="00246D8F" w:rsidRDefault="00246D8F" w:rsidP="00246D8F">
      <w:pPr>
        <w:spacing w:line="276" w:lineRule="auto"/>
        <w:ind w:firstLine="567"/>
        <w:jc w:val="both"/>
        <w:rPr>
          <w:sz w:val="24"/>
        </w:rPr>
      </w:pPr>
      <w:r w:rsidRPr="00246D8F">
        <w:rPr>
          <w:sz w:val="24"/>
        </w:rPr>
        <w:t>1. The article should be signed by the head of the work for the right to publish it, at the end of the article should be signed by all authors, phone numbers of the authors with whom the editorial work and correspondence should be conducted.</w:t>
      </w:r>
    </w:p>
    <w:p w14:paraId="12D4BAEB" w14:textId="77777777" w:rsidR="00246D8F" w:rsidRPr="00246D8F" w:rsidRDefault="00246D8F" w:rsidP="00246D8F">
      <w:pPr>
        <w:spacing w:line="276" w:lineRule="auto"/>
        <w:ind w:firstLine="567"/>
        <w:jc w:val="both"/>
        <w:rPr>
          <w:sz w:val="24"/>
        </w:rPr>
      </w:pPr>
      <w:r w:rsidRPr="00246D8F">
        <w:rPr>
          <w:sz w:val="24"/>
        </w:rPr>
        <w:t>2. The article must be submitted in electronic form. The volume of original articles including tables, figures, literature and summaries should not exceed 5-8 pages, reviews and lectures should not exceed 8-10 pages.</w:t>
      </w:r>
    </w:p>
    <w:p w14:paraId="061378A8" w14:textId="77777777" w:rsidR="00246D8F" w:rsidRPr="00246D8F" w:rsidRDefault="00246D8F" w:rsidP="00246D8F">
      <w:pPr>
        <w:spacing w:line="276" w:lineRule="auto"/>
        <w:ind w:firstLine="567"/>
        <w:jc w:val="both"/>
        <w:rPr>
          <w:sz w:val="24"/>
        </w:rPr>
      </w:pPr>
      <w:r w:rsidRPr="00246D8F">
        <w:rPr>
          <w:sz w:val="24"/>
        </w:rPr>
        <w:t>3. The article should be typed 1 spacing on a computer, font 14.</w:t>
      </w:r>
    </w:p>
    <w:p w14:paraId="340869BF" w14:textId="77777777" w:rsidR="00246D8F" w:rsidRPr="00246D8F" w:rsidRDefault="00246D8F" w:rsidP="00246D8F">
      <w:pPr>
        <w:spacing w:line="276" w:lineRule="auto"/>
        <w:ind w:firstLine="567"/>
        <w:jc w:val="both"/>
        <w:rPr>
          <w:sz w:val="24"/>
        </w:rPr>
      </w:pPr>
      <w:r w:rsidRPr="00246D8F">
        <w:rPr>
          <w:sz w:val="24"/>
        </w:rPr>
        <w:t>4. Each article should contain:</w:t>
      </w:r>
    </w:p>
    <w:p w14:paraId="41CD9E60" w14:textId="77777777" w:rsidR="00246D8F" w:rsidRPr="00246D8F" w:rsidRDefault="00246D8F" w:rsidP="00246D8F">
      <w:pPr>
        <w:spacing w:line="276" w:lineRule="auto"/>
        <w:ind w:firstLine="567"/>
        <w:jc w:val="both"/>
        <w:rPr>
          <w:sz w:val="24"/>
        </w:rPr>
      </w:pPr>
      <w:r w:rsidRPr="00246D8F">
        <w:rPr>
          <w:sz w:val="24"/>
        </w:rPr>
        <w:t>a) UDC code;</w:t>
      </w:r>
    </w:p>
    <w:p w14:paraId="0841A87D" w14:textId="5D6C302E" w:rsidR="00246D8F" w:rsidRPr="00246D8F" w:rsidRDefault="00246D8F" w:rsidP="00246D8F">
      <w:pPr>
        <w:spacing w:line="276" w:lineRule="auto"/>
        <w:ind w:firstLine="567"/>
        <w:jc w:val="both"/>
        <w:rPr>
          <w:sz w:val="24"/>
        </w:rPr>
      </w:pPr>
      <w:r w:rsidRPr="00246D8F">
        <w:rPr>
          <w:sz w:val="24"/>
        </w:rPr>
        <w:t xml:space="preserve">b) the full title of the article in </w:t>
      </w:r>
      <w:r w:rsidR="004906B2" w:rsidRPr="00246D8F">
        <w:rPr>
          <w:sz w:val="24"/>
        </w:rPr>
        <w:t>Russian</w:t>
      </w:r>
      <w:r w:rsidRPr="00246D8F">
        <w:rPr>
          <w:sz w:val="24"/>
        </w:rPr>
        <w:t xml:space="preserve">, </w:t>
      </w:r>
      <w:r w:rsidR="004906B2" w:rsidRPr="00246D8F">
        <w:rPr>
          <w:sz w:val="24"/>
        </w:rPr>
        <w:t>Uzbek</w:t>
      </w:r>
      <w:r w:rsidRPr="00246D8F">
        <w:rPr>
          <w:sz w:val="24"/>
        </w:rPr>
        <w:t xml:space="preserve"> and </w:t>
      </w:r>
      <w:r w:rsidR="004906B2" w:rsidRPr="00246D8F">
        <w:rPr>
          <w:sz w:val="24"/>
        </w:rPr>
        <w:t>English</w:t>
      </w:r>
    </w:p>
    <w:p w14:paraId="59E96E31" w14:textId="641BE8A2" w:rsidR="00246D8F" w:rsidRPr="00246D8F" w:rsidRDefault="00246D8F" w:rsidP="00246D8F">
      <w:pPr>
        <w:spacing w:line="276" w:lineRule="auto"/>
        <w:ind w:firstLine="567"/>
        <w:jc w:val="both"/>
        <w:rPr>
          <w:sz w:val="24"/>
        </w:rPr>
      </w:pPr>
      <w:r w:rsidRPr="00246D8F">
        <w:rPr>
          <w:sz w:val="24"/>
        </w:rPr>
        <w:t>c) academic degree, academic rank, initials and surnames of the authors;</w:t>
      </w:r>
    </w:p>
    <w:p w14:paraId="6B354323" w14:textId="753D3CB8" w:rsidR="00246D8F" w:rsidRPr="00246D8F" w:rsidRDefault="00246D8F" w:rsidP="00246D8F">
      <w:pPr>
        <w:spacing w:line="276" w:lineRule="auto"/>
        <w:ind w:firstLine="567"/>
        <w:jc w:val="both"/>
        <w:rPr>
          <w:sz w:val="24"/>
        </w:rPr>
      </w:pPr>
      <w:r w:rsidRPr="00246D8F">
        <w:rPr>
          <w:sz w:val="24"/>
        </w:rPr>
        <w:t>d) the name of the institution where the work was done, with the initials and surname of the supervisor;</w:t>
      </w:r>
    </w:p>
    <w:p w14:paraId="755D80C9" w14:textId="323401C1" w:rsidR="00246D8F" w:rsidRPr="00246D8F" w:rsidRDefault="00246D8F" w:rsidP="00246D8F">
      <w:pPr>
        <w:spacing w:line="276" w:lineRule="auto"/>
        <w:ind w:firstLine="567"/>
        <w:jc w:val="both"/>
        <w:rPr>
          <w:sz w:val="24"/>
        </w:rPr>
      </w:pPr>
      <w:r w:rsidRPr="00246D8F">
        <w:rPr>
          <w:sz w:val="24"/>
        </w:rPr>
        <w:t>e) the postal e-mail address and telephone numbers of the author, with whom editorial work should be conducted;</w:t>
      </w:r>
    </w:p>
    <w:p w14:paraId="1F228E97" w14:textId="3C0DF23A" w:rsidR="00246D8F" w:rsidRPr="00246D8F" w:rsidRDefault="00246D8F" w:rsidP="00246D8F">
      <w:pPr>
        <w:spacing w:line="276" w:lineRule="auto"/>
        <w:ind w:firstLine="567"/>
        <w:jc w:val="both"/>
        <w:rPr>
          <w:sz w:val="24"/>
        </w:rPr>
      </w:pPr>
      <w:r w:rsidRPr="00246D8F">
        <w:rPr>
          <w:sz w:val="24"/>
        </w:rPr>
        <w:t>f) the visa of the head of the work or institution for the right to publish it, and at the end of the article - the signatures of all the authors;</w:t>
      </w:r>
    </w:p>
    <w:p w14:paraId="0BC4FC2B" w14:textId="22DCFA2F" w:rsidR="00246D8F" w:rsidRPr="00246D8F" w:rsidRDefault="00246D8F" w:rsidP="00246D8F">
      <w:pPr>
        <w:spacing w:line="276" w:lineRule="auto"/>
        <w:ind w:firstLine="567"/>
        <w:jc w:val="both"/>
        <w:rPr>
          <w:sz w:val="24"/>
        </w:rPr>
      </w:pPr>
      <w:r w:rsidRPr="00246D8F">
        <w:rPr>
          <w:sz w:val="24"/>
        </w:rPr>
        <w:t>g) words, which, in the opinion of the author, should be highlighted, are underlined by him in the text. Special alphabetic fonts and symbols (for example, letters of the Greek alphabet), as well as references to figures and tables are placed in the left margin when they are first mentioned;</w:t>
      </w:r>
    </w:p>
    <w:p w14:paraId="1F0AB1C6" w14:textId="385FA7E8" w:rsidR="00246D8F" w:rsidRPr="00246D8F" w:rsidRDefault="00246D8F" w:rsidP="00246D8F">
      <w:pPr>
        <w:spacing w:line="276" w:lineRule="auto"/>
        <w:ind w:firstLine="567"/>
        <w:jc w:val="both"/>
        <w:rPr>
          <w:sz w:val="24"/>
        </w:rPr>
      </w:pPr>
      <w:r w:rsidRPr="00246D8F">
        <w:rPr>
          <w:sz w:val="24"/>
        </w:rPr>
        <w:t>h) units of measurement should be expressed in units of the International System (SI); if necessary, the units of measurement in other systems may be given in parentheses after the SI unit;</w:t>
      </w:r>
    </w:p>
    <w:p w14:paraId="7852BC96" w14:textId="03DB829B" w:rsidR="00246D8F" w:rsidRPr="00246D8F" w:rsidRDefault="00246D8F" w:rsidP="00246D8F">
      <w:pPr>
        <w:spacing w:line="276" w:lineRule="auto"/>
        <w:ind w:firstLine="567"/>
        <w:jc w:val="both"/>
        <w:rPr>
          <w:sz w:val="24"/>
        </w:rPr>
      </w:pPr>
      <w:r w:rsidRPr="00246D8F">
        <w:rPr>
          <w:sz w:val="24"/>
        </w:rPr>
        <w:t>i) annotations in Russian, Uzbek and English languages are obligatory.</w:t>
      </w:r>
    </w:p>
    <w:p w14:paraId="1919C785" w14:textId="77777777" w:rsidR="00246D8F" w:rsidRPr="00246D8F" w:rsidRDefault="00246D8F" w:rsidP="00246D8F">
      <w:pPr>
        <w:spacing w:line="276" w:lineRule="auto"/>
        <w:ind w:firstLine="567"/>
        <w:jc w:val="both"/>
        <w:rPr>
          <w:sz w:val="24"/>
        </w:rPr>
      </w:pPr>
      <w:r w:rsidRPr="00246D8F">
        <w:rPr>
          <w:sz w:val="24"/>
        </w:rPr>
        <w:t>5. The article should be carefully verified and structured with the following headings:</w:t>
      </w:r>
    </w:p>
    <w:p w14:paraId="0D080B11" w14:textId="172E2BE9" w:rsidR="00246D8F" w:rsidRPr="00246D8F" w:rsidRDefault="00246D8F" w:rsidP="00246D8F">
      <w:pPr>
        <w:spacing w:line="276" w:lineRule="auto"/>
        <w:ind w:firstLine="567"/>
        <w:jc w:val="both"/>
        <w:rPr>
          <w:sz w:val="24"/>
        </w:rPr>
      </w:pPr>
      <w:r w:rsidRPr="00246D8F">
        <w:rPr>
          <w:sz w:val="24"/>
        </w:rPr>
        <w:t>- relevance,</w:t>
      </w:r>
    </w:p>
    <w:p w14:paraId="089D452D" w14:textId="61573494" w:rsidR="00246D8F" w:rsidRPr="00246D8F" w:rsidRDefault="00246D8F" w:rsidP="00246D8F">
      <w:pPr>
        <w:spacing w:line="276" w:lineRule="auto"/>
        <w:ind w:firstLine="567"/>
        <w:jc w:val="both"/>
        <w:rPr>
          <w:sz w:val="24"/>
        </w:rPr>
      </w:pPr>
      <w:r w:rsidRPr="00246D8F">
        <w:rPr>
          <w:sz w:val="24"/>
        </w:rPr>
        <w:t>- objective of the research,</w:t>
      </w:r>
    </w:p>
    <w:p w14:paraId="14737317" w14:textId="6988EEAD" w:rsidR="00246D8F" w:rsidRPr="00246D8F" w:rsidRDefault="00246D8F" w:rsidP="00246D8F">
      <w:pPr>
        <w:spacing w:line="276" w:lineRule="auto"/>
        <w:ind w:firstLine="567"/>
        <w:jc w:val="both"/>
        <w:rPr>
          <w:sz w:val="24"/>
        </w:rPr>
      </w:pPr>
      <w:r w:rsidRPr="00246D8F">
        <w:rPr>
          <w:sz w:val="24"/>
        </w:rPr>
        <w:t>- materials and methods,</w:t>
      </w:r>
    </w:p>
    <w:p w14:paraId="2C13057C" w14:textId="453945AE" w:rsidR="00246D8F" w:rsidRPr="00246D8F" w:rsidRDefault="00246D8F" w:rsidP="00246D8F">
      <w:pPr>
        <w:spacing w:line="276" w:lineRule="auto"/>
        <w:ind w:firstLine="567"/>
        <w:jc w:val="both"/>
        <w:rPr>
          <w:sz w:val="24"/>
        </w:rPr>
      </w:pPr>
      <w:r w:rsidRPr="00246D8F">
        <w:rPr>
          <w:sz w:val="24"/>
        </w:rPr>
        <w:t>- results and discussion,</w:t>
      </w:r>
    </w:p>
    <w:p w14:paraId="70C62E80" w14:textId="4132EE17" w:rsidR="00246D8F" w:rsidRPr="00246D8F" w:rsidRDefault="00246D8F" w:rsidP="00246D8F">
      <w:pPr>
        <w:spacing w:line="276" w:lineRule="auto"/>
        <w:ind w:firstLine="567"/>
        <w:jc w:val="both"/>
        <w:rPr>
          <w:sz w:val="24"/>
        </w:rPr>
      </w:pPr>
      <w:r w:rsidRPr="00246D8F">
        <w:rPr>
          <w:sz w:val="24"/>
        </w:rPr>
        <w:t>- conclusions.</w:t>
      </w:r>
    </w:p>
    <w:p w14:paraId="7DF2D723" w14:textId="77777777" w:rsidR="00246D8F" w:rsidRPr="00246D8F" w:rsidRDefault="00246D8F" w:rsidP="00246D8F">
      <w:pPr>
        <w:spacing w:line="276" w:lineRule="auto"/>
        <w:ind w:firstLine="567"/>
        <w:jc w:val="both"/>
        <w:rPr>
          <w:sz w:val="24"/>
        </w:rPr>
      </w:pPr>
      <w:r w:rsidRPr="00246D8F">
        <w:rPr>
          <w:sz w:val="24"/>
        </w:rPr>
        <w:t>The presentation of the article should be clear, without long historical introductions. Where studies without statistical processing of the material obtained is difficult to assess the reliability of the findings and conclusions, statistical processing of numerical data is mandatory.</w:t>
      </w:r>
    </w:p>
    <w:p w14:paraId="6834569E" w14:textId="77777777" w:rsidR="00246D8F" w:rsidRPr="00246D8F" w:rsidRDefault="00246D8F" w:rsidP="00246D8F">
      <w:pPr>
        <w:spacing w:line="276" w:lineRule="auto"/>
        <w:ind w:firstLine="567"/>
        <w:jc w:val="both"/>
        <w:rPr>
          <w:sz w:val="24"/>
        </w:rPr>
      </w:pPr>
      <w:r w:rsidRPr="00246D8F">
        <w:rPr>
          <w:sz w:val="24"/>
        </w:rPr>
        <w:t>6. Illustrations are presented within the text, under the figure indicates its number. Graphs and charts should not be overloaded with text captions. Microphotographs, photos, drawings should be black and white.</w:t>
      </w:r>
    </w:p>
    <w:p w14:paraId="3AEBE3CF" w14:textId="77777777" w:rsidR="00246D8F" w:rsidRPr="00246D8F" w:rsidRDefault="00246D8F" w:rsidP="00246D8F">
      <w:pPr>
        <w:spacing w:line="276" w:lineRule="auto"/>
        <w:ind w:firstLine="567"/>
        <w:jc w:val="both"/>
        <w:rPr>
          <w:sz w:val="24"/>
        </w:rPr>
      </w:pPr>
      <w:r w:rsidRPr="00246D8F">
        <w:rPr>
          <w:sz w:val="24"/>
        </w:rPr>
        <w:t>7. Tables should be typed in the text, have a name, be compact, illustrative, the headings of the columns should correspond exactly with their content. All figures should correspond to those in the text and be treated statistically.</w:t>
      </w:r>
    </w:p>
    <w:p w14:paraId="068F5212" w14:textId="77777777" w:rsidR="00246D8F" w:rsidRPr="00246D8F" w:rsidRDefault="00246D8F" w:rsidP="00246D8F">
      <w:pPr>
        <w:spacing w:line="276" w:lineRule="auto"/>
        <w:ind w:firstLine="567"/>
        <w:jc w:val="both"/>
        <w:rPr>
          <w:sz w:val="24"/>
        </w:rPr>
      </w:pPr>
      <w:r w:rsidRPr="00246D8F">
        <w:rPr>
          <w:sz w:val="24"/>
        </w:rPr>
        <w:t>8. Used drugs and methods of their administration must be approved by the Pharmacological Committee of the Ministry of Health of the Republic of Uzbekistan and allowed for clinical use.</w:t>
      </w:r>
    </w:p>
    <w:p w14:paraId="434C3629" w14:textId="77777777" w:rsidR="00246D8F" w:rsidRPr="00246D8F" w:rsidRDefault="00246D8F" w:rsidP="00246D8F">
      <w:pPr>
        <w:spacing w:line="276" w:lineRule="auto"/>
        <w:ind w:firstLine="567"/>
        <w:jc w:val="both"/>
        <w:rPr>
          <w:sz w:val="24"/>
        </w:rPr>
      </w:pPr>
      <w:r w:rsidRPr="00246D8F">
        <w:rPr>
          <w:sz w:val="24"/>
        </w:rPr>
        <w:lastRenderedPageBreak/>
        <w:t>Materials on new apparatuses, devices and instruments used in medical and social expertise and rehabilitation must have the permission of the Ministry of Health of the RUz on new medical equipment.</w:t>
      </w:r>
    </w:p>
    <w:p w14:paraId="5DC69085" w14:textId="77777777" w:rsidR="00246D8F" w:rsidRPr="00246D8F" w:rsidRDefault="00246D8F" w:rsidP="00246D8F">
      <w:pPr>
        <w:spacing w:line="276" w:lineRule="auto"/>
        <w:ind w:firstLine="567"/>
        <w:jc w:val="both"/>
        <w:rPr>
          <w:sz w:val="24"/>
        </w:rPr>
      </w:pPr>
      <w:r w:rsidRPr="00246D8F">
        <w:rPr>
          <w:sz w:val="24"/>
        </w:rPr>
        <w:t>9. Abbreviations (except for generally accepted) are not allowed. Symbols at the first mention are given in full.</w:t>
      </w:r>
    </w:p>
    <w:p w14:paraId="25A31F0D" w14:textId="77777777" w:rsidR="00246D8F" w:rsidRPr="00246D8F" w:rsidRDefault="00246D8F" w:rsidP="00246D8F">
      <w:pPr>
        <w:spacing w:line="276" w:lineRule="auto"/>
        <w:ind w:firstLine="567"/>
        <w:jc w:val="both"/>
        <w:rPr>
          <w:sz w:val="24"/>
        </w:rPr>
      </w:pPr>
      <w:r w:rsidRPr="00246D8F">
        <w:rPr>
          <w:sz w:val="24"/>
        </w:rPr>
        <w:t>10. A list of references must be appended to the article; it should be drawn up as follows:</w:t>
      </w:r>
    </w:p>
    <w:p w14:paraId="7DEAFC4D" w14:textId="77777777" w:rsidR="00246D8F" w:rsidRPr="00246D8F" w:rsidRDefault="00246D8F" w:rsidP="00246D8F">
      <w:pPr>
        <w:spacing w:line="276" w:lineRule="auto"/>
        <w:ind w:firstLine="567"/>
        <w:jc w:val="both"/>
        <w:rPr>
          <w:sz w:val="24"/>
        </w:rPr>
      </w:pPr>
      <w:r w:rsidRPr="00246D8F">
        <w:rPr>
          <w:sz w:val="24"/>
        </w:rPr>
        <w:t>The sources are given in alphabetical order with the authors' surnames and initials, first domestic, then foreign.</w:t>
      </w:r>
    </w:p>
    <w:p w14:paraId="3ADE1A39" w14:textId="77777777" w:rsidR="00246D8F" w:rsidRPr="00246D8F" w:rsidRDefault="00246D8F" w:rsidP="00246D8F">
      <w:pPr>
        <w:spacing w:line="276" w:lineRule="auto"/>
        <w:ind w:firstLine="567"/>
        <w:jc w:val="both"/>
        <w:rPr>
          <w:sz w:val="24"/>
        </w:rPr>
      </w:pPr>
      <w:r w:rsidRPr="00246D8F">
        <w:rPr>
          <w:sz w:val="24"/>
        </w:rPr>
        <w:t>Titles of books, journal articles, place of publication, publisher, year of publication, volumes and issue numbers, pages "from" and "to" are indicated in full.</w:t>
      </w:r>
    </w:p>
    <w:p w14:paraId="75A0C71C" w14:textId="77777777" w:rsidR="00246D8F" w:rsidRPr="00246D8F" w:rsidRDefault="00246D8F" w:rsidP="00246D8F">
      <w:pPr>
        <w:spacing w:line="276" w:lineRule="auto"/>
        <w:ind w:firstLine="567"/>
        <w:jc w:val="both"/>
        <w:rPr>
          <w:sz w:val="24"/>
        </w:rPr>
      </w:pPr>
      <w:r w:rsidRPr="00246D8F">
        <w:rPr>
          <w:sz w:val="24"/>
        </w:rPr>
        <w:t>The works of Russian authors published in foreign languages are placed among the works of foreign authors in the general alphabetical order, and the works of foreign authors published in Russian - among the works of Russian authors in the general alphabetical order.</w:t>
      </w:r>
    </w:p>
    <w:p w14:paraId="3403652C" w14:textId="77777777" w:rsidR="00246D8F" w:rsidRPr="00246D8F" w:rsidRDefault="00246D8F" w:rsidP="00246D8F">
      <w:pPr>
        <w:spacing w:line="276" w:lineRule="auto"/>
        <w:ind w:firstLine="567"/>
        <w:jc w:val="both"/>
        <w:rPr>
          <w:sz w:val="24"/>
        </w:rPr>
      </w:pPr>
      <w:r w:rsidRPr="00246D8F">
        <w:rPr>
          <w:sz w:val="24"/>
        </w:rPr>
        <w:t>All sources should be numbered, and their numbering must strictly correspond to the numbering in the text of the article.</w:t>
      </w:r>
    </w:p>
    <w:p w14:paraId="014D2753" w14:textId="77777777" w:rsidR="00246D8F" w:rsidRPr="00246D8F" w:rsidRDefault="00246D8F" w:rsidP="00246D8F">
      <w:pPr>
        <w:spacing w:line="276" w:lineRule="auto"/>
        <w:ind w:firstLine="567"/>
        <w:jc w:val="both"/>
        <w:rPr>
          <w:sz w:val="24"/>
        </w:rPr>
      </w:pPr>
      <w:r w:rsidRPr="00246D8F">
        <w:rPr>
          <w:sz w:val="24"/>
        </w:rPr>
        <w:t>If several works of the same author are cited (including co-authorship), they should be arranged in chronological order.</w:t>
      </w:r>
    </w:p>
    <w:p w14:paraId="07EA4292" w14:textId="77777777" w:rsidR="00246D8F" w:rsidRPr="00246D8F" w:rsidRDefault="00246D8F" w:rsidP="00246D8F">
      <w:pPr>
        <w:spacing w:line="276" w:lineRule="auto"/>
        <w:ind w:firstLine="567"/>
        <w:jc w:val="both"/>
        <w:rPr>
          <w:sz w:val="24"/>
        </w:rPr>
      </w:pPr>
      <w:r w:rsidRPr="00246D8F">
        <w:rPr>
          <w:sz w:val="24"/>
        </w:rPr>
        <w:t>When referring to the abstracts of theses and dissertations, their titles should be given.</w:t>
      </w:r>
    </w:p>
    <w:p w14:paraId="41087CFC" w14:textId="77777777" w:rsidR="00246D8F" w:rsidRPr="00246D8F" w:rsidRDefault="00246D8F" w:rsidP="00246D8F">
      <w:pPr>
        <w:spacing w:line="276" w:lineRule="auto"/>
        <w:ind w:firstLine="567"/>
        <w:jc w:val="both"/>
        <w:rPr>
          <w:sz w:val="24"/>
        </w:rPr>
      </w:pPr>
      <w:r w:rsidRPr="00246D8F">
        <w:rPr>
          <w:sz w:val="24"/>
        </w:rPr>
        <w:t>It is not allowed to refer to unpublished works. The author is responsible for the accuracy of the bibliography.</w:t>
      </w:r>
    </w:p>
    <w:p w14:paraId="7DAF9963" w14:textId="77777777" w:rsidR="00246D8F" w:rsidRPr="00246D8F" w:rsidRDefault="00246D8F" w:rsidP="00246D8F">
      <w:pPr>
        <w:spacing w:line="276" w:lineRule="auto"/>
        <w:ind w:firstLine="567"/>
        <w:jc w:val="both"/>
        <w:rPr>
          <w:sz w:val="24"/>
        </w:rPr>
      </w:pPr>
      <w:r w:rsidRPr="00246D8F">
        <w:rPr>
          <w:sz w:val="24"/>
        </w:rPr>
        <w:t>11. Submitting articles published in other editions or sent for publication to other editorial boards is not allowed.</w:t>
      </w:r>
    </w:p>
    <w:p w14:paraId="18E16681" w14:textId="549C5836" w:rsidR="009C16A8" w:rsidRPr="00246D8F" w:rsidRDefault="00246D8F" w:rsidP="00246D8F">
      <w:pPr>
        <w:spacing w:line="276" w:lineRule="auto"/>
        <w:ind w:firstLine="567"/>
        <w:jc w:val="both"/>
        <w:rPr>
          <w:sz w:val="24"/>
        </w:rPr>
      </w:pPr>
      <w:r w:rsidRPr="00246D8F">
        <w:rPr>
          <w:sz w:val="24"/>
        </w:rPr>
        <w:t>12. If the above rules are not followed, the articles will be returned to the authors without consideration.</w:t>
      </w:r>
    </w:p>
    <w:p w14:paraId="45501574" w14:textId="2C53E5E6" w:rsidR="009C16A8" w:rsidRPr="00246D8F" w:rsidRDefault="009C16A8" w:rsidP="0068419D">
      <w:pPr>
        <w:spacing w:line="276" w:lineRule="auto"/>
        <w:ind w:firstLine="567"/>
        <w:jc w:val="both"/>
        <w:rPr>
          <w:sz w:val="24"/>
          <w:lang w:val="uz-Latn-UZ"/>
        </w:rPr>
      </w:pPr>
    </w:p>
    <w:p w14:paraId="29A76B78" w14:textId="16D295F1" w:rsidR="009C16A8" w:rsidRDefault="009C16A8" w:rsidP="0068419D">
      <w:pPr>
        <w:spacing w:line="276" w:lineRule="auto"/>
        <w:ind w:firstLine="567"/>
        <w:jc w:val="both"/>
        <w:rPr>
          <w:sz w:val="24"/>
          <w:lang w:val="uz-Latn-UZ"/>
        </w:rPr>
      </w:pPr>
    </w:p>
    <w:p w14:paraId="27CEECA2" w14:textId="4858D187" w:rsidR="009C16A8" w:rsidRDefault="009C16A8" w:rsidP="0068419D">
      <w:pPr>
        <w:spacing w:line="276" w:lineRule="auto"/>
        <w:ind w:firstLine="567"/>
        <w:jc w:val="both"/>
        <w:rPr>
          <w:sz w:val="24"/>
          <w:lang w:val="uz-Latn-UZ"/>
        </w:rPr>
      </w:pPr>
    </w:p>
    <w:p w14:paraId="126AF73F" w14:textId="2C9BDF24" w:rsidR="009C16A8" w:rsidRDefault="009C16A8" w:rsidP="0068419D">
      <w:pPr>
        <w:spacing w:line="276" w:lineRule="auto"/>
        <w:ind w:firstLine="567"/>
        <w:jc w:val="both"/>
        <w:rPr>
          <w:sz w:val="24"/>
          <w:lang w:val="uz-Latn-UZ"/>
        </w:rPr>
      </w:pPr>
    </w:p>
    <w:p w14:paraId="72CC24D8" w14:textId="1CAE5839" w:rsidR="009C16A8" w:rsidRDefault="009C16A8" w:rsidP="0068419D">
      <w:pPr>
        <w:spacing w:line="276" w:lineRule="auto"/>
        <w:ind w:firstLine="567"/>
        <w:jc w:val="both"/>
        <w:rPr>
          <w:sz w:val="24"/>
          <w:lang w:val="uz-Latn-UZ"/>
        </w:rPr>
      </w:pPr>
    </w:p>
    <w:p w14:paraId="677B4FF5" w14:textId="00B74E43" w:rsidR="009C16A8" w:rsidRDefault="009C16A8" w:rsidP="0068419D">
      <w:pPr>
        <w:spacing w:line="276" w:lineRule="auto"/>
        <w:ind w:firstLine="567"/>
        <w:jc w:val="both"/>
        <w:rPr>
          <w:sz w:val="24"/>
          <w:lang w:val="uz-Latn-UZ"/>
        </w:rPr>
      </w:pPr>
    </w:p>
    <w:p w14:paraId="1342152B" w14:textId="16FA26DB" w:rsidR="009C16A8" w:rsidRDefault="009C16A8" w:rsidP="0068419D">
      <w:pPr>
        <w:spacing w:line="276" w:lineRule="auto"/>
        <w:ind w:firstLine="567"/>
        <w:jc w:val="both"/>
        <w:rPr>
          <w:sz w:val="24"/>
          <w:lang w:val="uz-Latn-UZ"/>
        </w:rPr>
      </w:pPr>
    </w:p>
    <w:sectPr w:rsidR="009C16A8" w:rsidSect="00995DC2">
      <w:type w:val="continuous"/>
      <w:pgSz w:w="11907" w:h="16840" w:code="9"/>
      <w:pgMar w:top="1418" w:right="1134" w:bottom="1134" w:left="1134" w:header="90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60584" w14:textId="77777777" w:rsidR="00A012A1" w:rsidRDefault="00A012A1" w:rsidP="00F66381">
      <w:r>
        <w:separator/>
      </w:r>
    </w:p>
  </w:endnote>
  <w:endnote w:type="continuationSeparator" w:id="0">
    <w:p w14:paraId="26E0928F" w14:textId="77777777" w:rsidR="00A012A1" w:rsidRDefault="00A012A1" w:rsidP="00F6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noPro-SmText">
    <w:altName w:val="MS Mincho"/>
    <w:charset w:val="80"/>
    <w:family w:val="roman"/>
    <w:pitch w:val="default"/>
    <w:sig w:usb0="00000000"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636526"/>
      <w:docPartObj>
        <w:docPartGallery w:val="Page Numbers (Bottom of Page)"/>
        <w:docPartUnique/>
      </w:docPartObj>
    </w:sdtPr>
    <w:sdtEndPr>
      <w:rPr>
        <w:noProof/>
      </w:rPr>
    </w:sdtEndPr>
    <w:sdtContent>
      <w:p w14:paraId="4F47DFE1" w14:textId="08362E24" w:rsidR="00963FC6" w:rsidRDefault="00963FC6" w:rsidP="008664B6">
        <w:pPr>
          <w:jc w:val="center"/>
        </w:pPr>
        <w:r w:rsidRPr="008664B6">
          <w:rPr>
            <w:noProof/>
            <w:sz w:val="22"/>
          </w:rPr>
          <mc:AlternateContent>
            <mc:Choice Requires="wps">
              <w:drawing>
                <wp:anchor distT="0" distB="0" distL="114300" distR="114300" simplePos="0" relativeHeight="251665408" behindDoc="0" locked="0" layoutInCell="1" allowOverlap="1" wp14:anchorId="21ABEC29" wp14:editId="0FC3E2E8">
                  <wp:simplePos x="0" y="0"/>
                  <wp:positionH relativeFrom="margin">
                    <wp:align>right</wp:align>
                  </wp:positionH>
                  <wp:positionV relativeFrom="paragraph">
                    <wp:posOffset>91440</wp:posOffset>
                  </wp:positionV>
                  <wp:extent cx="2771775" cy="0"/>
                  <wp:effectExtent l="0" t="0" r="0" b="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6F3E1E5E" id="Прямая соединительная линия 17" o:spid="_x0000_s1026" style="position:absolute;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67.05pt,7.2pt" to="385.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" strokecolor="#4472c4 [3204]" strokeweight="1.5pt">
                  <v:stroke joinstyle="miter"/>
                  <w10:wrap anchorx="margin"/>
                </v:line>
              </w:pict>
            </mc:Fallback>
          </mc:AlternateContent>
        </w:r>
        <w:r w:rsidRPr="008664B6">
          <w:rPr>
            <w:noProof/>
            <w:sz w:val="22"/>
          </w:rPr>
          <mc:AlternateContent>
            <mc:Choice Requires="wps">
              <w:drawing>
                <wp:anchor distT="0" distB="0" distL="114300" distR="114300" simplePos="0" relativeHeight="251663360" behindDoc="0" locked="0" layoutInCell="1" allowOverlap="1" wp14:anchorId="790935AC" wp14:editId="058E3756">
                  <wp:simplePos x="0" y="0"/>
                  <wp:positionH relativeFrom="column">
                    <wp:posOffset>0</wp:posOffset>
                  </wp:positionH>
                  <wp:positionV relativeFrom="paragraph">
                    <wp:posOffset>99060</wp:posOffset>
                  </wp:positionV>
                  <wp:extent cx="2771775"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79EC71A" id="Прямая соединительная линия 1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8pt" to="218.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" strokecolor="#4472c4 [3204]" strokeweight="1.5pt">
                  <v:stroke joinstyle="miter"/>
                </v:line>
              </w:pict>
            </mc:Fallback>
          </mc:AlternateContent>
        </w:r>
        <w:r w:rsidRPr="008664B6">
          <w:rPr>
            <w:sz w:val="24"/>
            <w:szCs w:val="20"/>
          </w:rPr>
          <w:fldChar w:fldCharType="begin"/>
        </w:r>
        <w:r w:rsidRPr="008664B6">
          <w:rPr>
            <w:sz w:val="24"/>
            <w:szCs w:val="20"/>
          </w:rPr>
          <w:instrText xml:space="preserve"> PAGE   \* MERGEFORMAT </w:instrText>
        </w:r>
        <w:r w:rsidRPr="008664B6">
          <w:rPr>
            <w:sz w:val="24"/>
            <w:szCs w:val="20"/>
          </w:rPr>
          <w:fldChar w:fldCharType="separate"/>
        </w:r>
        <w:r w:rsidRPr="008664B6">
          <w:rPr>
            <w:noProof/>
            <w:sz w:val="24"/>
            <w:szCs w:val="20"/>
          </w:rPr>
          <w:t>2</w:t>
        </w:r>
        <w:r w:rsidRPr="008664B6">
          <w:rPr>
            <w:noProof/>
            <w:sz w:val="24"/>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460774"/>
      <w:docPartObj>
        <w:docPartGallery w:val="Page Numbers (Bottom of Page)"/>
        <w:docPartUnique/>
      </w:docPartObj>
    </w:sdtPr>
    <w:sdtEndPr>
      <w:rPr>
        <w:noProof/>
      </w:rPr>
    </w:sdtEndPr>
    <w:sdtContent>
      <w:p w14:paraId="1A1A87A4" w14:textId="7198FB2B" w:rsidR="00963FC6" w:rsidRDefault="00963FC6" w:rsidP="00F7435E">
        <w:pPr>
          <w:jc w:val="center"/>
        </w:pPr>
        <w:r>
          <w:rPr>
            <w:noProof/>
            <w:sz w:val="24"/>
            <w:szCs w:val="24"/>
          </w:rPr>
          <mc:AlternateContent>
            <mc:Choice Requires="wps">
              <w:drawing>
                <wp:anchor distT="0" distB="0" distL="114300" distR="114300" simplePos="0" relativeHeight="251661312" behindDoc="0" locked="0" layoutInCell="1" allowOverlap="1" wp14:anchorId="534FB052" wp14:editId="4A5D5B99">
                  <wp:simplePos x="0" y="0"/>
                  <wp:positionH relativeFrom="margin">
                    <wp:align>right</wp:align>
                  </wp:positionH>
                  <wp:positionV relativeFrom="paragraph">
                    <wp:posOffset>94071</wp:posOffset>
                  </wp:positionV>
                  <wp:extent cx="2771775"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5728D89" id="Прямая соединительная линия 11" o:spid="_x0000_s1026" style="position:absolute;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67.05pt,7.4pt" to="385.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" strokecolor="#4472c4 [3204]" strokeweight="1.5pt">
                  <v:stroke joinstyle="miter"/>
                  <w10:wrap anchorx="margin"/>
                </v:line>
              </w:pict>
            </mc:Fallback>
          </mc:AlternateContent>
        </w:r>
        <w:r>
          <w:rPr>
            <w:noProof/>
            <w:sz w:val="24"/>
            <w:szCs w:val="24"/>
          </w:rPr>
          <mc:AlternateContent>
            <mc:Choice Requires="wps">
              <w:drawing>
                <wp:anchor distT="0" distB="0" distL="114300" distR="114300" simplePos="0" relativeHeight="251659264" behindDoc="0" locked="0" layoutInCell="1" allowOverlap="1" wp14:anchorId="2DE05249" wp14:editId="02AD079A">
                  <wp:simplePos x="0" y="0"/>
                  <wp:positionH relativeFrom="column">
                    <wp:posOffset>1270</wp:posOffset>
                  </wp:positionH>
                  <wp:positionV relativeFrom="paragraph">
                    <wp:posOffset>81243</wp:posOffset>
                  </wp:positionV>
                  <wp:extent cx="277200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2772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269295B" id="Прямая соединительная линия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4pt" to="218.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" strokecolor="#4472c4 [3204]" strokeweight="1.5pt">
                  <v:stroke joinstyle="miter"/>
                </v:line>
              </w:pict>
            </mc:Fallback>
          </mc:AlternateContent>
        </w:r>
        <w:r w:rsidRPr="00003D57">
          <w:rPr>
            <w:sz w:val="24"/>
            <w:szCs w:val="24"/>
          </w:rPr>
          <w:fldChar w:fldCharType="begin"/>
        </w:r>
        <w:r w:rsidRPr="00003D57">
          <w:rPr>
            <w:sz w:val="24"/>
            <w:szCs w:val="24"/>
          </w:rPr>
          <w:instrText xml:space="preserve"> PAGE   \* MERGEFORMAT </w:instrText>
        </w:r>
        <w:r w:rsidRPr="00003D57">
          <w:rPr>
            <w:sz w:val="24"/>
            <w:szCs w:val="24"/>
          </w:rPr>
          <w:fldChar w:fldCharType="separate"/>
        </w:r>
        <w:r w:rsidRPr="00003D57">
          <w:rPr>
            <w:noProof/>
            <w:sz w:val="24"/>
            <w:szCs w:val="24"/>
          </w:rPr>
          <w:t>2</w:t>
        </w:r>
        <w:r w:rsidRPr="00003D57">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86D52" w14:textId="77777777" w:rsidR="00A012A1" w:rsidRDefault="00A012A1" w:rsidP="00F66381">
      <w:r>
        <w:separator/>
      </w:r>
    </w:p>
  </w:footnote>
  <w:footnote w:type="continuationSeparator" w:id="0">
    <w:p w14:paraId="717DDDD3" w14:textId="77777777" w:rsidR="00A012A1" w:rsidRDefault="00A012A1" w:rsidP="00F66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A5E7" w14:textId="31EB276A" w:rsidR="00963FC6" w:rsidRPr="001A63B5" w:rsidRDefault="001A63B5" w:rsidP="003E74E6">
    <w:pPr>
      <w:pStyle w:val="a6"/>
      <w:pBdr>
        <w:bottom w:val="thickThinSmallGap" w:sz="12" w:space="1" w:color="2E74B5" w:themeColor="accent5" w:themeShade="BF"/>
      </w:pBdr>
      <w:ind w:left="0"/>
      <w:rPr>
        <w:sz w:val="20"/>
        <w:szCs w:val="16"/>
      </w:rPr>
    </w:pPr>
    <w:r w:rsidRPr="001A63B5">
      <w:rPr>
        <w:sz w:val="20"/>
        <w:szCs w:val="16"/>
      </w:rPr>
      <w:t xml:space="preserve">Tashkent Medical Academy - </w:t>
    </w:r>
    <w:r w:rsidR="00334D54" w:rsidRPr="00334D54">
      <w:rPr>
        <w:sz w:val="20"/>
        <w:szCs w:val="16"/>
      </w:rPr>
      <w:t>Medical Journal of Young Scientists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A944" w14:textId="7454DA77" w:rsidR="00963FC6" w:rsidRPr="00631BAD" w:rsidRDefault="00983425" w:rsidP="003E74E6">
    <w:pPr>
      <w:pStyle w:val="a6"/>
      <w:pBdr>
        <w:bottom w:val="thickThinSmallGap" w:sz="12" w:space="1" w:color="2E74B5" w:themeColor="accent5" w:themeShade="BF"/>
      </w:pBdr>
      <w:ind w:left="0"/>
      <w:jc w:val="right"/>
      <w:rPr>
        <w:sz w:val="20"/>
        <w:szCs w:val="16"/>
        <w:lang w:val="ru-RU"/>
      </w:rPr>
    </w:pPr>
    <w:r>
      <w:rPr>
        <w:sz w:val="20"/>
        <w:szCs w:val="16"/>
        <w:lang w:val="ru-RU"/>
      </w:rPr>
      <w:t>№ 1 (06) 2022 -</w:t>
    </w:r>
    <w:r w:rsidR="004528EA">
      <w:rPr>
        <w:sz w:val="20"/>
        <w:szCs w:val="16"/>
      </w:rPr>
      <w:t xml:space="preserve"> </w:t>
    </w:r>
    <w:r w:rsidR="004528EA" w:rsidRPr="004528EA">
      <w:rPr>
        <w:sz w:val="20"/>
        <w:szCs w:val="16"/>
        <w:lang w:val="ru-RU"/>
      </w:rPr>
      <w:t>ISSN 2181-3485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35pt;height:11.35pt" o:bullet="t">
        <v:imagedata r:id="rId1" o:title="mso9FAB"/>
      </v:shape>
    </w:pict>
  </w:numPicBullet>
  <w:abstractNum w:abstractNumId="0" w15:restartNumberingAfterBreak="0">
    <w:nsid w:val="0AF75368"/>
    <w:multiLevelType w:val="hybridMultilevel"/>
    <w:tmpl w:val="098A3F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EE10891"/>
    <w:multiLevelType w:val="hybridMultilevel"/>
    <w:tmpl w:val="79D0B28C"/>
    <w:lvl w:ilvl="0" w:tplc="997A56AC">
      <w:start w:val="3"/>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EFE5A10"/>
    <w:multiLevelType w:val="hybridMultilevel"/>
    <w:tmpl w:val="C634727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3BA67CC"/>
    <w:multiLevelType w:val="hybridMultilevel"/>
    <w:tmpl w:val="7ACA34D8"/>
    <w:lvl w:ilvl="0" w:tplc="FFFFFFFF">
      <w:start w:val="1"/>
      <w:numFmt w:val="decimal"/>
      <w:lvlText w:val="%1."/>
      <w:lvlJc w:val="left"/>
      <w:pPr>
        <w:ind w:left="1287" w:hanging="360"/>
      </w:pPr>
      <w:rPr>
        <w:lang w:val="ru-RU"/>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153D6839"/>
    <w:multiLevelType w:val="hybridMultilevel"/>
    <w:tmpl w:val="5638355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6659A2"/>
    <w:multiLevelType w:val="multilevel"/>
    <w:tmpl w:val="41E0A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10B09"/>
    <w:multiLevelType w:val="hybridMultilevel"/>
    <w:tmpl w:val="3146BBA8"/>
    <w:lvl w:ilvl="0" w:tplc="E5744F9A">
      <w:start w:val="1"/>
      <w:numFmt w:val="decimal"/>
      <w:lvlText w:val="%1."/>
      <w:lvlJc w:val="left"/>
      <w:pPr>
        <w:ind w:left="465" w:hanging="465"/>
      </w:pPr>
      <w:rPr>
        <w:rFonts w:eastAsia="Calibr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A10CE2"/>
    <w:multiLevelType w:val="hybridMultilevel"/>
    <w:tmpl w:val="E25C8A3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B1F2A06"/>
    <w:multiLevelType w:val="hybridMultilevel"/>
    <w:tmpl w:val="E47C30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DFF67A6"/>
    <w:multiLevelType w:val="hybridMultilevel"/>
    <w:tmpl w:val="540004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DC4E0A"/>
    <w:multiLevelType w:val="hybridMultilevel"/>
    <w:tmpl w:val="5EF8CE5A"/>
    <w:lvl w:ilvl="0" w:tplc="9522BE4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1" w15:restartNumberingAfterBreak="0">
    <w:nsid w:val="210E53EC"/>
    <w:multiLevelType w:val="hybridMultilevel"/>
    <w:tmpl w:val="7D78D2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757516"/>
    <w:multiLevelType w:val="hybridMultilevel"/>
    <w:tmpl w:val="3DC03E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FBF78C7"/>
    <w:multiLevelType w:val="hybridMultilevel"/>
    <w:tmpl w:val="806E7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F61FF0"/>
    <w:multiLevelType w:val="hybridMultilevel"/>
    <w:tmpl w:val="B7F0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E36A3"/>
    <w:multiLevelType w:val="hybridMultilevel"/>
    <w:tmpl w:val="BF20E750"/>
    <w:lvl w:ilvl="0" w:tplc="4C8C1464">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160FF"/>
    <w:multiLevelType w:val="hybridMultilevel"/>
    <w:tmpl w:val="AD843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641135"/>
    <w:multiLevelType w:val="hybridMultilevel"/>
    <w:tmpl w:val="8056F4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0E8427C"/>
    <w:multiLevelType w:val="hybridMultilevel"/>
    <w:tmpl w:val="36B8A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53330F"/>
    <w:multiLevelType w:val="hybridMultilevel"/>
    <w:tmpl w:val="1BCCACC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44301FA"/>
    <w:multiLevelType w:val="hybridMultilevel"/>
    <w:tmpl w:val="8584898E"/>
    <w:lvl w:ilvl="0" w:tplc="144AA1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8577953"/>
    <w:multiLevelType w:val="hybridMultilevel"/>
    <w:tmpl w:val="57C6B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9113E1"/>
    <w:multiLevelType w:val="hybridMultilevel"/>
    <w:tmpl w:val="C1DCAEFE"/>
    <w:lvl w:ilvl="0" w:tplc="C694A6D4">
      <w:start w:val="1"/>
      <w:numFmt w:val="decimal"/>
      <w:lvlText w:val="%1."/>
      <w:lvlJc w:val="left"/>
      <w:pPr>
        <w:tabs>
          <w:tab w:val="num" w:pos="2629"/>
        </w:tabs>
        <w:ind w:left="2629" w:hanging="360"/>
      </w:pPr>
      <w:rPr>
        <w:rFonts w:cs="Times New Roman"/>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C34A0D"/>
    <w:multiLevelType w:val="hybridMultilevel"/>
    <w:tmpl w:val="52143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D252552"/>
    <w:multiLevelType w:val="hybridMultilevel"/>
    <w:tmpl w:val="F6E08B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D2C2F05"/>
    <w:multiLevelType w:val="hybridMultilevel"/>
    <w:tmpl w:val="DBBC5568"/>
    <w:lvl w:ilvl="0" w:tplc="9F120D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F72508E"/>
    <w:multiLevelType w:val="hybridMultilevel"/>
    <w:tmpl w:val="6F8E2C20"/>
    <w:lvl w:ilvl="0" w:tplc="4460848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DE03C2"/>
    <w:multiLevelType w:val="hybridMultilevel"/>
    <w:tmpl w:val="7ACA34D8"/>
    <w:lvl w:ilvl="0" w:tplc="CCF46046">
      <w:start w:val="1"/>
      <w:numFmt w:val="decimal"/>
      <w:lvlText w:val="%1."/>
      <w:lvlJc w:val="left"/>
      <w:pPr>
        <w:ind w:left="1287" w:hanging="360"/>
      </w:pPr>
      <w:rPr>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0811238"/>
    <w:multiLevelType w:val="hybridMultilevel"/>
    <w:tmpl w:val="543019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16113B8"/>
    <w:multiLevelType w:val="hybridMultilevel"/>
    <w:tmpl w:val="3A46E3A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B366BD"/>
    <w:multiLevelType w:val="hybridMultilevel"/>
    <w:tmpl w:val="DFA2CDD4"/>
    <w:lvl w:ilvl="0" w:tplc="DE701354">
      <w:start w:val="1"/>
      <w:numFmt w:val="decimal"/>
      <w:lvlText w:val="%1-"/>
      <w:lvlJc w:val="left"/>
      <w:pPr>
        <w:ind w:left="6960" w:hanging="360"/>
      </w:pPr>
      <w:rPr>
        <w:rFonts w:hint="default"/>
      </w:rPr>
    </w:lvl>
    <w:lvl w:ilvl="1" w:tplc="04190019" w:tentative="1">
      <w:start w:val="1"/>
      <w:numFmt w:val="lowerLetter"/>
      <w:lvlText w:val="%2."/>
      <w:lvlJc w:val="left"/>
      <w:pPr>
        <w:ind w:left="7680" w:hanging="360"/>
      </w:pPr>
    </w:lvl>
    <w:lvl w:ilvl="2" w:tplc="0419001B" w:tentative="1">
      <w:start w:val="1"/>
      <w:numFmt w:val="lowerRoman"/>
      <w:lvlText w:val="%3."/>
      <w:lvlJc w:val="right"/>
      <w:pPr>
        <w:ind w:left="8400" w:hanging="180"/>
      </w:pPr>
    </w:lvl>
    <w:lvl w:ilvl="3" w:tplc="0419000F" w:tentative="1">
      <w:start w:val="1"/>
      <w:numFmt w:val="decimal"/>
      <w:lvlText w:val="%4."/>
      <w:lvlJc w:val="left"/>
      <w:pPr>
        <w:ind w:left="9120" w:hanging="360"/>
      </w:pPr>
    </w:lvl>
    <w:lvl w:ilvl="4" w:tplc="04190019" w:tentative="1">
      <w:start w:val="1"/>
      <w:numFmt w:val="lowerLetter"/>
      <w:lvlText w:val="%5."/>
      <w:lvlJc w:val="left"/>
      <w:pPr>
        <w:ind w:left="9840" w:hanging="360"/>
      </w:pPr>
    </w:lvl>
    <w:lvl w:ilvl="5" w:tplc="0419001B" w:tentative="1">
      <w:start w:val="1"/>
      <w:numFmt w:val="lowerRoman"/>
      <w:lvlText w:val="%6."/>
      <w:lvlJc w:val="right"/>
      <w:pPr>
        <w:ind w:left="10560" w:hanging="180"/>
      </w:pPr>
    </w:lvl>
    <w:lvl w:ilvl="6" w:tplc="0419000F" w:tentative="1">
      <w:start w:val="1"/>
      <w:numFmt w:val="decimal"/>
      <w:lvlText w:val="%7."/>
      <w:lvlJc w:val="left"/>
      <w:pPr>
        <w:ind w:left="11280" w:hanging="360"/>
      </w:pPr>
    </w:lvl>
    <w:lvl w:ilvl="7" w:tplc="04190019" w:tentative="1">
      <w:start w:val="1"/>
      <w:numFmt w:val="lowerLetter"/>
      <w:lvlText w:val="%8."/>
      <w:lvlJc w:val="left"/>
      <w:pPr>
        <w:ind w:left="12000" w:hanging="360"/>
      </w:pPr>
    </w:lvl>
    <w:lvl w:ilvl="8" w:tplc="0419001B" w:tentative="1">
      <w:start w:val="1"/>
      <w:numFmt w:val="lowerRoman"/>
      <w:lvlText w:val="%9."/>
      <w:lvlJc w:val="right"/>
      <w:pPr>
        <w:ind w:left="12720" w:hanging="180"/>
      </w:pPr>
    </w:lvl>
  </w:abstractNum>
  <w:abstractNum w:abstractNumId="31" w15:restartNumberingAfterBreak="0">
    <w:nsid w:val="644E58B6"/>
    <w:multiLevelType w:val="hybridMultilevel"/>
    <w:tmpl w:val="0108081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46E1087"/>
    <w:multiLevelType w:val="hybridMultilevel"/>
    <w:tmpl w:val="49A252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665065E3"/>
    <w:multiLevelType w:val="hybridMultilevel"/>
    <w:tmpl w:val="1368FB0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827665F"/>
    <w:multiLevelType w:val="hybridMultilevel"/>
    <w:tmpl w:val="0FB86244"/>
    <w:lvl w:ilvl="0" w:tplc="CB2265B8">
      <w:start w:val="1"/>
      <w:numFmt w:val="decimal"/>
      <w:lvlText w:val="%1."/>
      <w:lvlJc w:val="left"/>
      <w:pPr>
        <w:ind w:left="465" w:hanging="465"/>
      </w:pPr>
      <w:rPr>
        <w:rFonts w:eastAsia="Calibr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D8744E"/>
    <w:multiLevelType w:val="hybridMultilevel"/>
    <w:tmpl w:val="C61CBDEE"/>
    <w:lvl w:ilvl="0" w:tplc="02D40224">
      <w:start w:val="1"/>
      <w:numFmt w:val="decimal"/>
      <w:lvlText w:val="%1."/>
      <w:lvlJc w:val="left"/>
      <w:pPr>
        <w:ind w:left="1069" w:hanging="360"/>
      </w:pPr>
      <w:rPr>
        <w:rFonts w:ascii="Times New Roman" w:eastAsia="Times New Roman" w:hAnsi="Times New Roman" w:cs="Times New Roman" w:hint="default"/>
        <w:color w:val="212121"/>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8FA7B4F"/>
    <w:multiLevelType w:val="hybridMultilevel"/>
    <w:tmpl w:val="D6260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3027DA"/>
    <w:multiLevelType w:val="hybridMultilevel"/>
    <w:tmpl w:val="069834D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69A94F8B"/>
    <w:multiLevelType w:val="hybridMultilevel"/>
    <w:tmpl w:val="C0F8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340D01"/>
    <w:multiLevelType w:val="hybridMultilevel"/>
    <w:tmpl w:val="358E04B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6F6B1BE9"/>
    <w:multiLevelType w:val="hybridMultilevel"/>
    <w:tmpl w:val="EE248D3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FD21D05"/>
    <w:multiLevelType w:val="hybridMultilevel"/>
    <w:tmpl w:val="1E7A8ED0"/>
    <w:lvl w:ilvl="0" w:tplc="60EA8696">
      <w:start w:val="9"/>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F304EC"/>
    <w:multiLevelType w:val="hybridMultilevel"/>
    <w:tmpl w:val="02143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A02063"/>
    <w:multiLevelType w:val="hybridMultilevel"/>
    <w:tmpl w:val="3BA23EE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93A7EE2"/>
    <w:multiLevelType w:val="hybridMultilevel"/>
    <w:tmpl w:val="15D4D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0"/>
  </w:num>
  <w:num w:numId="3">
    <w:abstractNumId w:val="33"/>
  </w:num>
  <w:num w:numId="4">
    <w:abstractNumId w:val="7"/>
  </w:num>
  <w:num w:numId="5">
    <w:abstractNumId w:val="19"/>
  </w:num>
  <w:num w:numId="6">
    <w:abstractNumId w:val="9"/>
  </w:num>
  <w:num w:numId="7">
    <w:abstractNumId w:val="32"/>
  </w:num>
  <w:num w:numId="8">
    <w:abstractNumId w:val="12"/>
  </w:num>
  <w:num w:numId="9">
    <w:abstractNumId w:val="31"/>
  </w:num>
  <w:num w:numId="10">
    <w:abstractNumId w:val="39"/>
  </w:num>
  <w:num w:numId="11">
    <w:abstractNumId w:val="2"/>
  </w:num>
  <w:num w:numId="12">
    <w:abstractNumId w:val="28"/>
  </w:num>
  <w:num w:numId="13">
    <w:abstractNumId w:val="4"/>
  </w:num>
  <w:num w:numId="14">
    <w:abstractNumId w:val="11"/>
  </w:num>
  <w:num w:numId="15">
    <w:abstractNumId w:val="29"/>
  </w:num>
  <w:num w:numId="16">
    <w:abstractNumId w:val="1"/>
  </w:num>
  <w:num w:numId="17">
    <w:abstractNumId w:val="8"/>
  </w:num>
  <w:num w:numId="18">
    <w:abstractNumId w:val="43"/>
  </w:num>
  <w:num w:numId="19">
    <w:abstractNumId w:val="0"/>
  </w:num>
  <w:num w:numId="20">
    <w:abstractNumId w:val="37"/>
  </w:num>
  <w:num w:numId="21">
    <w:abstractNumId w:val="24"/>
  </w:num>
  <w:num w:numId="22">
    <w:abstractNumId w:val="21"/>
  </w:num>
  <w:num w:numId="23">
    <w:abstractNumId w:val="23"/>
  </w:num>
  <w:num w:numId="24">
    <w:abstractNumId w:val="36"/>
  </w:num>
  <w:num w:numId="25">
    <w:abstractNumId w:val="16"/>
  </w:num>
  <w:num w:numId="26">
    <w:abstractNumId w:val="35"/>
  </w:num>
  <w:num w:numId="27">
    <w:abstractNumId w:val="41"/>
  </w:num>
  <w:num w:numId="28">
    <w:abstractNumId w:val="38"/>
  </w:num>
  <w:num w:numId="29">
    <w:abstractNumId w:val="15"/>
  </w:num>
  <w:num w:numId="30">
    <w:abstractNumId w:val="13"/>
  </w:num>
  <w:num w:numId="31">
    <w:abstractNumId w:val="25"/>
  </w:num>
  <w:num w:numId="32">
    <w:abstractNumId w:val="22"/>
  </w:num>
  <w:num w:numId="33">
    <w:abstractNumId w:val="44"/>
  </w:num>
  <w:num w:numId="34">
    <w:abstractNumId w:val="26"/>
  </w:num>
  <w:num w:numId="35">
    <w:abstractNumId w:val="27"/>
  </w:num>
  <w:num w:numId="36">
    <w:abstractNumId w:val="3"/>
  </w:num>
  <w:num w:numId="37">
    <w:abstractNumId w:val="14"/>
  </w:num>
  <w:num w:numId="38">
    <w:abstractNumId w:val="18"/>
  </w:num>
  <w:num w:numId="39">
    <w:abstractNumId w:val="5"/>
  </w:num>
  <w:num w:numId="40">
    <w:abstractNumId w:val="6"/>
  </w:num>
  <w:num w:numId="41">
    <w:abstractNumId w:val="10"/>
  </w:num>
  <w:num w:numId="42">
    <w:abstractNumId w:val="34"/>
  </w:num>
  <w:num w:numId="43">
    <w:abstractNumId w:val="20"/>
  </w:num>
  <w:num w:numId="44">
    <w:abstractNumId w:val="30"/>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evenAndOddHeaders/>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B8"/>
    <w:rsid w:val="00001047"/>
    <w:rsid w:val="00003D57"/>
    <w:rsid w:val="00004964"/>
    <w:rsid w:val="00004BB1"/>
    <w:rsid w:val="00006018"/>
    <w:rsid w:val="00006534"/>
    <w:rsid w:val="00010C09"/>
    <w:rsid w:val="00012ABF"/>
    <w:rsid w:val="00013FB3"/>
    <w:rsid w:val="00015363"/>
    <w:rsid w:val="00016600"/>
    <w:rsid w:val="00016827"/>
    <w:rsid w:val="0002083A"/>
    <w:rsid w:val="000219BA"/>
    <w:rsid w:val="00023CBC"/>
    <w:rsid w:val="00027CCE"/>
    <w:rsid w:val="00030D59"/>
    <w:rsid w:val="00031CF1"/>
    <w:rsid w:val="00032B48"/>
    <w:rsid w:val="00034123"/>
    <w:rsid w:val="000411C0"/>
    <w:rsid w:val="0004242C"/>
    <w:rsid w:val="000432BA"/>
    <w:rsid w:val="0004537B"/>
    <w:rsid w:val="000457CF"/>
    <w:rsid w:val="00052322"/>
    <w:rsid w:val="00052485"/>
    <w:rsid w:val="00053DAA"/>
    <w:rsid w:val="0005583E"/>
    <w:rsid w:val="0006276F"/>
    <w:rsid w:val="00062EDB"/>
    <w:rsid w:val="000713ED"/>
    <w:rsid w:val="00072B1A"/>
    <w:rsid w:val="0007509F"/>
    <w:rsid w:val="00075EA8"/>
    <w:rsid w:val="00077112"/>
    <w:rsid w:val="000801A2"/>
    <w:rsid w:val="00081CD7"/>
    <w:rsid w:val="000825BB"/>
    <w:rsid w:val="00086128"/>
    <w:rsid w:val="00087185"/>
    <w:rsid w:val="00087F67"/>
    <w:rsid w:val="00090D5E"/>
    <w:rsid w:val="0009773A"/>
    <w:rsid w:val="000A0B27"/>
    <w:rsid w:val="000A1BFF"/>
    <w:rsid w:val="000A294C"/>
    <w:rsid w:val="000A2B5C"/>
    <w:rsid w:val="000A2D9B"/>
    <w:rsid w:val="000A2FC2"/>
    <w:rsid w:val="000A57D7"/>
    <w:rsid w:val="000A605B"/>
    <w:rsid w:val="000B0123"/>
    <w:rsid w:val="000B2F13"/>
    <w:rsid w:val="000B5D66"/>
    <w:rsid w:val="000B6CE3"/>
    <w:rsid w:val="000B7B92"/>
    <w:rsid w:val="000C10F6"/>
    <w:rsid w:val="000C14D9"/>
    <w:rsid w:val="000C1725"/>
    <w:rsid w:val="000C2886"/>
    <w:rsid w:val="000C7E90"/>
    <w:rsid w:val="000D354A"/>
    <w:rsid w:val="000D3B3E"/>
    <w:rsid w:val="000E0E67"/>
    <w:rsid w:val="000E151E"/>
    <w:rsid w:val="000E1D29"/>
    <w:rsid w:val="000E3999"/>
    <w:rsid w:val="000E3C85"/>
    <w:rsid w:val="000E425E"/>
    <w:rsid w:val="000E51E4"/>
    <w:rsid w:val="000E6DCD"/>
    <w:rsid w:val="000E7D73"/>
    <w:rsid w:val="000F08CE"/>
    <w:rsid w:val="000F498E"/>
    <w:rsid w:val="000F5F4D"/>
    <w:rsid w:val="000F7005"/>
    <w:rsid w:val="000F7F77"/>
    <w:rsid w:val="00101290"/>
    <w:rsid w:val="0010390C"/>
    <w:rsid w:val="001062CB"/>
    <w:rsid w:val="00117F41"/>
    <w:rsid w:val="00120A6E"/>
    <w:rsid w:val="00123862"/>
    <w:rsid w:val="00124D8B"/>
    <w:rsid w:val="00124DCE"/>
    <w:rsid w:val="0012724E"/>
    <w:rsid w:val="00131674"/>
    <w:rsid w:val="00132094"/>
    <w:rsid w:val="0013427C"/>
    <w:rsid w:val="00134C4D"/>
    <w:rsid w:val="001375F1"/>
    <w:rsid w:val="00137DBE"/>
    <w:rsid w:val="0014482A"/>
    <w:rsid w:val="001451BA"/>
    <w:rsid w:val="00152B3E"/>
    <w:rsid w:val="001615AD"/>
    <w:rsid w:val="00161A10"/>
    <w:rsid w:val="001629A9"/>
    <w:rsid w:val="00162DC1"/>
    <w:rsid w:val="00163EF5"/>
    <w:rsid w:val="00164321"/>
    <w:rsid w:val="00166DC3"/>
    <w:rsid w:val="001706F4"/>
    <w:rsid w:val="001717CF"/>
    <w:rsid w:val="00174D2B"/>
    <w:rsid w:val="0017707E"/>
    <w:rsid w:val="001828E2"/>
    <w:rsid w:val="001958D7"/>
    <w:rsid w:val="0019680E"/>
    <w:rsid w:val="00196E24"/>
    <w:rsid w:val="001A09D3"/>
    <w:rsid w:val="001A63B5"/>
    <w:rsid w:val="001A67ED"/>
    <w:rsid w:val="001B0ED2"/>
    <w:rsid w:val="001B1679"/>
    <w:rsid w:val="001B1E83"/>
    <w:rsid w:val="001B206F"/>
    <w:rsid w:val="001B2652"/>
    <w:rsid w:val="001B307F"/>
    <w:rsid w:val="001B41EC"/>
    <w:rsid w:val="001B449E"/>
    <w:rsid w:val="001B5364"/>
    <w:rsid w:val="001B7BD1"/>
    <w:rsid w:val="001C2140"/>
    <w:rsid w:val="001D0550"/>
    <w:rsid w:val="001D25C2"/>
    <w:rsid w:val="001D2903"/>
    <w:rsid w:val="001D511E"/>
    <w:rsid w:val="001E10C3"/>
    <w:rsid w:val="001E136C"/>
    <w:rsid w:val="001E30C6"/>
    <w:rsid w:val="001E4EB9"/>
    <w:rsid w:val="001E7834"/>
    <w:rsid w:val="001F1F40"/>
    <w:rsid w:val="001F2E87"/>
    <w:rsid w:val="001F4504"/>
    <w:rsid w:val="001F61AF"/>
    <w:rsid w:val="00200682"/>
    <w:rsid w:val="002078A4"/>
    <w:rsid w:val="0021007A"/>
    <w:rsid w:val="002140BD"/>
    <w:rsid w:val="00220143"/>
    <w:rsid w:val="00231132"/>
    <w:rsid w:val="00231781"/>
    <w:rsid w:val="00231A23"/>
    <w:rsid w:val="002323AD"/>
    <w:rsid w:val="00232FFE"/>
    <w:rsid w:val="00235FAF"/>
    <w:rsid w:val="00236700"/>
    <w:rsid w:val="00237C26"/>
    <w:rsid w:val="00240B28"/>
    <w:rsid w:val="00240D00"/>
    <w:rsid w:val="002425B1"/>
    <w:rsid w:val="00244E9F"/>
    <w:rsid w:val="00246C36"/>
    <w:rsid w:val="00246C67"/>
    <w:rsid w:val="00246D65"/>
    <w:rsid w:val="00246D8F"/>
    <w:rsid w:val="00247A00"/>
    <w:rsid w:val="00250368"/>
    <w:rsid w:val="002528D1"/>
    <w:rsid w:val="00252D3E"/>
    <w:rsid w:val="002538BC"/>
    <w:rsid w:val="00254BCC"/>
    <w:rsid w:val="00255C78"/>
    <w:rsid w:val="00257CAC"/>
    <w:rsid w:val="002606EE"/>
    <w:rsid w:val="002622A7"/>
    <w:rsid w:val="00265AB7"/>
    <w:rsid w:val="00266F94"/>
    <w:rsid w:val="00267931"/>
    <w:rsid w:val="0027033B"/>
    <w:rsid w:val="002738DA"/>
    <w:rsid w:val="0027459B"/>
    <w:rsid w:val="002755F8"/>
    <w:rsid w:val="00275B12"/>
    <w:rsid w:val="00282B28"/>
    <w:rsid w:val="00283D89"/>
    <w:rsid w:val="0029102A"/>
    <w:rsid w:val="002944AE"/>
    <w:rsid w:val="002A01E7"/>
    <w:rsid w:val="002A1CA6"/>
    <w:rsid w:val="002A2128"/>
    <w:rsid w:val="002A2904"/>
    <w:rsid w:val="002A6051"/>
    <w:rsid w:val="002B0B5B"/>
    <w:rsid w:val="002B1656"/>
    <w:rsid w:val="002B2ECD"/>
    <w:rsid w:val="002B368D"/>
    <w:rsid w:val="002B434E"/>
    <w:rsid w:val="002B68EB"/>
    <w:rsid w:val="002C2AD9"/>
    <w:rsid w:val="002C4F8E"/>
    <w:rsid w:val="002C5355"/>
    <w:rsid w:val="002D251D"/>
    <w:rsid w:val="002D2ADE"/>
    <w:rsid w:val="002D322F"/>
    <w:rsid w:val="002E1CF7"/>
    <w:rsid w:val="002E2241"/>
    <w:rsid w:val="002E5817"/>
    <w:rsid w:val="002E59F7"/>
    <w:rsid w:val="002F0C22"/>
    <w:rsid w:val="002F456D"/>
    <w:rsid w:val="002F7B3E"/>
    <w:rsid w:val="00301C71"/>
    <w:rsid w:val="0030350F"/>
    <w:rsid w:val="003044F7"/>
    <w:rsid w:val="003045B1"/>
    <w:rsid w:val="003121E9"/>
    <w:rsid w:val="00312E4F"/>
    <w:rsid w:val="00316E58"/>
    <w:rsid w:val="00316ECE"/>
    <w:rsid w:val="0032000E"/>
    <w:rsid w:val="00320EC4"/>
    <w:rsid w:val="0032580B"/>
    <w:rsid w:val="00325B0D"/>
    <w:rsid w:val="003278C9"/>
    <w:rsid w:val="003301FB"/>
    <w:rsid w:val="00334D54"/>
    <w:rsid w:val="00334F23"/>
    <w:rsid w:val="00334F33"/>
    <w:rsid w:val="00335D24"/>
    <w:rsid w:val="00335DF3"/>
    <w:rsid w:val="0033619D"/>
    <w:rsid w:val="00336271"/>
    <w:rsid w:val="00337858"/>
    <w:rsid w:val="00341133"/>
    <w:rsid w:val="00342B44"/>
    <w:rsid w:val="00342B79"/>
    <w:rsid w:val="00342E73"/>
    <w:rsid w:val="0034553C"/>
    <w:rsid w:val="00345D49"/>
    <w:rsid w:val="003476AF"/>
    <w:rsid w:val="003519F5"/>
    <w:rsid w:val="0035520F"/>
    <w:rsid w:val="00360248"/>
    <w:rsid w:val="00364E14"/>
    <w:rsid w:val="003658C2"/>
    <w:rsid w:val="0037013A"/>
    <w:rsid w:val="00370713"/>
    <w:rsid w:val="00370E50"/>
    <w:rsid w:val="00371290"/>
    <w:rsid w:val="00372094"/>
    <w:rsid w:val="00373C46"/>
    <w:rsid w:val="003774E6"/>
    <w:rsid w:val="00380414"/>
    <w:rsid w:val="00381EC9"/>
    <w:rsid w:val="00382772"/>
    <w:rsid w:val="00382C7B"/>
    <w:rsid w:val="00386027"/>
    <w:rsid w:val="00390916"/>
    <w:rsid w:val="003913EC"/>
    <w:rsid w:val="00393B69"/>
    <w:rsid w:val="003A1E56"/>
    <w:rsid w:val="003A4847"/>
    <w:rsid w:val="003A563C"/>
    <w:rsid w:val="003A71E9"/>
    <w:rsid w:val="003B0CA5"/>
    <w:rsid w:val="003B131B"/>
    <w:rsid w:val="003B2A16"/>
    <w:rsid w:val="003B32F7"/>
    <w:rsid w:val="003B4429"/>
    <w:rsid w:val="003B445E"/>
    <w:rsid w:val="003B5742"/>
    <w:rsid w:val="003B5A80"/>
    <w:rsid w:val="003B5BD9"/>
    <w:rsid w:val="003C10FE"/>
    <w:rsid w:val="003C16F6"/>
    <w:rsid w:val="003C36C5"/>
    <w:rsid w:val="003C54FD"/>
    <w:rsid w:val="003D09B3"/>
    <w:rsid w:val="003D2AAA"/>
    <w:rsid w:val="003D36E0"/>
    <w:rsid w:val="003D6235"/>
    <w:rsid w:val="003D6F88"/>
    <w:rsid w:val="003E1D7E"/>
    <w:rsid w:val="003E4301"/>
    <w:rsid w:val="003E4A89"/>
    <w:rsid w:val="003E74E6"/>
    <w:rsid w:val="003E7626"/>
    <w:rsid w:val="003F13F7"/>
    <w:rsid w:val="003F2269"/>
    <w:rsid w:val="003F2F7D"/>
    <w:rsid w:val="003F357C"/>
    <w:rsid w:val="003F5E01"/>
    <w:rsid w:val="003F5FCD"/>
    <w:rsid w:val="003F5FD8"/>
    <w:rsid w:val="003F771C"/>
    <w:rsid w:val="00403DB5"/>
    <w:rsid w:val="00404839"/>
    <w:rsid w:val="00405653"/>
    <w:rsid w:val="00407BAC"/>
    <w:rsid w:val="00410232"/>
    <w:rsid w:val="0041095B"/>
    <w:rsid w:val="0041190C"/>
    <w:rsid w:val="004127FD"/>
    <w:rsid w:val="004128BB"/>
    <w:rsid w:val="00412A9C"/>
    <w:rsid w:val="004216DE"/>
    <w:rsid w:val="00421D77"/>
    <w:rsid w:val="00421E6F"/>
    <w:rsid w:val="00422C28"/>
    <w:rsid w:val="004230E8"/>
    <w:rsid w:val="0042364B"/>
    <w:rsid w:val="0042630E"/>
    <w:rsid w:val="004314B2"/>
    <w:rsid w:val="004328FC"/>
    <w:rsid w:val="004346A1"/>
    <w:rsid w:val="00434B40"/>
    <w:rsid w:val="00435004"/>
    <w:rsid w:val="00440904"/>
    <w:rsid w:val="004424E4"/>
    <w:rsid w:val="00443F08"/>
    <w:rsid w:val="00447EE6"/>
    <w:rsid w:val="004528EA"/>
    <w:rsid w:val="00454888"/>
    <w:rsid w:val="0045489C"/>
    <w:rsid w:val="00454AB4"/>
    <w:rsid w:val="0046074D"/>
    <w:rsid w:val="00461C4E"/>
    <w:rsid w:val="00462DBA"/>
    <w:rsid w:val="0046301E"/>
    <w:rsid w:val="00464898"/>
    <w:rsid w:val="004665D2"/>
    <w:rsid w:val="004666C7"/>
    <w:rsid w:val="00466DDF"/>
    <w:rsid w:val="004738EB"/>
    <w:rsid w:val="00481AAB"/>
    <w:rsid w:val="0048214C"/>
    <w:rsid w:val="004838EF"/>
    <w:rsid w:val="00484FC4"/>
    <w:rsid w:val="00485D3A"/>
    <w:rsid w:val="00486CE0"/>
    <w:rsid w:val="004906B2"/>
    <w:rsid w:val="0049149C"/>
    <w:rsid w:val="004919DB"/>
    <w:rsid w:val="00491E34"/>
    <w:rsid w:val="004928DA"/>
    <w:rsid w:val="00493FF1"/>
    <w:rsid w:val="00494A2A"/>
    <w:rsid w:val="004A03FB"/>
    <w:rsid w:val="004A0D22"/>
    <w:rsid w:val="004A2866"/>
    <w:rsid w:val="004A3F69"/>
    <w:rsid w:val="004A7C50"/>
    <w:rsid w:val="004A7EB9"/>
    <w:rsid w:val="004B1772"/>
    <w:rsid w:val="004B26DE"/>
    <w:rsid w:val="004C33F6"/>
    <w:rsid w:val="004C357C"/>
    <w:rsid w:val="004C536D"/>
    <w:rsid w:val="004D2A37"/>
    <w:rsid w:val="004D32C8"/>
    <w:rsid w:val="004D4550"/>
    <w:rsid w:val="004E073A"/>
    <w:rsid w:val="004E07B9"/>
    <w:rsid w:val="004E1FA3"/>
    <w:rsid w:val="004E2AA2"/>
    <w:rsid w:val="004E3D55"/>
    <w:rsid w:val="004E4366"/>
    <w:rsid w:val="004E5AEB"/>
    <w:rsid w:val="004F1CE3"/>
    <w:rsid w:val="004F4191"/>
    <w:rsid w:val="004F7307"/>
    <w:rsid w:val="004F7387"/>
    <w:rsid w:val="004F73E3"/>
    <w:rsid w:val="0050017E"/>
    <w:rsid w:val="00500C3F"/>
    <w:rsid w:val="005022E5"/>
    <w:rsid w:val="00511F71"/>
    <w:rsid w:val="00513618"/>
    <w:rsid w:val="005144B8"/>
    <w:rsid w:val="00514605"/>
    <w:rsid w:val="0051624A"/>
    <w:rsid w:val="0052064B"/>
    <w:rsid w:val="005208DD"/>
    <w:rsid w:val="00520D6D"/>
    <w:rsid w:val="00521693"/>
    <w:rsid w:val="00521E89"/>
    <w:rsid w:val="00524962"/>
    <w:rsid w:val="00524BA2"/>
    <w:rsid w:val="00525787"/>
    <w:rsid w:val="005257FE"/>
    <w:rsid w:val="005260BE"/>
    <w:rsid w:val="0052725F"/>
    <w:rsid w:val="00534EB5"/>
    <w:rsid w:val="00536193"/>
    <w:rsid w:val="00541CDB"/>
    <w:rsid w:val="00542F31"/>
    <w:rsid w:val="00546907"/>
    <w:rsid w:val="00551127"/>
    <w:rsid w:val="00551596"/>
    <w:rsid w:val="00556434"/>
    <w:rsid w:val="00556714"/>
    <w:rsid w:val="005622F3"/>
    <w:rsid w:val="00570B65"/>
    <w:rsid w:val="0057550F"/>
    <w:rsid w:val="00577F6D"/>
    <w:rsid w:val="00583395"/>
    <w:rsid w:val="00583B29"/>
    <w:rsid w:val="00583E71"/>
    <w:rsid w:val="00586E53"/>
    <w:rsid w:val="00587CE1"/>
    <w:rsid w:val="00594033"/>
    <w:rsid w:val="005979D8"/>
    <w:rsid w:val="005A3629"/>
    <w:rsid w:val="005A665D"/>
    <w:rsid w:val="005B20BA"/>
    <w:rsid w:val="005B3E3A"/>
    <w:rsid w:val="005B51EC"/>
    <w:rsid w:val="005B526B"/>
    <w:rsid w:val="005B5ACD"/>
    <w:rsid w:val="005C0BC7"/>
    <w:rsid w:val="005C152A"/>
    <w:rsid w:val="005C17E5"/>
    <w:rsid w:val="005C1A97"/>
    <w:rsid w:val="005C52FF"/>
    <w:rsid w:val="005C5D6C"/>
    <w:rsid w:val="005C65E8"/>
    <w:rsid w:val="005D0EDD"/>
    <w:rsid w:val="005D5F06"/>
    <w:rsid w:val="005D6350"/>
    <w:rsid w:val="005E509F"/>
    <w:rsid w:val="005E59AF"/>
    <w:rsid w:val="005F5AA9"/>
    <w:rsid w:val="005F5D8A"/>
    <w:rsid w:val="005F61A5"/>
    <w:rsid w:val="005F7883"/>
    <w:rsid w:val="0060215F"/>
    <w:rsid w:val="0060464D"/>
    <w:rsid w:val="00606641"/>
    <w:rsid w:val="00607219"/>
    <w:rsid w:val="006077AB"/>
    <w:rsid w:val="006100F5"/>
    <w:rsid w:val="0061186B"/>
    <w:rsid w:val="00611976"/>
    <w:rsid w:val="006125C6"/>
    <w:rsid w:val="00612A93"/>
    <w:rsid w:val="00613559"/>
    <w:rsid w:val="00615D7B"/>
    <w:rsid w:val="00617B07"/>
    <w:rsid w:val="006209FC"/>
    <w:rsid w:val="006212DD"/>
    <w:rsid w:val="006248BF"/>
    <w:rsid w:val="00624AA9"/>
    <w:rsid w:val="00624D98"/>
    <w:rsid w:val="00627765"/>
    <w:rsid w:val="00631BAD"/>
    <w:rsid w:val="00632527"/>
    <w:rsid w:val="00632F29"/>
    <w:rsid w:val="006338D7"/>
    <w:rsid w:val="006358F9"/>
    <w:rsid w:val="0063632E"/>
    <w:rsid w:val="00641097"/>
    <w:rsid w:val="00642804"/>
    <w:rsid w:val="006428E1"/>
    <w:rsid w:val="00644795"/>
    <w:rsid w:val="0064524B"/>
    <w:rsid w:val="00645554"/>
    <w:rsid w:val="00646966"/>
    <w:rsid w:val="0064746E"/>
    <w:rsid w:val="006556F2"/>
    <w:rsid w:val="00657E58"/>
    <w:rsid w:val="00661897"/>
    <w:rsid w:val="00663767"/>
    <w:rsid w:val="0066420F"/>
    <w:rsid w:val="00664546"/>
    <w:rsid w:val="00666581"/>
    <w:rsid w:val="006701A1"/>
    <w:rsid w:val="0067024D"/>
    <w:rsid w:val="006715E0"/>
    <w:rsid w:val="0067218F"/>
    <w:rsid w:val="006728C6"/>
    <w:rsid w:val="00674E3C"/>
    <w:rsid w:val="006774C5"/>
    <w:rsid w:val="0068136C"/>
    <w:rsid w:val="006813EC"/>
    <w:rsid w:val="00681F0C"/>
    <w:rsid w:val="0068419D"/>
    <w:rsid w:val="0068524F"/>
    <w:rsid w:val="00694173"/>
    <w:rsid w:val="00695033"/>
    <w:rsid w:val="00695370"/>
    <w:rsid w:val="00695C9A"/>
    <w:rsid w:val="00696AFC"/>
    <w:rsid w:val="00696D5D"/>
    <w:rsid w:val="00697A53"/>
    <w:rsid w:val="006A1138"/>
    <w:rsid w:val="006A1855"/>
    <w:rsid w:val="006A21FA"/>
    <w:rsid w:val="006A6D0A"/>
    <w:rsid w:val="006B1D17"/>
    <w:rsid w:val="006B544D"/>
    <w:rsid w:val="006C3C2E"/>
    <w:rsid w:val="006D1451"/>
    <w:rsid w:val="006D2984"/>
    <w:rsid w:val="006D439F"/>
    <w:rsid w:val="006D5179"/>
    <w:rsid w:val="006D6441"/>
    <w:rsid w:val="006D67D9"/>
    <w:rsid w:val="006E6450"/>
    <w:rsid w:val="006E6849"/>
    <w:rsid w:val="006F010C"/>
    <w:rsid w:val="006F6385"/>
    <w:rsid w:val="006F680E"/>
    <w:rsid w:val="006F69ED"/>
    <w:rsid w:val="006F7974"/>
    <w:rsid w:val="00700210"/>
    <w:rsid w:val="00701483"/>
    <w:rsid w:val="00704BB8"/>
    <w:rsid w:val="0070767D"/>
    <w:rsid w:val="007110E9"/>
    <w:rsid w:val="007122FC"/>
    <w:rsid w:val="0071248E"/>
    <w:rsid w:val="00713BD9"/>
    <w:rsid w:val="007218B8"/>
    <w:rsid w:val="007241CC"/>
    <w:rsid w:val="007250D0"/>
    <w:rsid w:val="00725AF9"/>
    <w:rsid w:val="007303E8"/>
    <w:rsid w:val="007339C3"/>
    <w:rsid w:val="007343F6"/>
    <w:rsid w:val="00735EB7"/>
    <w:rsid w:val="00736664"/>
    <w:rsid w:val="00737C34"/>
    <w:rsid w:val="00742C6E"/>
    <w:rsid w:val="00744DF5"/>
    <w:rsid w:val="00746686"/>
    <w:rsid w:val="0075020D"/>
    <w:rsid w:val="007516FC"/>
    <w:rsid w:val="0075280F"/>
    <w:rsid w:val="00752EAA"/>
    <w:rsid w:val="007547B4"/>
    <w:rsid w:val="00755E77"/>
    <w:rsid w:val="00756047"/>
    <w:rsid w:val="0075648D"/>
    <w:rsid w:val="00757FA4"/>
    <w:rsid w:val="00762035"/>
    <w:rsid w:val="007625F3"/>
    <w:rsid w:val="007637D6"/>
    <w:rsid w:val="007649D0"/>
    <w:rsid w:val="00766201"/>
    <w:rsid w:val="00770688"/>
    <w:rsid w:val="007722F6"/>
    <w:rsid w:val="00773AF1"/>
    <w:rsid w:val="00774D35"/>
    <w:rsid w:val="007751EC"/>
    <w:rsid w:val="00775D72"/>
    <w:rsid w:val="00777A8A"/>
    <w:rsid w:val="00783976"/>
    <w:rsid w:val="00785723"/>
    <w:rsid w:val="0078754A"/>
    <w:rsid w:val="007875C4"/>
    <w:rsid w:val="00790E81"/>
    <w:rsid w:val="007935D7"/>
    <w:rsid w:val="00794C73"/>
    <w:rsid w:val="00794F64"/>
    <w:rsid w:val="007A0488"/>
    <w:rsid w:val="007A53C2"/>
    <w:rsid w:val="007B119B"/>
    <w:rsid w:val="007B1D55"/>
    <w:rsid w:val="007B676D"/>
    <w:rsid w:val="007B7E78"/>
    <w:rsid w:val="007C06DB"/>
    <w:rsid w:val="007C0D02"/>
    <w:rsid w:val="007C1B8F"/>
    <w:rsid w:val="007C4AD2"/>
    <w:rsid w:val="007C5A52"/>
    <w:rsid w:val="007C6A76"/>
    <w:rsid w:val="007C7FB7"/>
    <w:rsid w:val="007D003F"/>
    <w:rsid w:val="007D207B"/>
    <w:rsid w:val="007D2C60"/>
    <w:rsid w:val="007D430A"/>
    <w:rsid w:val="007D493A"/>
    <w:rsid w:val="007D4A5C"/>
    <w:rsid w:val="007E23EC"/>
    <w:rsid w:val="007E768F"/>
    <w:rsid w:val="007F09D2"/>
    <w:rsid w:val="007F278D"/>
    <w:rsid w:val="00800FAD"/>
    <w:rsid w:val="00804600"/>
    <w:rsid w:val="00805567"/>
    <w:rsid w:val="0080622C"/>
    <w:rsid w:val="00806B9C"/>
    <w:rsid w:val="00807B5F"/>
    <w:rsid w:val="00811626"/>
    <w:rsid w:val="00817843"/>
    <w:rsid w:val="00822217"/>
    <w:rsid w:val="00822383"/>
    <w:rsid w:val="008246D1"/>
    <w:rsid w:val="008247AB"/>
    <w:rsid w:val="00824F42"/>
    <w:rsid w:val="00825C7F"/>
    <w:rsid w:val="00831F49"/>
    <w:rsid w:val="00833FFB"/>
    <w:rsid w:val="00834B05"/>
    <w:rsid w:val="00843DDC"/>
    <w:rsid w:val="008441E6"/>
    <w:rsid w:val="008475FD"/>
    <w:rsid w:val="00850183"/>
    <w:rsid w:val="0086018D"/>
    <w:rsid w:val="008615FA"/>
    <w:rsid w:val="00861F7C"/>
    <w:rsid w:val="0086313D"/>
    <w:rsid w:val="008638D6"/>
    <w:rsid w:val="0086521C"/>
    <w:rsid w:val="008664B6"/>
    <w:rsid w:val="00866610"/>
    <w:rsid w:val="00867E27"/>
    <w:rsid w:val="00873B77"/>
    <w:rsid w:val="00873F30"/>
    <w:rsid w:val="00874ADB"/>
    <w:rsid w:val="00874FB5"/>
    <w:rsid w:val="008774A8"/>
    <w:rsid w:val="00880937"/>
    <w:rsid w:val="00884D0A"/>
    <w:rsid w:val="00885206"/>
    <w:rsid w:val="008859D1"/>
    <w:rsid w:val="00885B05"/>
    <w:rsid w:val="008864AF"/>
    <w:rsid w:val="00887686"/>
    <w:rsid w:val="00887CED"/>
    <w:rsid w:val="00890E2B"/>
    <w:rsid w:val="00892934"/>
    <w:rsid w:val="0089644E"/>
    <w:rsid w:val="008A0CBA"/>
    <w:rsid w:val="008A1B8D"/>
    <w:rsid w:val="008A23FB"/>
    <w:rsid w:val="008A3568"/>
    <w:rsid w:val="008B59B0"/>
    <w:rsid w:val="008B6348"/>
    <w:rsid w:val="008C25D6"/>
    <w:rsid w:val="008C5148"/>
    <w:rsid w:val="008D1424"/>
    <w:rsid w:val="008D22BA"/>
    <w:rsid w:val="008D2F2A"/>
    <w:rsid w:val="008D4B55"/>
    <w:rsid w:val="008E231D"/>
    <w:rsid w:val="008E2EA7"/>
    <w:rsid w:val="008E365E"/>
    <w:rsid w:val="008E67FC"/>
    <w:rsid w:val="008F05FC"/>
    <w:rsid w:val="008F1E2B"/>
    <w:rsid w:val="008F52D7"/>
    <w:rsid w:val="008F6036"/>
    <w:rsid w:val="008F6605"/>
    <w:rsid w:val="00901918"/>
    <w:rsid w:val="00904AC9"/>
    <w:rsid w:val="00906DB3"/>
    <w:rsid w:val="00906DC5"/>
    <w:rsid w:val="00916108"/>
    <w:rsid w:val="009172B3"/>
    <w:rsid w:val="00921021"/>
    <w:rsid w:val="00924C01"/>
    <w:rsid w:val="00931954"/>
    <w:rsid w:val="0094084D"/>
    <w:rsid w:val="00940D83"/>
    <w:rsid w:val="00940EB3"/>
    <w:rsid w:val="009416B3"/>
    <w:rsid w:val="00943ED4"/>
    <w:rsid w:val="00944685"/>
    <w:rsid w:val="00946B7D"/>
    <w:rsid w:val="00952085"/>
    <w:rsid w:val="00960999"/>
    <w:rsid w:val="0096136C"/>
    <w:rsid w:val="00963FC6"/>
    <w:rsid w:val="00964EDA"/>
    <w:rsid w:val="00966816"/>
    <w:rsid w:val="00970E92"/>
    <w:rsid w:val="0097118A"/>
    <w:rsid w:val="00971B09"/>
    <w:rsid w:val="00972E2B"/>
    <w:rsid w:val="009742C2"/>
    <w:rsid w:val="00977220"/>
    <w:rsid w:val="00977F8E"/>
    <w:rsid w:val="009826CE"/>
    <w:rsid w:val="00982A25"/>
    <w:rsid w:val="00983425"/>
    <w:rsid w:val="00985377"/>
    <w:rsid w:val="009862C6"/>
    <w:rsid w:val="00990AF1"/>
    <w:rsid w:val="00991FA7"/>
    <w:rsid w:val="009928F4"/>
    <w:rsid w:val="00993A23"/>
    <w:rsid w:val="00993ED8"/>
    <w:rsid w:val="009944C0"/>
    <w:rsid w:val="00995DC2"/>
    <w:rsid w:val="009A1AFF"/>
    <w:rsid w:val="009A1F44"/>
    <w:rsid w:val="009A24D8"/>
    <w:rsid w:val="009A4768"/>
    <w:rsid w:val="009B4055"/>
    <w:rsid w:val="009B66AC"/>
    <w:rsid w:val="009B6940"/>
    <w:rsid w:val="009C16A8"/>
    <w:rsid w:val="009C34C3"/>
    <w:rsid w:val="009C4BA6"/>
    <w:rsid w:val="009C4BBE"/>
    <w:rsid w:val="009C5390"/>
    <w:rsid w:val="009C5F52"/>
    <w:rsid w:val="009D1090"/>
    <w:rsid w:val="009D51D2"/>
    <w:rsid w:val="009D56E0"/>
    <w:rsid w:val="009E1250"/>
    <w:rsid w:val="009E1610"/>
    <w:rsid w:val="009E2903"/>
    <w:rsid w:val="009E39C2"/>
    <w:rsid w:val="009E3B31"/>
    <w:rsid w:val="009E7C37"/>
    <w:rsid w:val="009F0ED5"/>
    <w:rsid w:val="009F0EE9"/>
    <w:rsid w:val="009F1A3B"/>
    <w:rsid w:val="009F2BAC"/>
    <w:rsid w:val="009F67F8"/>
    <w:rsid w:val="00A0030F"/>
    <w:rsid w:val="00A0077F"/>
    <w:rsid w:val="00A009BC"/>
    <w:rsid w:val="00A012A1"/>
    <w:rsid w:val="00A02093"/>
    <w:rsid w:val="00A055C7"/>
    <w:rsid w:val="00A10A2D"/>
    <w:rsid w:val="00A1291E"/>
    <w:rsid w:val="00A1339A"/>
    <w:rsid w:val="00A23359"/>
    <w:rsid w:val="00A24044"/>
    <w:rsid w:val="00A259A0"/>
    <w:rsid w:val="00A2601C"/>
    <w:rsid w:val="00A309C5"/>
    <w:rsid w:val="00A32748"/>
    <w:rsid w:val="00A3336F"/>
    <w:rsid w:val="00A347DF"/>
    <w:rsid w:val="00A35265"/>
    <w:rsid w:val="00A35AD6"/>
    <w:rsid w:val="00A362AA"/>
    <w:rsid w:val="00A37E58"/>
    <w:rsid w:val="00A406ED"/>
    <w:rsid w:val="00A4427F"/>
    <w:rsid w:val="00A44FBA"/>
    <w:rsid w:val="00A45B4D"/>
    <w:rsid w:val="00A46B70"/>
    <w:rsid w:val="00A60B13"/>
    <w:rsid w:val="00A64A89"/>
    <w:rsid w:val="00A6709B"/>
    <w:rsid w:val="00A677F5"/>
    <w:rsid w:val="00A71127"/>
    <w:rsid w:val="00A716E0"/>
    <w:rsid w:val="00A74A5F"/>
    <w:rsid w:val="00A75A45"/>
    <w:rsid w:val="00A75D87"/>
    <w:rsid w:val="00A818FB"/>
    <w:rsid w:val="00A838BA"/>
    <w:rsid w:val="00A83DAE"/>
    <w:rsid w:val="00A86524"/>
    <w:rsid w:val="00A912B4"/>
    <w:rsid w:val="00A96CDB"/>
    <w:rsid w:val="00A9720A"/>
    <w:rsid w:val="00A97CDC"/>
    <w:rsid w:val="00A97E24"/>
    <w:rsid w:val="00AA07B2"/>
    <w:rsid w:val="00AA1E48"/>
    <w:rsid w:val="00AA4B29"/>
    <w:rsid w:val="00AA56A6"/>
    <w:rsid w:val="00AA571D"/>
    <w:rsid w:val="00AA5A37"/>
    <w:rsid w:val="00AA7904"/>
    <w:rsid w:val="00AB12CC"/>
    <w:rsid w:val="00AB1A29"/>
    <w:rsid w:val="00AB322D"/>
    <w:rsid w:val="00AB588B"/>
    <w:rsid w:val="00AB65B7"/>
    <w:rsid w:val="00AB6632"/>
    <w:rsid w:val="00AB676C"/>
    <w:rsid w:val="00AC5D26"/>
    <w:rsid w:val="00AC702B"/>
    <w:rsid w:val="00AC75DC"/>
    <w:rsid w:val="00AD2356"/>
    <w:rsid w:val="00AD52BF"/>
    <w:rsid w:val="00AD57A2"/>
    <w:rsid w:val="00AD73E2"/>
    <w:rsid w:val="00AE0117"/>
    <w:rsid w:val="00AE2B6C"/>
    <w:rsid w:val="00AE2BC2"/>
    <w:rsid w:val="00AE3627"/>
    <w:rsid w:val="00AE6256"/>
    <w:rsid w:val="00AE6DBF"/>
    <w:rsid w:val="00AF051D"/>
    <w:rsid w:val="00AF06FC"/>
    <w:rsid w:val="00AF073F"/>
    <w:rsid w:val="00AF24C2"/>
    <w:rsid w:val="00AF4DA5"/>
    <w:rsid w:val="00AF5EDA"/>
    <w:rsid w:val="00B0016B"/>
    <w:rsid w:val="00B05EFB"/>
    <w:rsid w:val="00B07C4C"/>
    <w:rsid w:val="00B1049E"/>
    <w:rsid w:val="00B12033"/>
    <w:rsid w:val="00B13B02"/>
    <w:rsid w:val="00B1548C"/>
    <w:rsid w:val="00B20AD8"/>
    <w:rsid w:val="00B23786"/>
    <w:rsid w:val="00B23A70"/>
    <w:rsid w:val="00B23FAD"/>
    <w:rsid w:val="00B24E8A"/>
    <w:rsid w:val="00B26380"/>
    <w:rsid w:val="00B26879"/>
    <w:rsid w:val="00B2786C"/>
    <w:rsid w:val="00B30BB8"/>
    <w:rsid w:val="00B310A5"/>
    <w:rsid w:val="00B31107"/>
    <w:rsid w:val="00B330B8"/>
    <w:rsid w:val="00B36DDA"/>
    <w:rsid w:val="00B41498"/>
    <w:rsid w:val="00B4563F"/>
    <w:rsid w:val="00B508F7"/>
    <w:rsid w:val="00B51963"/>
    <w:rsid w:val="00B53C0B"/>
    <w:rsid w:val="00B54EC6"/>
    <w:rsid w:val="00B56B6D"/>
    <w:rsid w:val="00B578D6"/>
    <w:rsid w:val="00B62084"/>
    <w:rsid w:val="00B62E10"/>
    <w:rsid w:val="00B644F6"/>
    <w:rsid w:val="00B651BF"/>
    <w:rsid w:val="00B71C19"/>
    <w:rsid w:val="00B80BD1"/>
    <w:rsid w:val="00B8469D"/>
    <w:rsid w:val="00B85DA5"/>
    <w:rsid w:val="00B85E15"/>
    <w:rsid w:val="00B86925"/>
    <w:rsid w:val="00B93B81"/>
    <w:rsid w:val="00B942EB"/>
    <w:rsid w:val="00B94721"/>
    <w:rsid w:val="00B95638"/>
    <w:rsid w:val="00BA07DA"/>
    <w:rsid w:val="00BA1163"/>
    <w:rsid w:val="00BA7167"/>
    <w:rsid w:val="00BB27AE"/>
    <w:rsid w:val="00BB3902"/>
    <w:rsid w:val="00BB4471"/>
    <w:rsid w:val="00BB455B"/>
    <w:rsid w:val="00BB62F8"/>
    <w:rsid w:val="00BB6B17"/>
    <w:rsid w:val="00BB7DF6"/>
    <w:rsid w:val="00BC28E5"/>
    <w:rsid w:val="00BC2E91"/>
    <w:rsid w:val="00BC37BC"/>
    <w:rsid w:val="00BC4052"/>
    <w:rsid w:val="00BC59F6"/>
    <w:rsid w:val="00BC6366"/>
    <w:rsid w:val="00BC6CB6"/>
    <w:rsid w:val="00BC6FB3"/>
    <w:rsid w:val="00BD21BC"/>
    <w:rsid w:val="00BD3572"/>
    <w:rsid w:val="00BE18F6"/>
    <w:rsid w:val="00BE27E9"/>
    <w:rsid w:val="00BE27FC"/>
    <w:rsid w:val="00BE2DFE"/>
    <w:rsid w:val="00BE3850"/>
    <w:rsid w:val="00BE5B3C"/>
    <w:rsid w:val="00BE7D89"/>
    <w:rsid w:val="00BF0DE1"/>
    <w:rsid w:val="00BF2207"/>
    <w:rsid w:val="00BF22C8"/>
    <w:rsid w:val="00BF23E0"/>
    <w:rsid w:val="00BF371A"/>
    <w:rsid w:val="00BF5257"/>
    <w:rsid w:val="00BF54D4"/>
    <w:rsid w:val="00BF6D10"/>
    <w:rsid w:val="00C0015A"/>
    <w:rsid w:val="00C00D4E"/>
    <w:rsid w:val="00C03FD4"/>
    <w:rsid w:val="00C04E28"/>
    <w:rsid w:val="00C060E7"/>
    <w:rsid w:val="00C1082C"/>
    <w:rsid w:val="00C1124A"/>
    <w:rsid w:val="00C22744"/>
    <w:rsid w:val="00C2286D"/>
    <w:rsid w:val="00C22E4D"/>
    <w:rsid w:val="00C23BB8"/>
    <w:rsid w:val="00C23D03"/>
    <w:rsid w:val="00C25840"/>
    <w:rsid w:val="00C26C68"/>
    <w:rsid w:val="00C27059"/>
    <w:rsid w:val="00C32825"/>
    <w:rsid w:val="00C33912"/>
    <w:rsid w:val="00C36BDB"/>
    <w:rsid w:val="00C40205"/>
    <w:rsid w:val="00C41E73"/>
    <w:rsid w:val="00C42100"/>
    <w:rsid w:val="00C422E3"/>
    <w:rsid w:val="00C42BD3"/>
    <w:rsid w:val="00C51284"/>
    <w:rsid w:val="00C514C0"/>
    <w:rsid w:val="00C51D8C"/>
    <w:rsid w:val="00C51F5F"/>
    <w:rsid w:val="00C55784"/>
    <w:rsid w:val="00C5638F"/>
    <w:rsid w:val="00C614B7"/>
    <w:rsid w:val="00C624C6"/>
    <w:rsid w:val="00C708DC"/>
    <w:rsid w:val="00C727FE"/>
    <w:rsid w:val="00C744B9"/>
    <w:rsid w:val="00C74D36"/>
    <w:rsid w:val="00C7539B"/>
    <w:rsid w:val="00C771DA"/>
    <w:rsid w:val="00C77EEC"/>
    <w:rsid w:val="00C8052F"/>
    <w:rsid w:val="00C80BC6"/>
    <w:rsid w:val="00C8159A"/>
    <w:rsid w:val="00C83D6A"/>
    <w:rsid w:val="00C86077"/>
    <w:rsid w:val="00C9071B"/>
    <w:rsid w:val="00C92772"/>
    <w:rsid w:val="00C92985"/>
    <w:rsid w:val="00C936B9"/>
    <w:rsid w:val="00C939F5"/>
    <w:rsid w:val="00C9756B"/>
    <w:rsid w:val="00C97CBF"/>
    <w:rsid w:val="00CB29B6"/>
    <w:rsid w:val="00CB42D0"/>
    <w:rsid w:val="00CB67F3"/>
    <w:rsid w:val="00CB6CED"/>
    <w:rsid w:val="00CC26AB"/>
    <w:rsid w:val="00CC4C34"/>
    <w:rsid w:val="00CC5612"/>
    <w:rsid w:val="00CC78B3"/>
    <w:rsid w:val="00CD19FC"/>
    <w:rsid w:val="00CD2C7D"/>
    <w:rsid w:val="00CD34D7"/>
    <w:rsid w:val="00CD3673"/>
    <w:rsid w:val="00CD3FD6"/>
    <w:rsid w:val="00CD4516"/>
    <w:rsid w:val="00CE1F45"/>
    <w:rsid w:val="00CE5AA1"/>
    <w:rsid w:val="00CE760A"/>
    <w:rsid w:val="00CE76BF"/>
    <w:rsid w:val="00CF14DB"/>
    <w:rsid w:val="00CF363B"/>
    <w:rsid w:val="00CF7A87"/>
    <w:rsid w:val="00D00546"/>
    <w:rsid w:val="00D021B2"/>
    <w:rsid w:val="00D04A99"/>
    <w:rsid w:val="00D05744"/>
    <w:rsid w:val="00D06076"/>
    <w:rsid w:val="00D07DDA"/>
    <w:rsid w:val="00D11C37"/>
    <w:rsid w:val="00D157AB"/>
    <w:rsid w:val="00D15F42"/>
    <w:rsid w:val="00D17717"/>
    <w:rsid w:val="00D17E30"/>
    <w:rsid w:val="00D208DC"/>
    <w:rsid w:val="00D225D7"/>
    <w:rsid w:val="00D23751"/>
    <w:rsid w:val="00D27CEF"/>
    <w:rsid w:val="00D27ED7"/>
    <w:rsid w:val="00D30BCD"/>
    <w:rsid w:val="00D40313"/>
    <w:rsid w:val="00D40FC5"/>
    <w:rsid w:val="00D411B0"/>
    <w:rsid w:val="00D425D7"/>
    <w:rsid w:val="00D430D9"/>
    <w:rsid w:val="00D431BE"/>
    <w:rsid w:val="00D4390E"/>
    <w:rsid w:val="00D612A0"/>
    <w:rsid w:val="00D6243E"/>
    <w:rsid w:val="00D62E12"/>
    <w:rsid w:val="00D64BE7"/>
    <w:rsid w:val="00D66461"/>
    <w:rsid w:val="00D7519E"/>
    <w:rsid w:val="00D77C51"/>
    <w:rsid w:val="00D77F73"/>
    <w:rsid w:val="00D81636"/>
    <w:rsid w:val="00D8255F"/>
    <w:rsid w:val="00D84061"/>
    <w:rsid w:val="00D8490D"/>
    <w:rsid w:val="00D87564"/>
    <w:rsid w:val="00D91BD9"/>
    <w:rsid w:val="00D936B4"/>
    <w:rsid w:val="00D95B20"/>
    <w:rsid w:val="00DA1F40"/>
    <w:rsid w:val="00DA21C8"/>
    <w:rsid w:val="00DB0B75"/>
    <w:rsid w:val="00DB4501"/>
    <w:rsid w:val="00DB578F"/>
    <w:rsid w:val="00DB5A45"/>
    <w:rsid w:val="00DC1537"/>
    <w:rsid w:val="00DC2013"/>
    <w:rsid w:val="00DC2626"/>
    <w:rsid w:val="00DC6970"/>
    <w:rsid w:val="00DD3F8B"/>
    <w:rsid w:val="00DD566D"/>
    <w:rsid w:val="00DE0AAB"/>
    <w:rsid w:val="00DE50D5"/>
    <w:rsid w:val="00DF13ED"/>
    <w:rsid w:val="00DF1BCF"/>
    <w:rsid w:val="00DF24F6"/>
    <w:rsid w:val="00DF5C28"/>
    <w:rsid w:val="00DF7EEA"/>
    <w:rsid w:val="00E016B4"/>
    <w:rsid w:val="00E0183D"/>
    <w:rsid w:val="00E022F5"/>
    <w:rsid w:val="00E0463D"/>
    <w:rsid w:val="00E0479F"/>
    <w:rsid w:val="00E1123E"/>
    <w:rsid w:val="00E13964"/>
    <w:rsid w:val="00E13D7C"/>
    <w:rsid w:val="00E16984"/>
    <w:rsid w:val="00E1712F"/>
    <w:rsid w:val="00E20D07"/>
    <w:rsid w:val="00E20E52"/>
    <w:rsid w:val="00E234B0"/>
    <w:rsid w:val="00E23DF8"/>
    <w:rsid w:val="00E325E0"/>
    <w:rsid w:val="00E338F5"/>
    <w:rsid w:val="00E400A1"/>
    <w:rsid w:val="00E41277"/>
    <w:rsid w:val="00E43307"/>
    <w:rsid w:val="00E46164"/>
    <w:rsid w:val="00E51707"/>
    <w:rsid w:val="00E52DBB"/>
    <w:rsid w:val="00E56BBB"/>
    <w:rsid w:val="00E574E5"/>
    <w:rsid w:val="00E62C2F"/>
    <w:rsid w:val="00E62EBE"/>
    <w:rsid w:val="00E67487"/>
    <w:rsid w:val="00E76A6E"/>
    <w:rsid w:val="00E7758B"/>
    <w:rsid w:val="00E802A8"/>
    <w:rsid w:val="00E822EA"/>
    <w:rsid w:val="00E82FF4"/>
    <w:rsid w:val="00E83B79"/>
    <w:rsid w:val="00E873CC"/>
    <w:rsid w:val="00E9030A"/>
    <w:rsid w:val="00E90D64"/>
    <w:rsid w:val="00E93CC4"/>
    <w:rsid w:val="00E940FB"/>
    <w:rsid w:val="00E94C99"/>
    <w:rsid w:val="00E962C3"/>
    <w:rsid w:val="00EA25EE"/>
    <w:rsid w:val="00EA646C"/>
    <w:rsid w:val="00EA64C1"/>
    <w:rsid w:val="00EA6E4E"/>
    <w:rsid w:val="00EB22A8"/>
    <w:rsid w:val="00EB3CBB"/>
    <w:rsid w:val="00EC5322"/>
    <w:rsid w:val="00EC6BBE"/>
    <w:rsid w:val="00EC723F"/>
    <w:rsid w:val="00EC7FF5"/>
    <w:rsid w:val="00ED08FC"/>
    <w:rsid w:val="00ED18FC"/>
    <w:rsid w:val="00ED2623"/>
    <w:rsid w:val="00ED335C"/>
    <w:rsid w:val="00ED4839"/>
    <w:rsid w:val="00EE0317"/>
    <w:rsid w:val="00EE1BDC"/>
    <w:rsid w:val="00EE22E5"/>
    <w:rsid w:val="00EE24CE"/>
    <w:rsid w:val="00EE2AC9"/>
    <w:rsid w:val="00EE3805"/>
    <w:rsid w:val="00EE756F"/>
    <w:rsid w:val="00EF11D9"/>
    <w:rsid w:val="00EF2897"/>
    <w:rsid w:val="00EF5AE9"/>
    <w:rsid w:val="00EF66F6"/>
    <w:rsid w:val="00F005DC"/>
    <w:rsid w:val="00F01257"/>
    <w:rsid w:val="00F0202A"/>
    <w:rsid w:val="00F04407"/>
    <w:rsid w:val="00F05BB2"/>
    <w:rsid w:val="00F130D7"/>
    <w:rsid w:val="00F131CC"/>
    <w:rsid w:val="00F14736"/>
    <w:rsid w:val="00F20187"/>
    <w:rsid w:val="00F24867"/>
    <w:rsid w:val="00F25673"/>
    <w:rsid w:val="00F25C8B"/>
    <w:rsid w:val="00F279A7"/>
    <w:rsid w:val="00F3014E"/>
    <w:rsid w:val="00F305B8"/>
    <w:rsid w:val="00F326CB"/>
    <w:rsid w:val="00F327D5"/>
    <w:rsid w:val="00F37968"/>
    <w:rsid w:val="00F4104D"/>
    <w:rsid w:val="00F43A8F"/>
    <w:rsid w:val="00F44A75"/>
    <w:rsid w:val="00F45F40"/>
    <w:rsid w:val="00F50458"/>
    <w:rsid w:val="00F52DBC"/>
    <w:rsid w:val="00F53A95"/>
    <w:rsid w:val="00F54037"/>
    <w:rsid w:val="00F5793C"/>
    <w:rsid w:val="00F61CAB"/>
    <w:rsid w:val="00F62A93"/>
    <w:rsid w:val="00F62FB5"/>
    <w:rsid w:val="00F653E9"/>
    <w:rsid w:val="00F66381"/>
    <w:rsid w:val="00F70EAD"/>
    <w:rsid w:val="00F71D84"/>
    <w:rsid w:val="00F72E52"/>
    <w:rsid w:val="00F73166"/>
    <w:rsid w:val="00F73881"/>
    <w:rsid w:val="00F73EB2"/>
    <w:rsid w:val="00F73F3C"/>
    <w:rsid w:val="00F7435E"/>
    <w:rsid w:val="00F74615"/>
    <w:rsid w:val="00F756BE"/>
    <w:rsid w:val="00F76623"/>
    <w:rsid w:val="00F81B95"/>
    <w:rsid w:val="00F8242D"/>
    <w:rsid w:val="00F84E18"/>
    <w:rsid w:val="00F85D3F"/>
    <w:rsid w:val="00F85D77"/>
    <w:rsid w:val="00F90305"/>
    <w:rsid w:val="00F936F0"/>
    <w:rsid w:val="00F94D6F"/>
    <w:rsid w:val="00F9602B"/>
    <w:rsid w:val="00FA3F28"/>
    <w:rsid w:val="00FA5A38"/>
    <w:rsid w:val="00FA61A7"/>
    <w:rsid w:val="00FA6BE3"/>
    <w:rsid w:val="00FA6E41"/>
    <w:rsid w:val="00FB1A9E"/>
    <w:rsid w:val="00FB3CA5"/>
    <w:rsid w:val="00FB5523"/>
    <w:rsid w:val="00FC1612"/>
    <w:rsid w:val="00FC1A91"/>
    <w:rsid w:val="00FC56B1"/>
    <w:rsid w:val="00FC70FA"/>
    <w:rsid w:val="00FD219F"/>
    <w:rsid w:val="00FD27D9"/>
    <w:rsid w:val="00FD353C"/>
    <w:rsid w:val="00FD4D92"/>
    <w:rsid w:val="00FD6758"/>
    <w:rsid w:val="00FE0152"/>
    <w:rsid w:val="00FE0731"/>
    <w:rsid w:val="00FE4588"/>
    <w:rsid w:val="00FE5DFD"/>
    <w:rsid w:val="00FE6376"/>
    <w:rsid w:val="00FE72A6"/>
    <w:rsid w:val="00FE7BCA"/>
    <w:rsid w:val="00FF1068"/>
    <w:rsid w:val="00FF394C"/>
    <w:rsid w:val="00FF3F8B"/>
    <w:rsid w:val="00FF7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FABCAA9"/>
  <w15:chartTrackingRefBased/>
  <w15:docId w15:val="{BED66957-E4CC-4E68-9DCE-14E59D8D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F77"/>
  </w:style>
  <w:style w:type="paragraph" w:styleId="1">
    <w:name w:val="heading 1"/>
    <w:basedOn w:val="a"/>
    <w:next w:val="a"/>
    <w:link w:val="10"/>
    <w:uiPriority w:val="9"/>
    <w:qFormat/>
    <w:rsid w:val="00752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outlineLvl w:val="0"/>
    </w:pPr>
    <w:rPr>
      <w:rFonts w:eastAsia="Times New Roman" w:cs="Times New Roman"/>
      <w:b/>
      <w:sz w:val="24"/>
      <w:szCs w:val="24"/>
      <w:lang w:val="en" w:eastAsia="ru-RU"/>
    </w:rPr>
  </w:style>
  <w:style w:type="paragraph" w:styleId="3">
    <w:name w:val="heading 3"/>
    <w:basedOn w:val="a"/>
    <w:next w:val="a"/>
    <w:link w:val="30"/>
    <w:uiPriority w:val="9"/>
    <w:semiHidden/>
    <w:unhideWhenUsed/>
    <w:qFormat/>
    <w:rsid w:val="00EC7FF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EAA"/>
    <w:rPr>
      <w:rFonts w:eastAsia="Times New Roman" w:cs="Times New Roman"/>
      <w:b/>
      <w:sz w:val="24"/>
      <w:szCs w:val="24"/>
      <w:lang w:val="en" w:eastAsia="ru-RU"/>
    </w:rPr>
  </w:style>
  <w:style w:type="character" w:styleId="a3">
    <w:name w:val="Hyperlink"/>
    <w:basedOn w:val="a0"/>
    <w:uiPriority w:val="99"/>
    <w:unhideWhenUsed/>
    <w:rsid w:val="005144B8"/>
    <w:rPr>
      <w:color w:val="0563C1" w:themeColor="hyperlink"/>
      <w:u w:val="single"/>
    </w:rPr>
  </w:style>
  <w:style w:type="character" w:styleId="a4">
    <w:name w:val="Unresolved Mention"/>
    <w:basedOn w:val="a0"/>
    <w:uiPriority w:val="99"/>
    <w:semiHidden/>
    <w:unhideWhenUsed/>
    <w:rsid w:val="005144B8"/>
    <w:rPr>
      <w:color w:val="605E5C"/>
      <w:shd w:val="clear" w:color="auto" w:fill="E1DFDD"/>
    </w:rPr>
  </w:style>
  <w:style w:type="table" w:styleId="a5">
    <w:name w:val="Table Grid"/>
    <w:basedOn w:val="a1"/>
    <w:uiPriority w:val="39"/>
    <w:rsid w:val="00E82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36664"/>
    <w:pPr>
      <w:ind w:left="720"/>
      <w:contextualSpacing/>
    </w:pPr>
  </w:style>
  <w:style w:type="paragraph" w:styleId="a7">
    <w:name w:val="header"/>
    <w:basedOn w:val="a"/>
    <w:link w:val="a8"/>
    <w:uiPriority w:val="99"/>
    <w:unhideWhenUsed/>
    <w:rsid w:val="00F66381"/>
    <w:pPr>
      <w:tabs>
        <w:tab w:val="center" w:pos="4844"/>
        <w:tab w:val="right" w:pos="9689"/>
      </w:tabs>
    </w:pPr>
  </w:style>
  <w:style w:type="character" w:customStyle="1" w:styleId="a8">
    <w:name w:val="Верхний колонтитул Знак"/>
    <w:basedOn w:val="a0"/>
    <w:link w:val="a7"/>
    <w:uiPriority w:val="99"/>
    <w:rsid w:val="00F66381"/>
  </w:style>
  <w:style w:type="paragraph" w:styleId="a9">
    <w:name w:val="footer"/>
    <w:basedOn w:val="a"/>
    <w:link w:val="aa"/>
    <w:uiPriority w:val="99"/>
    <w:unhideWhenUsed/>
    <w:rsid w:val="00F66381"/>
    <w:pPr>
      <w:tabs>
        <w:tab w:val="center" w:pos="4844"/>
        <w:tab w:val="right" w:pos="9689"/>
      </w:tabs>
    </w:pPr>
  </w:style>
  <w:style w:type="character" w:customStyle="1" w:styleId="aa">
    <w:name w:val="Нижний колонтитул Знак"/>
    <w:basedOn w:val="a0"/>
    <w:link w:val="a9"/>
    <w:uiPriority w:val="99"/>
    <w:rsid w:val="00F66381"/>
  </w:style>
  <w:style w:type="paragraph" w:styleId="ab">
    <w:name w:val="TOC Heading"/>
    <w:basedOn w:val="1"/>
    <w:next w:val="a"/>
    <w:uiPriority w:val="39"/>
    <w:unhideWhenUsed/>
    <w:qFormat/>
    <w:rsid w:val="004A7C50"/>
    <w:pPr>
      <w:keepNext/>
      <w:keepLines/>
      <w:spacing w:before="240" w:line="259" w:lineRule="auto"/>
      <w:jc w:val="left"/>
      <w:outlineLvl w:val="9"/>
    </w:pPr>
    <w:rPr>
      <w:rFonts w:asciiTheme="majorHAnsi" w:eastAsiaTheme="majorEastAsia" w:hAnsiTheme="majorHAnsi" w:cstheme="majorBidi"/>
      <w:b w:val="0"/>
      <w:bCs/>
      <w:color w:val="2F5496" w:themeColor="accent1" w:themeShade="BF"/>
      <w:sz w:val="32"/>
      <w:szCs w:val="32"/>
    </w:rPr>
  </w:style>
  <w:style w:type="paragraph" w:styleId="11">
    <w:name w:val="toc 1"/>
    <w:basedOn w:val="a"/>
    <w:next w:val="a"/>
    <w:autoRedefine/>
    <w:uiPriority w:val="39"/>
    <w:unhideWhenUsed/>
    <w:rsid w:val="008859D1"/>
    <w:pPr>
      <w:tabs>
        <w:tab w:val="right" w:leader="dot" w:pos="9629"/>
      </w:tabs>
      <w:spacing w:before="240" w:after="240"/>
    </w:pPr>
    <w:rPr>
      <w:szCs w:val="28"/>
    </w:rPr>
  </w:style>
  <w:style w:type="table" w:customStyle="1" w:styleId="12">
    <w:name w:val="Сетка таблицы1"/>
    <w:basedOn w:val="a1"/>
    <w:next w:val="a5"/>
    <w:uiPriority w:val="39"/>
    <w:rsid w:val="00744DF5"/>
    <w:pPr>
      <w:ind w:firstLine="567"/>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9A1F44"/>
    <w:pPr>
      <w:ind w:firstLine="567"/>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B1049E"/>
    <w:rPr>
      <w:color w:val="954F72" w:themeColor="followedHyperlink"/>
      <w:u w:val="single"/>
    </w:rPr>
  </w:style>
  <w:style w:type="table" w:customStyle="1" w:styleId="31">
    <w:name w:val="Сетка таблицы3"/>
    <w:basedOn w:val="a1"/>
    <w:next w:val="a5"/>
    <w:uiPriority w:val="39"/>
    <w:rsid w:val="00A818FB"/>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1958D7"/>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AE6DBF"/>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67218F"/>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546907"/>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641097"/>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39"/>
    <w:rsid w:val="00A912B4"/>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3B5A80"/>
    <w:pPr>
      <w:ind w:firstLine="567"/>
      <w:jc w:val="both"/>
    </w:pPr>
    <w:rPr>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FC1A91"/>
    <w:rPr>
      <w:sz w:val="16"/>
      <w:szCs w:val="16"/>
    </w:rPr>
  </w:style>
  <w:style w:type="paragraph" w:styleId="ae">
    <w:name w:val="annotation text"/>
    <w:basedOn w:val="a"/>
    <w:link w:val="af"/>
    <w:uiPriority w:val="99"/>
    <w:semiHidden/>
    <w:unhideWhenUsed/>
    <w:rsid w:val="00FC1A91"/>
    <w:rPr>
      <w:sz w:val="20"/>
      <w:szCs w:val="20"/>
    </w:rPr>
  </w:style>
  <w:style w:type="character" w:customStyle="1" w:styleId="af">
    <w:name w:val="Текст примечания Знак"/>
    <w:basedOn w:val="a0"/>
    <w:link w:val="ae"/>
    <w:uiPriority w:val="99"/>
    <w:semiHidden/>
    <w:rsid w:val="00FC1A91"/>
    <w:rPr>
      <w:sz w:val="20"/>
      <w:szCs w:val="20"/>
    </w:rPr>
  </w:style>
  <w:style w:type="paragraph" w:styleId="af0">
    <w:name w:val="annotation subject"/>
    <w:basedOn w:val="ae"/>
    <w:next w:val="ae"/>
    <w:link w:val="af1"/>
    <w:uiPriority w:val="99"/>
    <w:semiHidden/>
    <w:unhideWhenUsed/>
    <w:rsid w:val="00FC1A91"/>
    <w:rPr>
      <w:b/>
      <w:bCs/>
    </w:rPr>
  </w:style>
  <w:style w:type="character" w:customStyle="1" w:styleId="af1">
    <w:name w:val="Тема примечания Знак"/>
    <w:basedOn w:val="af"/>
    <w:link w:val="af0"/>
    <w:uiPriority w:val="99"/>
    <w:semiHidden/>
    <w:rsid w:val="00FC1A91"/>
    <w:rPr>
      <w:b/>
      <w:bCs/>
      <w:sz w:val="20"/>
      <w:szCs w:val="20"/>
    </w:rPr>
  </w:style>
  <w:style w:type="table" w:customStyle="1" w:styleId="110">
    <w:name w:val="Сетка таблицы11"/>
    <w:basedOn w:val="a1"/>
    <w:next w:val="a5"/>
    <w:uiPriority w:val="39"/>
    <w:rsid w:val="00A35AD6"/>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A35AD6"/>
    <w:rPr>
      <w:rFonts w:ascii="Calibri" w:hAnsi="Calibri"/>
      <w:sz w:val="2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5"/>
    <w:uiPriority w:val="39"/>
    <w:rsid w:val="00A35AD6"/>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rsid w:val="00A35AD6"/>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A35AD6"/>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A35AD6"/>
    <w:pPr>
      <w:widowControl w:val="0"/>
      <w:autoSpaceDE w:val="0"/>
      <w:autoSpaceDN w:val="0"/>
      <w:adjustRightInd w:val="0"/>
      <w:ind w:firstLine="360"/>
    </w:pPr>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EC7FF5"/>
    <w:rPr>
      <w:rFonts w:asciiTheme="majorHAnsi" w:eastAsiaTheme="majorEastAsia" w:hAnsiTheme="majorHAnsi" w:cstheme="majorBidi"/>
      <w:color w:val="1F3763" w:themeColor="accent1" w:themeShade="7F"/>
      <w:sz w:val="24"/>
      <w:szCs w:val="24"/>
    </w:rPr>
  </w:style>
  <w:style w:type="table" w:customStyle="1" w:styleId="17">
    <w:name w:val="Сетка таблицы17"/>
    <w:basedOn w:val="a1"/>
    <w:next w:val="a5"/>
    <w:uiPriority w:val="39"/>
    <w:rsid w:val="004F7307"/>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A75A45"/>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2B368D"/>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5"/>
    <w:uiPriority w:val="59"/>
    <w:rsid w:val="00D208DC"/>
    <w:rPr>
      <w:rFonts w:ascii="Calibri" w:eastAsia="Calibri" w:hAnsi="Calibri" w:cs="SimSun"/>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5"/>
    <w:uiPriority w:val="39"/>
    <w:rsid w:val="00DA21C8"/>
    <w:rPr>
      <w:rFonts w:ascii="Calibri" w:hAnsi="Calibri"/>
      <w:sz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 простая 11"/>
    <w:basedOn w:val="a1"/>
    <w:next w:val="1a"/>
    <w:uiPriority w:val="41"/>
    <w:rsid w:val="00DA21C8"/>
    <w:rPr>
      <w:rFonts w:ascii="Calibri" w:hAnsi="Calibri"/>
      <w:sz w:val="22"/>
      <w:lang w:val="e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a">
    <w:name w:val="Plain Table 1"/>
    <w:basedOn w:val="a1"/>
    <w:uiPriority w:val="41"/>
    <w:rsid w:val="00DA21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Сетка таблицы22"/>
    <w:basedOn w:val="a1"/>
    <w:next w:val="a5"/>
    <w:uiPriority w:val="39"/>
    <w:rsid w:val="00E52DBB"/>
    <w:rPr>
      <w:rFonts w:ascii="Calibri" w:hAnsi="Calibr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5"/>
    <w:uiPriority w:val="59"/>
    <w:rsid w:val="001828E2"/>
    <w:rPr>
      <w:rFonts w:eastAsia="Times New Roman" w:cs="Times New Roman"/>
      <w:sz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0170">
      <w:bodyDiv w:val="1"/>
      <w:marLeft w:val="0"/>
      <w:marRight w:val="0"/>
      <w:marTop w:val="0"/>
      <w:marBottom w:val="0"/>
      <w:divBdr>
        <w:top w:val="none" w:sz="0" w:space="0" w:color="auto"/>
        <w:left w:val="none" w:sz="0" w:space="0" w:color="auto"/>
        <w:bottom w:val="none" w:sz="0" w:space="0" w:color="auto"/>
        <w:right w:val="none" w:sz="0" w:space="0" w:color="auto"/>
      </w:divBdr>
    </w:div>
    <w:div w:id="569853355">
      <w:bodyDiv w:val="1"/>
      <w:marLeft w:val="0"/>
      <w:marRight w:val="0"/>
      <w:marTop w:val="0"/>
      <w:marBottom w:val="0"/>
      <w:divBdr>
        <w:top w:val="none" w:sz="0" w:space="0" w:color="auto"/>
        <w:left w:val="none" w:sz="0" w:space="0" w:color="auto"/>
        <w:bottom w:val="none" w:sz="0" w:space="0" w:color="auto"/>
        <w:right w:val="none" w:sz="0" w:space="0" w:color="auto"/>
      </w:divBdr>
    </w:div>
    <w:div w:id="925580446">
      <w:bodyDiv w:val="1"/>
      <w:marLeft w:val="0"/>
      <w:marRight w:val="0"/>
      <w:marTop w:val="0"/>
      <w:marBottom w:val="0"/>
      <w:divBdr>
        <w:top w:val="none" w:sz="0" w:space="0" w:color="auto"/>
        <w:left w:val="none" w:sz="0" w:space="0" w:color="auto"/>
        <w:bottom w:val="none" w:sz="0" w:space="0" w:color="auto"/>
        <w:right w:val="none" w:sz="0" w:space="0" w:color="auto"/>
      </w:divBdr>
    </w:div>
    <w:div w:id="1136870790">
      <w:bodyDiv w:val="1"/>
      <w:marLeft w:val="0"/>
      <w:marRight w:val="0"/>
      <w:marTop w:val="0"/>
      <w:marBottom w:val="0"/>
      <w:divBdr>
        <w:top w:val="none" w:sz="0" w:space="0" w:color="auto"/>
        <w:left w:val="none" w:sz="0" w:space="0" w:color="auto"/>
        <w:bottom w:val="none" w:sz="0" w:space="0" w:color="auto"/>
        <w:right w:val="none" w:sz="0" w:space="0" w:color="auto"/>
      </w:divBdr>
    </w:div>
    <w:div w:id="1296371552">
      <w:bodyDiv w:val="1"/>
      <w:marLeft w:val="0"/>
      <w:marRight w:val="0"/>
      <w:marTop w:val="0"/>
      <w:marBottom w:val="0"/>
      <w:divBdr>
        <w:top w:val="none" w:sz="0" w:space="0" w:color="auto"/>
        <w:left w:val="none" w:sz="0" w:space="0" w:color="auto"/>
        <w:bottom w:val="none" w:sz="0" w:space="0" w:color="auto"/>
        <w:right w:val="none" w:sz="0" w:space="0" w:color="auto"/>
      </w:divBdr>
    </w:div>
    <w:div w:id="1334147576">
      <w:bodyDiv w:val="1"/>
      <w:marLeft w:val="0"/>
      <w:marRight w:val="0"/>
      <w:marTop w:val="0"/>
      <w:marBottom w:val="0"/>
      <w:divBdr>
        <w:top w:val="none" w:sz="0" w:space="0" w:color="auto"/>
        <w:left w:val="none" w:sz="0" w:space="0" w:color="auto"/>
        <w:bottom w:val="none" w:sz="0" w:space="0" w:color="auto"/>
        <w:right w:val="none" w:sz="0" w:space="0" w:color="auto"/>
      </w:divBdr>
    </w:div>
    <w:div w:id="1415735763">
      <w:bodyDiv w:val="1"/>
      <w:marLeft w:val="0"/>
      <w:marRight w:val="0"/>
      <w:marTop w:val="0"/>
      <w:marBottom w:val="0"/>
      <w:divBdr>
        <w:top w:val="none" w:sz="0" w:space="0" w:color="auto"/>
        <w:left w:val="none" w:sz="0" w:space="0" w:color="auto"/>
        <w:bottom w:val="none" w:sz="0" w:space="0" w:color="auto"/>
        <w:right w:val="none" w:sz="0" w:space="0" w:color="auto"/>
      </w:divBdr>
    </w:div>
    <w:div w:id="1562593249">
      <w:bodyDiv w:val="1"/>
      <w:marLeft w:val="0"/>
      <w:marRight w:val="0"/>
      <w:marTop w:val="0"/>
      <w:marBottom w:val="0"/>
      <w:divBdr>
        <w:top w:val="none" w:sz="0" w:space="0" w:color="auto"/>
        <w:left w:val="none" w:sz="0" w:space="0" w:color="auto"/>
        <w:bottom w:val="none" w:sz="0" w:space="0" w:color="auto"/>
        <w:right w:val="none" w:sz="0" w:space="0" w:color="auto"/>
      </w:divBdr>
    </w:div>
    <w:div w:id="1858302747">
      <w:bodyDiv w:val="1"/>
      <w:marLeft w:val="0"/>
      <w:marRight w:val="0"/>
      <w:marTop w:val="0"/>
      <w:marBottom w:val="0"/>
      <w:divBdr>
        <w:top w:val="none" w:sz="0" w:space="0" w:color="auto"/>
        <w:left w:val="none" w:sz="0" w:space="0" w:color="auto"/>
        <w:bottom w:val="none" w:sz="0" w:space="0" w:color="auto"/>
        <w:right w:val="none" w:sz="0" w:space="0" w:color="auto"/>
      </w:divBdr>
    </w:div>
    <w:div w:id="1882131594">
      <w:bodyDiv w:val="1"/>
      <w:marLeft w:val="0"/>
      <w:marRight w:val="0"/>
      <w:marTop w:val="0"/>
      <w:marBottom w:val="0"/>
      <w:divBdr>
        <w:top w:val="none" w:sz="0" w:space="0" w:color="auto"/>
        <w:left w:val="none" w:sz="0" w:space="0" w:color="auto"/>
        <w:bottom w:val="none" w:sz="0" w:space="0" w:color="auto"/>
        <w:right w:val="none" w:sz="0" w:space="0" w:color="auto"/>
      </w:divBdr>
    </w:div>
    <w:div w:id="188621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cbi.nlm.nih.gov/pubmed/21098187" TargetMode="External"/><Relationship Id="rId26" Type="http://schemas.openxmlformats.org/officeDocument/2006/relationships/hyperlink" Target="https://doi.org/10.1016/j.%20metabol%20.2020.154345." TargetMode="External"/><Relationship Id="rId39" Type="http://schemas.openxmlformats.org/officeDocument/2006/relationships/chart" Target="charts/chart11.xml"/><Relationship Id="rId21" Type="http://schemas.openxmlformats.org/officeDocument/2006/relationships/chart" Target="charts/chart1.xml"/><Relationship Id="rId34" Type="http://schemas.openxmlformats.org/officeDocument/2006/relationships/hyperlink" Target="https://www.sciencedirect.com/book/9780323298759" TargetMode="External"/><Relationship Id="rId42" Type="http://schemas.openxmlformats.org/officeDocument/2006/relationships/chart" Target="charts/chart14.xm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ubmed/11028480" TargetMode="External"/><Relationship Id="rId29" Type="http://schemas.openxmlformats.org/officeDocument/2006/relationships/hyperlink" Target="https://www.sciencedirect.com/topics/medicine-and-dentistry/pruritus" TargetMode="Externa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hyperlink" Target="https://doi" TargetMode="External"/><Relationship Id="rId40" Type="http://schemas.openxmlformats.org/officeDocument/2006/relationships/chart" Target="charts/chart12.xm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15829/1560-4071-2019-12-16-21" TargetMode="External"/><Relationship Id="rId31" Type="http://schemas.openxmlformats.org/officeDocument/2006/relationships/chart" Target="charts/chart7.xml"/><Relationship Id="rId44" Type="http://schemas.openxmlformats.org/officeDocument/2006/relationships/image" Target="media/image6.pn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4.png"/><Relationship Id="rId30" Type="http://schemas.openxmlformats.org/officeDocument/2006/relationships/chart" Target="charts/chart6.xml"/><Relationship Id="rId35" Type="http://schemas.openxmlformats.org/officeDocument/2006/relationships/hyperlink" Target="https://doi.org/10.1503/cmaj.160124"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header" Target="header1.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mailto:mjys.tma@gmail.com" TargetMode="External"/><Relationship Id="rId17" Type="http://schemas.openxmlformats.org/officeDocument/2006/relationships/hyperlink" Target="https://doi.org/10.2214/AJR.09.3734" TargetMode="Externa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0.xml"/><Relationship Id="rId46" Type="http://schemas.openxmlformats.org/officeDocument/2006/relationships/image" Target="media/image8.png"/><Relationship Id="rId20" Type="http://schemas.openxmlformats.org/officeDocument/2006/relationships/hyperlink" Target="https://doi.org/10.15829/1560-4071-2019-12-153-161" TargetMode="External"/><Relationship Id="rId41" Type="http://schemas.openxmlformats.org/officeDocument/2006/relationships/chart" Target="charts/chart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2407762" TargetMode="External"/><Relationship Id="rId23" Type="http://schemas.openxmlformats.org/officeDocument/2006/relationships/chart" Target="charts/chart3.xml"/><Relationship Id="rId28" Type="http://schemas.openxmlformats.org/officeDocument/2006/relationships/hyperlink" Target="https://doi.org/" TargetMode="External"/><Relationship Id="rId36" Type="http://schemas.openxmlformats.org/officeDocument/2006/relationships/hyperlink" Target="https://doi.org/10.1155/2015/543928" TargetMode="External"/><Relationship Id="rId49"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1053;&#1040;&#1059;&#1050;&#1040;\2016%20&#1053;&#1091;&#1088;&#1080;&#1076;&#1076;&#1080;&#1085;%20-%20&#1082;&#1086;&#1087;&#1080;&#1103;.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1053;&#1040;&#1059;&#1050;&#1040;\2016%20&#1053;&#1091;&#1088;&#1080;&#1076;&#1076;&#1080;&#1085;%20-%20&#1082;&#1086;&#1087;&#1080;&#1103;.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1053;&#1040;&#1059;&#1050;&#1040;\2016%20&#1053;&#1091;&#1088;&#1080;&#1076;&#1076;&#1080;&#1085;%20-%20&#1082;&#1086;&#1087;&#1080;&#1103;.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1053;&#1040;&#1059;&#1050;&#1040;\2016%20&#1053;&#1091;&#1088;&#1080;&#1076;&#1076;&#1080;&#1085;%20-%20&#1082;&#1086;&#1087;&#1080;&#110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decrease in appetite</c:v>
                </c:pt>
                <c:pt idx="1">
                  <c:v>taste and smell disorders</c:v>
                </c:pt>
                <c:pt idx="2">
                  <c:v>nausea</c:v>
                </c:pt>
                <c:pt idx="3">
                  <c:v>vomiting</c:v>
                </c:pt>
                <c:pt idx="4">
                  <c:v>diarrhea</c:v>
                </c:pt>
                <c:pt idx="5">
                  <c:v>general weakness</c:v>
                </c:pt>
                <c:pt idx="6">
                  <c:v>pain in the muscles</c:v>
                </c:pt>
              </c:strCache>
            </c:strRef>
          </c:cat>
          <c:val>
            <c:numRef>
              <c:f>Лист1!$B$2:$B$8</c:f>
              <c:numCache>
                <c:formatCode>General</c:formatCode>
                <c:ptCount val="7"/>
                <c:pt idx="0">
                  <c:v>75.5</c:v>
                </c:pt>
                <c:pt idx="1">
                  <c:v>48.2</c:v>
                </c:pt>
                <c:pt idx="2">
                  <c:v>30.9</c:v>
                </c:pt>
                <c:pt idx="3">
                  <c:v>7.3</c:v>
                </c:pt>
                <c:pt idx="4">
                  <c:v>9.1</c:v>
                </c:pt>
                <c:pt idx="5">
                  <c:v>93.6</c:v>
                </c:pt>
                <c:pt idx="6">
                  <c:v>9.1</c:v>
                </c:pt>
              </c:numCache>
            </c:numRef>
          </c:val>
          <c:extLst>
            <c:ext xmlns:c16="http://schemas.microsoft.com/office/drawing/2014/chart" uri="{C3380CC4-5D6E-409C-BE32-E72D297353CC}">
              <c16:uniqueId val="{00000000-BC5D-423E-A02B-A56CB768FF88}"/>
            </c:ext>
          </c:extLst>
        </c:ser>
        <c:dLbls>
          <c:dLblPos val="outEnd"/>
          <c:showLegendKey val="0"/>
          <c:showVal val="1"/>
          <c:showCatName val="0"/>
          <c:showSerName val="0"/>
          <c:showPercent val="0"/>
          <c:showBubbleSize val="0"/>
        </c:dLbls>
        <c:gapWidth val="100"/>
        <c:overlap val="-24"/>
        <c:axId val="1722324896"/>
        <c:axId val="1722318368"/>
      </c:barChart>
      <c:catAx>
        <c:axId val="1722324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318368"/>
        <c:crosses val="autoZero"/>
        <c:auto val="1"/>
        <c:lblAlgn val="ctr"/>
        <c:lblOffset val="100"/>
        <c:noMultiLvlLbl val="0"/>
      </c:catAx>
      <c:valAx>
        <c:axId val="1722318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32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7.1428571428571425E-2"/>
          <c:w val="0.90849737532808394"/>
          <c:h val="0.77351831021122364"/>
        </c:manualLayout>
      </c:layout>
      <c:barChart>
        <c:barDir val="col"/>
        <c:grouping val="clustered"/>
        <c:varyColors val="0"/>
        <c:ser>
          <c:idx val="0"/>
          <c:order val="0"/>
          <c:tx>
            <c:strRef>
              <c:f>Sheet1!$B$1</c:f>
              <c:strCache>
                <c:ptCount val="1"/>
                <c:pt idx="0">
                  <c:v>Mirzo Ulugbek district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overweight</c:v>
                </c:pt>
                <c:pt idx="1">
                  <c:v>Obesity I degree</c:v>
                </c:pt>
                <c:pt idx="2">
                  <c:v>Obesity II degree</c:v>
                </c:pt>
                <c:pt idx="3">
                  <c:v>Obesity III degree</c:v>
                </c:pt>
              </c:strCache>
            </c:strRef>
          </c:cat>
          <c:val>
            <c:numRef>
              <c:f>Sheet1!$B$2:$B$5</c:f>
              <c:numCache>
                <c:formatCode>General</c:formatCode>
                <c:ptCount val="4"/>
                <c:pt idx="0">
                  <c:v>426</c:v>
                </c:pt>
                <c:pt idx="1">
                  <c:v>102</c:v>
                </c:pt>
                <c:pt idx="2">
                  <c:v>13</c:v>
                </c:pt>
                <c:pt idx="3">
                  <c:v>4</c:v>
                </c:pt>
              </c:numCache>
            </c:numRef>
          </c:val>
          <c:extLst>
            <c:ext xmlns:c16="http://schemas.microsoft.com/office/drawing/2014/chart" uri="{C3380CC4-5D6E-409C-BE32-E72D297353CC}">
              <c16:uniqueId val="{00000000-71DA-43FB-9C75-6F1071550BCE}"/>
            </c:ext>
          </c:extLst>
        </c:ser>
        <c:ser>
          <c:idx val="1"/>
          <c:order val="1"/>
          <c:tx>
            <c:strRef>
              <c:f>Sheet1!$C$1</c:f>
              <c:strCache>
                <c:ptCount val="1"/>
                <c:pt idx="0">
                  <c:v>Almazar district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overweight</c:v>
                </c:pt>
                <c:pt idx="1">
                  <c:v>Obesity I degree</c:v>
                </c:pt>
                <c:pt idx="2">
                  <c:v>Obesity II degree</c:v>
                </c:pt>
                <c:pt idx="3">
                  <c:v>Obesity III degree</c:v>
                </c:pt>
              </c:strCache>
            </c:strRef>
          </c:cat>
          <c:val>
            <c:numRef>
              <c:f>Sheet1!$C$2:$C$5</c:f>
              <c:numCache>
                <c:formatCode>General</c:formatCode>
                <c:ptCount val="4"/>
                <c:pt idx="0">
                  <c:v>359</c:v>
                </c:pt>
                <c:pt idx="1">
                  <c:v>286</c:v>
                </c:pt>
                <c:pt idx="2">
                  <c:v>51</c:v>
                </c:pt>
                <c:pt idx="3">
                  <c:v>17</c:v>
                </c:pt>
              </c:numCache>
            </c:numRef>
          </c:val>
          <c:extLst>
            <c:ext xmlns:c16="http://schemas.microsoft.com/office/drawing/2014/chart" uri="{C3380CC4-5D6E-409C-BE32-E72D297353CC}">
              <c16:uniqueId val="{00000001-71DA-43FB-9C75-6F1071550BCE}"/>
            </c:ext>
          </c:extLst>
        </c:ser>
        <c:dLbls>
          <c:dLblPos val="outEnd"/>
          <c:showLegendKey val="0"/>
          <c:showVal val="1"/>
          <c:showCatName val="0"/>
          <c:showSerName val="0"/>
          <c:showPercent val="0"/>
          <c:showBubbleSize val="0"/>
        </c:dLbls>
        <c:gapWidth val="267"/>
        <c:overlap val="-43"/>
        <c:axId val="103064576"/>
        <c:axId val="188735488"/>
      </c:barChart>
      <c:catAx>
        <c:axId val="1030645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88735488"/>
        <c:crosses val="autoZero"/>
        <c:auto val="1"/>
        <c:lblAlgn val="ctr"/>
        <c:lblOffset val="100"/>
        <c:noMultiLvlLbl val="0"/>
      </c:catAx>
      <c:valAx>
        <c:axId val="1887354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3064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INCIDENCE</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Diseases of organs and systems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81-4B98-9387-A7F215F320B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81-4B98-9387-A7F215F320B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C81-4B98-9387-A7F215F320B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C81-4B98-9387-A7F215F320B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C81-4B98-9387-A7F215F320B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C81-4B98-9387-A7F215F320B1}"/>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7C81-4B98-9387-A7F215F320B1}"/>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7C81-4B98-9387-A7F215F320B1}"/>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7C81-4B98-9387-A7F215F320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Cardiovascular system</c:v>
                </c:pt>
                <c:pt idx="1">
                  <c:v>Respiratory system</c:v>
                </c:pt>
                <c:pt idx="2">
                  <c:v>Endocrine system</c:v>
                </c:pt>
                <c:pt idx="3">
                  <c:v>Neurological system</c:v>
                </c:pt>
                <c:pt idx="4">
                  <c:v>Musculoskeletal system</c:v>
                </c:pt>
                <c:pt idx="5">
                  <c:v>Digestive system</c:v>
                </c:pt>
                <c:pt idx="6">
                  <c:v>Urinary system</c:v>
                </c:pt>
                <c:pt idx="7">
                  <c:v>Oncology</c:v>
                </c:pt>
                <c:pt idx="8">
                  <c:v>Other pathologies</c:v>
                </c:pt>
              </c:strCache>
            </c:strRef>
          </c:cat>
          <c:val>
            <c:numRef>
              <c:f>Sheet1!$B$2:$B$10</c:f>
              <c:numCache>
                <c:formatCode>General</c:formatCode>
                <c:ptCount val="9"/>
                <c:pt idx="0">
                  <c:v>433</c:v>
                </c:pt>
                <c:pt idx="1">
                  <c:v>28</c:v>
                </c:pt>
                <c:pt idx="2">
                  <c:v>30</c:v>
                </c:pt>
                <c:pt idx="3">
                  <c:v>16</c:v>
                </c:pt>
                <c:pt idx="4">
                  <c:v>43</c:v>
                </c:pt>
                <c:pt idx="5">
                  <c:v>29</c:v>
                </c:pt>
                <c:pt idx="6">
                  <c:v>10</c:v>
                </c:pt>
                <c:pt idx="7">
                  <c:v>19</c:v>
                </c:pt>
                <c:pt idx="8">
                  <c:v>90</c:v>
                </c:pt>
              </c:numCache>
            </c:numRef>
          </c:val>
          <c:extLst>
            <c:ext xmlns:c16="http://schemas.microsoft.com/office/drawing/2014/chart" uri="{C3380CC4-5D6E-409C-BE32-E72D297353CC}">
              <c16:uniqueId val="{00000012-7C81-4B98-9387-A7F215F320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Drinks</c:v>
                </c:pt>
              </c:strCache>
            </c:strRef>
          </c:tx>
          <c:spPr>
            <a:solidFill>
              <a:schemeClr val="accent1"/>
            </a:solidFill>
            <a:ln>
              <a:solidFill>
                <a:schemeClr val="accent1">
                  <a:lumMod val="75000"/>
                </a:schemeClr>
              </a:solidFill>
            </a:ln>
            <a:effectLst/>
          </c:spPr>
          <c:invertIfNegative val="0"/>
          <c:dPt>
            <c:idx val="0"/>
            <c:invertIfNegative val="0"/>
            <c:bubble3D val="0"/>
            <c:spPr>
              <a:solidFill>
                <a:srgbClr val="FFC000">
                  <a:lumMod val="75000"/>
                </a:srgbClr>
              </a:solidFill>
              <a:ln>
                <a:solidFill>
                  <a:srgbClr val="FFC000">
                    <a:lumMod val="75000"/>
                  </a:srgbClr>
                </a:solidFill>
              </a:ln>
              <a:effectLst/>
            </c:spPr>
            <c:extLst>
              <c:ext xmlns:c16="http://schemas.microsoft.com/office/drawing/2014/chart" uri="{C3380CC4-5D6E-409C-BE32-E72D297353CC}">
                <c16:uniqueId val="{00000001-9839-43F2-98B0-89BD42A2F94D}"/>
              </c:ext>
            </c:extLst>
          </c:dPt>
          <c:dPt>
            <c:idx val="1"/>
            <c:invertIfNegative val="0"/>
            <c:bubble3D val="0"/>
            <c:spPr>
              <a:solidFill>
                <a:srgbClr val="70AD47">
                  <a:lumMod val="60000"/>
                  <a:lumOff val="40000"/>
                </a:srgbClr>
              </a:solidFill>
              <a:ln>
                <a:solidFill>
                  <a:schemeClr val="accent1">
                    <a:lumMod val="75000"/>
                  </a:schemeClr>
                </a:solidFill>
              </a:ln>
              <a:effectLst/>
            </c:spPr>
            <c:extLst>
              <c:ext xmlns:c16="http://schemas.microsoft.com/office/drawing/2014/chart" uri="{C3380CC4-5D6E-409C-BE32-E72D297353CC}">
                <c16:uniqueId val="{00000003-9839-43F2-98B0-89BD42A2F94D}"/>
              </c:ext>
            </c:extLst>
          </c:dPt>
          <c:dPt>
            <c:idx val="2"/>
            <c:invertIfNegative val="0"/>
            <c:bubble3D val="0"/>
            <c:spPr>
              <a:solidFill>
                <a:srgbClr val="FFC000">
                  <a:lumMod val="50000"/>
                </a:srgbClr>
              </a:solidFill>
              <a:ln>
                <a:solidFill>
                  <a:schemeClr val="accent1">
                    <a:lumMod val="75000"/>
                  </a:schemeClr>
                </a:solidFill>
              </a:ln>
              <a:effectLst/>
            </c:spPr>
            <c:extLst>
              <c:ext xmlns:c16="http://schemas.microsoft.com/office/drawing/2014/chart" uri="{C3380CC4-5D6E-409C-BE32-E72D297353CC}">
                <c16:uniqueId val="{00000005-9839-43F2-98B0-89BD42A2F94D}"/>
              </c:ext>
            </c:extLst>
          </c:dPt>
          <c:dPt>
            <c:idx val="3"/>
            <c:invertIfNegative val="0"/>
            <c:bubble3D val="0"/>
            <c:spPr>
              <a:solidFill>
                <a:srgbClr val="FFC000">
                  <a:lumMod val="40000"/>
                  <a:lumOff val="60000"/>
                </a:srgbClr>
              </a:solidFill>
              <a:ln>
                <a:solidFill>
                  <a:schemeClr val="accent1">
                    <a:lumMod val="75000"/>
                  </a:schemeClr>
                </a:solidFill>
              </a:ln>
              <a:effectLst/>
            </c:spPr>
            <c:extLst>
              <c:ext xmlns:c16="http://schemas.microsoft.com/office/drawing/2014/chart" uri="{C3380CC4-5D6E-409C-BE32-E72D297353CC}">
                <c16:uniqueId val="{00000007-9839-43F2-98B0-89BD42A2F9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Black tea</c:v>
                </c:pt>
                <c:pt idx="1">
                  <c:v>Green tea</c:v>
                </c:pt>
                <c:pt idx="2">
                  <c:v>Coffee</c:v>
                </c:pt>
                <c:pt idx="3">
                  <c:v>Soda</c:v>
                </c:pt>
              </c:strCache>
            </c:strRef>
          </c:cat>
          <c:val>
            <c:numRef>
              <c:f>Sheet1!$B$2:$B$5</c:f>
              <c:numCache>
                <c:formatCode>General</c:formatCode>
                <c:ptCount val="4"/>
                <c:pt idx="0">
                  <c:v>764</c:v>
                </c:pt>
                <c:pt idx="1">
                  <c:v>494</c:v>
                </c:pt>
                <c:pt idx="2">
                  <c:v>757</c:v>
                </c:pt>
                <c:pt idx="3">
                  <c:v>673</c:v>
                </c:pt>
              </c:numCache>
            </c:numRef>
          </c:val>
          <c:extLst>
            <c:ext xmlns:c16="http://schemas.microsoft.com/office/drawing/2014/chart" uri="{C3380CC4-5D6E-409C-BE32-E72D297353CC}">
              <c16:uniqueId val="{00000008-9839-43F2-98B0-89BD42A2F94D}"/>
            </c:ext>
          </c:extLst>
        </c:ser>
        <c:dLbls>
          <c:dLblPos val="outEnd"/>
          <c:showLegendKey val="0"/>
          <c:showVal val="1"/>
          <c:showCatName val="0"/>
          <c:showSerName val="0"/>
          <c:showPercent val="0"/>
          <c:showBubbleSize val="0"/>
        </c:dLbls>
        <c:gapWidth val="150"/>
        <c:axId val="103067136"/>
        <c:axId val="188738368"/>
      </c:barChart>
      <c:catAx>
        <c:axId val="10306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88738368"/>
        <c:crosses val="autoZero"/>
        <c:auto val="1"/>
        <c:lblAlgn val="ctr"/>
        <c:lblOffset val="100"/>
        <c:noMultiLvlLbl val="0"/>
      </c:catAx>
      <c:valAx>
        <c:axId val="1887383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0306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24846894138225E-2"/>
          <c:y val="0.13253968253968251"/>
          <c:w val="0.89331219014289875"/>
          <c:h val="0.6940657417822772"/>
        </c:manualLayout>
      </c:layout>
      <c:barChart>
        <c:barDir val="col"/>
        <c:grouping val="clustered"/>
        <c:varyColors val="0"/>
        <c:ser>
          <c:idx val="0"/>
          <c:order val="0"/>
          <c:tx>
            <c:strRef>
              <c:f>Sheet1!$B$1</c:f>
              <c:strCache>
                <c:ptCount val="1"/>
                <c:pt idx="0">
                  <c:v>Meat products</c:v>
                </c:pt>
              </c:strCache>
            </c:strRef>
          </c:tx>
          <c:spPr>
            <a:solidFill>
              <a:schemeClr val="accent1"/>
            </a:solidFill>
            <a:ln>
              <a:noFill/>
            </a:ln>
            <a:effectLst/>
          </c:spPr>
          <c:invertIfNegative val="0"/>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364-4161-9E6C-F642F38AE1F9}"/>
                </c:ext>
              </c:extLst>
            </c:dLbl>
            <c:dLbl>
              <c:idx val="1"/>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364-4161-9E6C-F642F38AE1F9}"/>
                </c:ext>
              </c:extLst>
            </c:dLbl>
            <c:dLbl>
              <c:idx val="2"/>
              <c:tx>
                <c:rich>
                  <a:bodyPr/>
                  <a:lstStyle/>
                  <a:p>
                    <a:r>
                      <a:rPr lang="en-US"/>
                      <a:t>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364-4161-9E6C-F642F38AE1F9}"/>
                </c:ext>
              </c:extLst>
            </c:dLbl>
            <c:dLbl>
              <c:idx val="3"/>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364-4161-9E6C-F642F38AE1F9}"/>
                </c:ext>
              </c:extLst>
            </c:dLbl>
            <c:dLbl>
              <c:idx val="4"/>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364-4161-9E6C-F642F38AE1F9}"/>
                </c:ext>
              </c:extLst>
            </c:dLbl>
            <c:dLbl>
              <c:idx val="5"/>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364-4161-9E6C-F642F38AE1F9}"/>
                </c:ext>
              </c:extLst>
            </c:dLbl>
            <c:dLbl>
              <c:idx val="6"/>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364-4161-9E6C-F642F38AE1F9}"/>
                </c:ext>
              </c:extLst>
            </c:dLbl>
            <c:dLbl>
              <c:idx val="7"/>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364-4161-9E6C-F642F38AE1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beef</c:v>
                </c:pt>
                <c:pt idx="1">
                  <c:v>mutton</c:v>
                </c:pt>
                <c:pt idx="2">
                  <c:v>poultry meat</c:v>
                </c:pt>
                <c:pt idx="3">
                  <c:v>rabbit</c:v>
                </c:pt>
                <c:pt idx="4">
                  <c:v>offal</c:v>
                </c:pt>
                <c:pt idx="5">
                  <c:v>seafood</c:v>
                </c:pt>
                <c:pt idx="6">
                  <c:v>fish</c:v>
                </c:pt>
                <c:pt idx="7">
                  <c:v>meat pates</c:v>
                </c:pt>
              </c:strCache>
            </c:strRef>
          </c:cat>
          <c:val>
            <c:numRef>
              <c:f>Sheet1!$B$2:$B$9</c:f>
              <c:numCache>
                <c:formatCode>General</c:formatCode>
                <c:ptCount val="8"/>
                <c:pt idx="0">
                  <c:v>900</c:v>
                </c:pt>
                <c:pt idx="1">
                  <c:v>1100</c:v>
                </c:pt>
                <c:pt idx="2">
                  <c:v>1200</c:v>
                </c:pt>
                <c:pt idx="3">
                  <c:v>500</c:v>
                </c:pt>
                <c:pt idx="4">
                  <c:v>227</c:v>
                </c:pt>
                <c:pt idx="5">
                  <c:v>0</c:v>
                </c:pt>
                <c:pt idx="6">
                  <c:v>600</c:v>
                </c:pt>
                <c:pt idx="7">
                  <c:v>700</c:v>
                </c:pt>
              </c:numCache>
            </c:numRef>
          </c:val>
          <c:extLst>
            <c:ext xmlns:c16="http://schemas.microsoft.com/office/drawing/2014/chart" uri="{C3380CC4-5D6E-409C-BE32-E72D297353CC}">
              <c16:uniqueId val="{00000008-8364-4161-9E6C-F642F38AE1F9}"/>
            </c:ext>
          </c:extLst>
        </c:ser>
        <c:dLbls>
          <c:dLblPos val="outEnd"/>
          <c:showLegendKey val="0"/>
          <c:showVal val="1"/>
          <c:showCatName val="0"/>
          <c:showSerName val="0"/>
          <c:showPercent val="0"/>
          <c:showBubbleSize val="0"/>
        </c:dLbls>
        <c:gapWidth val="267"/>
        <c:axId val="188542976"/>
        <c:axId val="188740096"/>
      </c:barChart>
      <c:catAx>
        <c:axId val="188542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40096"/>
        <c:crosses val="autoZero"/>
        <c:auto val="1"/>
        <c:lblAlgn val="ctr"/>
        <c:lblOffset val="100"/>
        <c:noMultiLvlLbl val="0"/>
      </c:catAx>
      <c:valAx>
        <c:axId val="1887400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885429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D06-4352-8CB5-202EEE740F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D06-4352-8CB5-202EEE740F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D06-4352-8CB5-202EEE740F6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D06-4352-8CB5-202EEE740F6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D06-4352-8CB5-202EEE740F64}"/>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5D06-4352-8CB5-202EEE740F64}"/>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5D06-4352-8CB5-202EEE740F64}"/>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5D06-4352-8CB5-202EEE740F64}"/>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5D06-4352-8CB5-202EEE740F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eggs</c:v>
                </c:pt>
                <c:pt idx="1">
                  <c:v>dairy products</c:v>
                </c:pt>
                <c:pt idx="2">
                  <c:v>nuts</c:v>
                </c:pt>
                <c:pt idx="3">
                  <c:v>legumes</c:v>
                </c:pt>
                <c:pt idx="4">
                  <c:v>grains</c:v>
                </c:pt>
                <c:pt idx="5">
                  <c:v>fruits</c:v>
                </c:pt>
                <c:pt idx="6">
                  <c:v>berries</c:v>
                </c:pt>
                <c:pt idx="7">
                  <c:v>vegetables</c:v>
                </c:pt>
                <c:pt idx="8">
                  <c:v>greens</c:v>
                </c:pt>
              </c:strCache>
            </c:strRef>
          </c:cat>
          <c:val>
            <c:numRef>
              <c:f>Sheet1!$B$2:$B$10</c:f>
              <c:numCache>
                <c:formatCode>General</c:formatCode>
                <c:ptCount val="9"/>
                <c:pt idx="0">
                  <c:v>55</c:v>
                </c:pt>
                <c:pt idx="1">
                  <c:v>200</c:v>
                </c:pt>
                <c:pt idx="2">
                  <c:v>5</c:v>
                </c:pt>
                <c:pt idx="3">
                  <c:v>254</c:v>
                </c:pt>
                <c:pt idx="4">
                  <c:v>600</c:v>
                </c:pt>
                <c:pt idx="5">
                  <c:v>50</c:v>
                </c:pt>
                <c:pt idx="6">
                  <c:v>100</c:v>
                </c:pt>
                <c:pt idx="7">
                  <c:v>25</c:v>
                </c:pt>
              </c:numCache>
            </c:numRef>
          </c:val>
          <c:extLst>
            <c:ext xmlns:c16="http://schemas.microsoft.com/office/drawing/2014/chart" uri="{C3380CC4-5D6E-409C-BE32-E72D297353CC}">
              <c16:uniqueId val="{00000012-5D06-4352-8CB5-202EEE740F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9480488779962105"/>
          <c:y val="8.8687782805429868E-2"/>
          <c:w val="0.65883749630633914"/>
          <c:h val="0.81322763387608221"/>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Лист1!$A$2:$A$12</c:f>
              <c:strCache>
                <c:ptCount val="11"/>
                <c:pt idx="0">
                  <c:v>chronic hepatitis</c:v>
                </c:pt>
                <c:pt idx="1">
                  <c:v>gastritis</c:v>
                </c:pt>
                <c:pt idx="2">
                  <c:v>wound disease</c:v>
                </c:pt>
                <c:pt idx="3">
                  <c:v>cholecystite</c:v>
                </c:pt>
                <c:pt idx="4">
                  <c:v>pankreatit</c:v>
                </c:pt>
                <c:pt idx="5">
                  <c:v>Ischemic Heart Disease</c:v>
                </c:pt>
                <c:pt idx="6">
                  <c:v>Hypertension disease</c:v>
                </c:pt>
                <c:pt idx="7">
                  <c:v>Chronic obstructive pulmonary disease</c:v>
                </c:pt>
                <c:pt idx="8">
                  <c:v>anemia</c:v>
                </c:pt>
                <c:pt idx="9">
                  <c:v>corpulence</c:v>
                </c:pt>
                <c:pt idx="10">
                  <c:v>Diabetes</c:v>
                </c:pt>
              </c:strCache>
            </c:strRef>
          </c:cat>
          <c:val>
            <c:numRef>
              <c:f>Лист1!$B$2:$B$12</c:f>
              <c:numCache>
                <c:formatCode>General</c:formatCode>
                <c:ptCount val="11"/>
                <c:pt idx="0">
                  <c:v>2.7</c:v>
                </c:pt>
                <c:pt idx="1">
                  <c:v>4.5</c:v>
                </c:pt>
                <c:pt idx="2">
                  <c:v>5.5</c:v>
                </c:pt>
                <c:pt idx="3">
                  <c:v>9.1</c:v>
                </c:pt>
                <c:pt idx="4">
                  <c:v>4.5</c:v>
                </c:pt>
                <c:pt idx="5">
                  <c:v>14.5</c:v>
                </c:pt>
                <c:pt idx="6">
                  <c:v>30</c:v>
                </c:pt>
                <c:pt idx="7">
                  <c:v>25.5</c:v>
                </c:pt>
                <c:pt idx="8">
                  <c:v>0.9</c:v>
                </c:pt>
                <c:pt idx="9">
                  <c:v>8.1999999999999993</c:v>
                </c:pt>
                <c:pt idx="10">
                  <c:v>6.4</c:v>
                </c:pt>
              </c:numCache>
            </c:numRef>
          </c:val>
          <c:extLst>
            <c:ext xmlns:c16="http://schemas.microsoft.com/office/drawing/2014/chart" uri="{C3380CC4-5D6E-409C-BE32-E72D297353CC}">
              <c16:uniqueId val="{00000000-2A57-4212-A5CD-32D63276FCB3}"/>
            </c:ext>
          </c:extLst>
        </c:ser>
        <c:dLbls>
          <c:dLblPos val="outEnd"/>
          <c:showLegendKey val="0"/>
          <c:showVal val="1"/>
          <c:showCatName val="0"/>
          <c:showSerName val="0"/>
          <c:showPercent val="0"/>
          <c:showBubbleSize val="0"/>
        </c:dLbls>
        <c:gapWidth val="100"/>
        <c:axId val="1722322720"/>
        <c:axId val="1634662736"/>
      </c:barChart>
      <c:catAx>
        <c:axId val="17223227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4662736"/>
        <c:crosses val="autoZero"/>
        <c:auto val="1"/>
        <c:lblAlgn val="ctr"/>
        <c:lblOffset val="100"/>
        <c:noMultiLvlLbl val="0"/>
      </c:catAx>
      <c:valAx>
        <c:axId val="16346627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32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en-US"/>
              <a:t>postcavid symptoms</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2"/>
            </a:solidFill>
            <a:ln>
              <a:noFill/>
            </a:ln>
            <a:effectLst/>
          </c:spPr>
          <c:invertIfNegative val="0"/>
          <c:cat>
            <c:strRef>
              <c:f>Лист1!$A$2:$A$12</c:f>
              <c:strCache>
                <c:ptCount val="11"/>
                <c:pt idx="0">
                  <c:v>general weakness</c:v>
                </c:pt>
                <c:pt idx="1">
                  <c:v>memory decline</c:v>
                </c:pt>
                <c:pt idx="2">
                  <c:v>hair loss</c:v>
                </c:pt>
                <c:pt idx="3">
                  <c:v>nail fracture</c:v>
                </c:pt>
                <c:pt idx="4">
                  <c:v>pain in the muscles</c:v>
                </c:pt>
                <c:pt idx="5">
                  <c:v>changes in joints</c:v>
                </c:pt>
                <c:pt idx="6">
                  <c:v>taste and smell disorders</c:v>
                </c:pt>
                <c:pt idx="7">
                  <c:v>depression</c:v>
                </c:pt>
                <c:pt idx="8">
                  <c:v>respiratory failure</c:v>
                </c:pt>
                <c:pt idx="9">
                  <c:v>feeling of rest in the abdomen</c:v>
                </c:pt>
                <c:pt idx="10">
                  <c:v>skin rash</c:v>
                </c:pt>
              </c:strCache>
            </c:strRef>
          </c:cat>
          <c:val>
            <c:numRef>
              <c:f>Лист1!$B$2:$B$12</c:f>
              <c:numCache>
                <c:formatCode>General</c:formatCode>
                <c:ptCount val="11"/>
                <c:pt idx="0">
                  <c:v>59</c:v>
                </c:pt>
                <c:pt idx="1">
                  <c:v>48</c:v>
                </c:pt>
                <c:pt idx="2">
                  <c:v>54</c:v>
                </c:pt>
                <c:pt idx="3">
                  <c:v>27</c:v>
                </c:pt>
                <c:pt idx="4">
                  <c:v>37</c:v>
                </c:pt>
                <c:pt idx="5">
                  <c:v>42</c:v>
                </c:pt>
                <c:pt idx="6">
                  <c:v>12</c:v>
                </c:pt>
                <c:pt idx="7">
                  <c:v>28</c:v>
                </c:pt>
                <c:pt idx="8">
                  <c:v>8</c:v>
                </c:pt>
                <c:pt idx="9">
                  <c:v>34</c:v>
                </c:pt>
                <c:pt idx="10">
                  <c:v>5</c:v>
                </c:pt>
              </c:numCache>
            </c:numRef>
          </c:val>
          <c:extLst>
            <c:ext xmlns:c16="http://schemas.microsoft.com/office/drawing/2014/chart" uri="{C3380CC4-5D6E-409C-BE32-E72D297353CC}">
              <c16:uniqueId val="{00000000-B2B6-4ABA-B063-002061371370}"/>
            </c:ext>
          </c:extLst>
        </c:ser>
        <c:ser>
          <c:idx val="1"/>
          <c:order val="1"/>
          <c:tx>
            <c:strRef>
              <c:f>Лист1!$C$1</c:f>
              <c:strCache>
                <c:ptCount val="1"/>
                <c:pt idx="0">
                  <c:v>Столбец1</c:v>
                </c:pt>
              </c:strCache>
            </c:strRef>
          </c:tx>
          <c:spPr>
            <a:solidFill>
              <a:schemeClr val="accent4"/>
            </a:solidFill>
            <a:ln>
              <a:noFill/>
            </a:ln>
            <a:effectLst/>
          </c:spPr>
          <c:invertIfNegative val="0"/>
          <c:cat>
            <c:strRef>
              <c:f>Лист1!$A$2:$A$12</c:f>
              <c:strCache>
                <c:ptCount val="11"/>
                <c:pt idx="0">
                  <c:v>general weakness</c:v>
                </c:pt>
                <c:pt idx="1">
                  <c:v>memory decline</c:v>
                </c:pt>
                <c:pt idx="2">
                  <c:v>hair loss</c:v>
                </c:pt>
                <c:pt idx="3">
                  <c:v>nail fracture</c:v>
                </c:pt>
                <c:pt idx="4">
                  <c:v>pain in the muscles</c:v>
                </c:pt>
                <c:pt idx="5">
                  <c:v>changes in joints</c:v>
                </c:pt>
                <c:pt idx="6">
                  <c:v>taste and smell disorders</c:v>
                </c:pt>
                <c:pt idx="7">
                  <c:v>depression</c:v>
                </c:pt>
                <c:pt idx="8">
                  <c:v>respiratory failure</c:v>
                </c:pt>
                <c:pt idx="9">
                  <c:v>feeling of rest in the abdomen</c:v>
                </c:pt>
                <c:pt idx="10">
                  <c:v>skin rash</c:v>
                </c:pt>
              </c:strCache>
            </c:strRef>
          </c:cat>
          <c:val>
            <c:numRef>
              <c:f>Лист1!$C$2:$C$12</c:f>
              <c:numCache>
                <c:formatCode>General</c:formatCode>
                <c:ptCount val="11"/>
              </c:numCache>
            </c:numRef>
          </c:val>
          <c:extLst>
            <c:ext xmlns:c16="http://schemas.microsoft.com/office/drawing/2014/chart" uri="{C3380CC4-5D6E-409C-BE32-E72D297353CC}">
              <c16:uniqueId val="{00000001-B2B6-4ABA-B063-002061371370}"/>
            </c:ext>
          </c:extLst>
        </c:ser>
        <c:ser>
          <c:idx val="2"/>
          <c:order val="2"/>
          <c:tx>
            <c:strRef>
              <c:f>Лист1!$D$1</c:f>
              <c:strCache>
                <c:ptCount val="1"/>
                <c:pt idx="0">
                  <c:v>Столбец2</c:v>
                </c:pt>
              </c:strCache>
            </c:strRef>
          </c:tx>
          <c:spPr>
            <a:solidFill>
              <a:schemeClr val="accent6"/>
            </a:solidFill>
            <a:ln>
              <a:noFill/>
            </a:ln>
            <a:effectLst/>
          </c:spPr>
          <c:invertIfNegative val="0"/>
          <c:cat>
            <c:strRef>
              <c:f>Лист1!$A$2:$A$12</c:f>
              <c:strCache>
                <c:ptCount val="11"/>
                <c:pt idx="0">
                  <c:v>general weakness</c:v>
                </c:pt>
                <c:pt idx="1">
                  <c:v>memory decline</c:v>
                </c:pt>
                <c:pt idx="2">
                  <c:v>hair loss</c:v>
                </c:pt>
                <c:pt idx="3">
                  <c:v>nail fracture</c:v>
                </c:pt>
                <c:pt idx="4">
                  <c:v>pain in the muscles</c:v>
                </c:pt>
                <c:pt idx="5">
                  <c:v>changes in joints</c:v>
                </c:pt>
                <c:pt idx="6">
                  <c:v>taste and smell disorders</c:v>
                </c:pt>
                <c:pt idx="7">
                  <c:v>depression</c:v>
                </c:pt>
                <c:pt idx="8">
                  <c:v>respiratory failure</c:v>
                </c:pt>
                <c:pt idx="9">
                  <c:v>feeling of rest in the abdomen</c:v>
                </c:pt>
                <c:pt idx="10">
                  <c:v>skin rash</c:v>
                </c:pt>
              </c:strCache>
            </c:strRef>
          </c:cat>
          <c:val>
            <c:numRef>
              <c:f>Лист1!$D$2:$D$12</c:f>
              <c:numCache>
                <c:formatCode>General</c:formatCode>
                <c:ptCount val="11"/>
              </c:numCache>
            </c:numRef>
          </c:val>
          <c:extLst>
            <c:ext xmlns:c16="http://schemas.microsoft.com/office/drawing/2014/chart" uri="{C3380CC4-5D6E-409C-BE32-E72D297353CC}">
              <c16:uniqueId val="{00000002-B2B6-4ABA-B063-002061371370}"/>
            </c:ext>
          </c:extLst>
        </c:ser>
        <c:dLbls>
          <c:showLegendKey val="0"/>
          <c:showVal val="0"/>
          <c:showCatName val="0"/>
          <c:showSerName val="0"/>
          <c:showPercent val="0"/>
          <c:showBubbleSize val="0"/>
        </c:dLbls>
        <c:gapWidth val="182"/>
        <c:axId val="479183088"/>
        <c:axId val="479193584"/>
      </c:barChart>
      <c:catAx>
        <c:axId val="47918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ru-RU"/>
          </a:p>
        </c:txPr>
        <c:crossAx val="479193584"/>
        <c:crosses val="autoZero"/>
        <c:auto val="1"/>
        <c:lblAlgn val="ctr"/>
        <c:lblOffset val="100"/>
        <c:noMultiLvlLbl val="0"/>
      </c:catAx>
      <c:valAx>
        <c:axId val="47919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47918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t>
            </a:r>
            <a:r>
              <a:rPr lang="en-US" baseline="0"/>
              <a:t> = 0,456</a:t>
            </a:r>
            <a:endParaRPr lang="ru-RU"/>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Лист1!$A$2:$A$5</c:f>
              <c:numCache>
                <c:formatCode>General</c:formatCode>
                <c:ptCount val="4"/>
                <c:pt idx="0">
                  <c:v>20</c:v>
                </c:pt>
                <c:pt idx="1">
                  <c:v>25</c:v>
                </c:pt>
                <c:pt idx="2">
                  <c:v>30</c:v>
                </c:pt>
                <c:pt idx="3">
                  <c:v>35</c:v>
                </c:pt>
              </c:numCache>
            </c:numRef>
          </c:cat>
          <c:val>
            <c:numRef>
              <c:f>Лист1!$B$2:$B$5</c:f>
              <c:numCache>
                <c:formatCode>General</c:formatCode>
                <c:ptCount val="4"/>
                <c:pt idx="0">
                  <c:v>45</c:v>
                </c:pt>
                <c:pt idx="1">
                  <c:v>55</c:v>
                </c:pt>
                <c:pt idx="2">
                  <c:v>65</c:v>
                </c:pt>
                <c:pt idx="3">
                  <c:v>75</c:v>
                </c:pt>
              </c:numCache>
            </c:numRef>
          </c:val>
          <c:smooth val="0"/>
          <c:extLst>
            <c:ext xmlns:c16="http://schemas.microsoft.com/office/drawing/2014/chart" uri="{C3380CC4-5D6E-409C-BE32-E72D297353CC}">
              <c16:uniqueId val="{00000000-398E-4D8C-B342-9BE5F1DDC819}"/>
            </c:ext>
          </c:extLst>
        </c:ser>
        <c:dLbls>
          <c:showLegendKey val="0"/>
          <c:showVal val="0"/>
          <c:showCatName val="0"/>
          <c:showSerName val="0"/>
          <c:showPercent val="0"/>
          <c:showBubbleSize val="0"/>
        </c:dLbls>
        <c:smooth val="0"/>
        <c:axId val="1634665456"/>
        <c:axId val="1634668176"/>
      </c:lineChart>
      <c:catAx>
        <c:axId val="16346654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z-Cyrl-UZ" sz="1200" b="1" i="0" u="none" strike="noStrike" baseline="0">
                    <a:effectLst/>
                  </a:rPr>
                  <a:t>B</a:t>
                </a:r>
                <a:r>
                  <a:rPr lang="en-US" sz="1200" b="1" i="0" u="none" strike="noStrike" baseline="0">
                    <a:effectLst/>
                  </a:rPr>
                  <a:t>WI </a:t>
                </a:r>
                <a:endParaRPr lang="ru-RU" sz="1200" b="1"/>
              </a:p>
            </c:rich>
          </c:tx>
          <c:layout>
            <c:manualLayout>
              <c:xMode val="edge"/>
              <c:yMode val="edge"/>
              <c:x val="0.50452851605343874"/>
              <c:y val="0.905367793240556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4668176"/>
        <c:crosses val="autoZero"/>
        <c:auto val="1"/>
        <c:lblAlgn val="ctr"/>
        <c:lblOffset val="100"/>
        <c:noMultiLvlLbl val="0"/>
      </c:catAx>
      <c:valAx>
        <c:axId val="163466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AlAT</a:t>
                </a:r>
                <a:endParaRPr lang="ru-RU" sz="1200" b="1"/>
              </a:p>
            </c:rich>
          </c:tx>
          <c:layout>
            <c:manualLayout>
              <c:xMode val="edge"/>
              <c:yMode val="edge"/>
              <c:x val="2.125744608010955E-2"/>
              <c:y val="0.3669482318686307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466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t>
            </a:r>
            <a:r>
              <a:rPr lang="en-US" baseline="0"/>
              <a:t> = 0,377</a:t>
            </a:r>
            <a:endParaRPr lang="ru-RU"/>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Лист1!$A$2:$A$5</c:f>
              <c:numCache>
                <c:formatCode>General</c:formatCode>
                <c:ptCount val="4"/>
                <c:pt idx="0">
                  <c:v>20</c:v>
                </c:pt>
                <c:pt idx="1">
                  <c:v>25</c:v>
                </c:pt>
                <c:pt idx="2">
                  <c:v>30</c:v>
                </c:pt>
                <c:pt idx="3">
                  <c:v>35</c:v>
                </c:pt>
              </c:numCache>
            </c:numRef>
          </c:cat>
          <c:val>
            <c:numRef>
              <c:f>Лист1!$B$2:$B$5</c:f>
              <c:numCache>
                <c:formatCode>General</c:formatCode>
                <c:ptCount val="4"/>
                <c:pt idx="0">
                  <c:v>30</c:v>
                </c:pt>
                <c:pt idx="1">
                  <c:v>40</c:v>
                </c:pt>
                <c:pt idx="2">
                  <c:v>50</c:v>
                </c:pt>
                <c:pt idx="3">
                  <c:v>55</c:v>
                </c:pt>
              </c:numCache>
            </c:numRef>
          </c:val>
          <c:smooth val="0"/>
          <c:extLst>
            <c:ext xmlns:c16="http://schemas.microsoft.com/office/drawing/2014/chart" uri="{C3380CC4-5D6E-409C-BE32-E72D297353CC}">
              <c16:uniqueId val="{00000000-873C-4C9C-ABE9-845A8C57E236}"/>
            </c:ext>
          </c:extLst>
        </c:ser>
        <c:dLbls>
          <c:showLegendKey val="0"/>
          <c:showVal val="0"/>
          <c:showCatName val="0"/>
          <c:showSerName val="0"/>
          <c:showPercent val="0"/>
          <c:showBubbleSize val="0"/>
        </c:dLbls>
        <c:smooth val="0"/>
        <c:axId val="1634672528"/>
        <c:axId val="1644909152"/>
      </c:lineChart>
      <c:catAx>
        <c:axId val="163467252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z-Cyrl-UZ" sz="1200" b="1" i="0" u="none" strike="noStrike" baseline="0">
                    <a:effectLst/>
                  </a:rPr>
                  <a:t>B</a:t>
                </a:r>
                <a:r>
                  <a:rPr lang="en-US" sz="1200" b="1" i="0" u="none" strike="noStrike" baseline="0">
                    <a:effectLst/>
                  </a:rPr>
                  <a:t>WI </a:t>
                </a:r>
                <a:endParaRPr lang="ru-RU" sz="1200" b="1"/>
              </a:p>
            </c:rich>
          </c:tx>
          <c:layout>
            <c:manualLayout>
              <c:xMode val="edge"/>
              <c:yMode val="edge"/>
              <c:x val="0.50452851605343874"/>
              <c:y val="0.905367793240556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4909152"/>
        <c:crosses val="autoZero"/>
        <c:auto val="1"/>
        <c:lblAlgn val="ctr"/>
        <c:lblOffset val="100"/>
        <c:noMultiLvlLbl val="0"/>
      </c:catAx>
      <c:valAx>
        <c:axId val="164490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AsAT</a:t>
                </a:r>
                <a:endParaRPr lang="ru-RU" sz="1200" b="1"/>
              </a:p>
            </c:rich>
          </c:tx>
          <c:layout>
            <c:manualLayout>
              <c:xMode val="edge"/>
              <c:yMode val="edge"/>
              <c:x val="1.6909744240118367E-2"/>
              <c:y val="0.3709243750097838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467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n=161,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9EE8-42D7-8A65-2A0FE19FEC03}"/>
              </c:ext>
            </c:extLst>
          </c:dPt>
          <c:dPt>
            <c:idx val="1"/>
            <c:invertIfNegative val="0"/>
            <c:bubble3D val="0"/>
            <c:spPr>
              <a:solidFill>
                <a:srgbClr val="FFFFCC"/>
              </a:solidFill>
              <a:ln>
                <a:noFill/>
              </a:ln>
              <a:effectLst/>
            </c:spPr>
            <c:extLst>
              <c:ext xmlns:c16="http://schemas.microsoft.com/office/drawing/2014/chart" uri="{C3380CC4-5D6E-409C-BE32-E72D297353CC}">
                <c16:uniqueId val="{00000003-9EE8-42D7-8A65-2A0FE19FEC03}"/>
              </c:ext>
            </c:extLst>
          </c:dPt>
          <c:dPt>
            <c:idx val="2"/>
            <c:invertIfNegative val="0"/>
            <c:bubble3D val="0"/>
            <c:spPr>
              <a:solidFill>
                <a:srgbClr val="FF9900"/>
              </a:solidFill>
              <a:ln>
                <a:noFill/>
              </a:ln>
              <a:effectLst/>
            </c:spPr>
            <c:extLst>
              <c:ext xmlns:c16="http://schemas.microsoft.com/office/drawing/2014/chart" uri="{C3380CC4-5D6E-409C-BE32-E72D297353CC}">
                <c16:uniqueId val="{00000005-9EE8-42D7-8A65-2A0FE19FEC03}"/>
              </c:ext>
            </c:extLst>
          </c:dPt>
          <c:dPt>
            <c:idx val="3"/>
            <c:invertIfNegative val="0"/>
            <c:bubble3D val="0"/>
            <c:spPr>
              <a:solidFill>
                <a:srgbClr val="FF7C80"/>
              </a:solidFill>
              <a:ln>
                <a:noFill/>
              </a:ln>
              <a:effectLst/>
            </c:spPr>
            <c:extLst>
              <c:ext xmlns:c16="http://schemas.microsoft.com/office/drawing/2014/chart" uri="{C3380CC4-5D6E-409C-BE32-E72D297353CC}">
                <c16:uniqueId val="{00000007-9EE8-42D7-8A65-2A0FE19FEC0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uz'!$A$107:$A$110</c:f>
              <c:strCache>
                <c:ptCount val="4"/>
                <c:pt idx="0">
                  <c:v>milk</c:v>
                </c:pt>
                <c:pt idx="1">
                  <c:v>egg white</c:v>
                </c:pt>
                <c:pt idx="2">
                  <c:v>egg yolk</c:v>
                </c:pt>
                <c:pt idx="3">
                  <c:v>chiken meat</c:v>
                </c:pt>
              </c:strCache>
            </c:strRef>
          </c:cat>
          <c:val>
            <c:numRef>
              <c:f>'3 uz'!$B$107:$B$110</c:f>
              <c:numCache>
                <c:formatCode>General</c:formatCode>
                <c:ptCount val="4"/>
                <c:pt idx="0">
                  <c:v>3.7</c:v>
                </c:pt>
                <c:pt idx="1">
                  <c:v>3.7</c:v>
                </c:pt>
                <c:pt idx="2">
                  <c:v>1.9</c:v>
                </c:pt>
                <c:pt idx="3">
                  <c:v>6.2</c:v>
                </c:pt>
              </c:numCache>
            </c:numRef>
          </c:val>
          <c:extLst>
            <c:ext xmlns:c16="http://schemas.microsoft.com/office/drawing/2014/chart" uri="{C3380CC4-5D6E-409C-BE32-E72D297353CC}">
              <c16:uniqueId val="{00000008-9EE8-42D7-8A65-2A0FE19FEC03}"/>
            </c:ext>
          </c:extLst>
        </c:ser>
        <c:dLbls>
          <c:showLegendKey val="0"/>
          <c:showVal val="0"/>
          <c:showCatName val="0"/>
          <c:showSerName val="0"/>
          <c:showPercent val="0"/>
          <c:showBubbleSize val="0"/>
        </c:dLbls>
        <c:gapWidth val="219"/>
        <c:overlap val="-27"/>
        <c:axId val="115525888"/>
        <c:axId val="115540736"/>
      </c:barChart>
      <c:catAx>
        <c:axId val="11552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540736"/>
        <c:crosses val="autoZero"/>
        <c:auto val="1"/>
        <c:lblAlgn val="ctr"/>
        <c:lblOffset val="100"/>
        <c:noMultiLvlLbl val="0"/>
      </c:catAx>
      <c:valAx>
        <c:axId val="11554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52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Vet V 1 homology, n=161, %</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1234415365607096E-2"/>
          <c:y val="0.12687617078721469"/>
          <c:w val="0.91086419753086423"/>
          <c:h val="0.7674336461366986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99"/>
              </a:solidFill>
              <a:ln>
                <a:noFill/>
              </a:ln>
              <a:effectLst/>
            </c:spPr>
            <c:extLst>
              <c:ext xmlns:c16="http://schemas.microsoft.com/office/drawing/2014/chart" uri="{C3380CC4-5D6E-409C-BE32-E72D297353CC}">
                <c16:uniqueId val="{00000001-F09E-47F7-B848-F4B307395195}"/>
              </c:ext>
            </c:extLst>
          </c:dPt>
          <c:dPt>
            <c:idx val="1"/>
            <c:invertIfNegative val="0"/>
            <c:bubble3D val="0"/>
            <c:spPr>
              <a:solidFill>
                <a:srgbClr val="FF0000"/>
              </a:solidFill>
              <a:ln>
                <a:noFill/>
              </a:ln>
              <a:effectLst/>
            </c:spPr>
            <c:extLst>
              <c:ext xmlns:c16="http://schemas.microsoft.com/office/drawing/2014/chart" uri="{C3380CC4-5D6E-409C-BE32-E72D297353CC}">
                <c16:uniqueId val="{00000003-F09E-47F7-B848-F4B307395195}"/>
              </c:ext>
            </c:extLst>
          </c:dPt>
          <c:dPt>
            <c:idx val="2"/>
            <c:invertIfNegative val="0"/>
            <c:bubble3D val="0"/>
            <c:spPr>
              <a:solidFill>
                <a:srgbClr val="FFC000"/>
              </a:solidFill>
              <a:ln>
                <a:noFill/>
              </a:ln>
              <a:effectLst/>
            </c:spPr>
            <c:extLst>
              <c:ext xmlns:c16="http://schemas.microsoft.com/office/drawing/2014/chart" uri="{C3380CC4-5D6E-409C-BE32-E72D297353CC}">
                <c16:uniqueId val="{00000005-F09E-47F7-B848-F4B307395195}"/>
              </c:ext>
            </c:extLst>
          </c:dPt>
          <c:dPt>
            <c:idx val="3"/>
            <c:invertIfNegative val="0"/>
            <c:bubble3D val="0"/>
            <c:spPr>
              <a:solidFill>
                <a:srgbClr val="33CC33"/>
              </a:solidFill>
              <a:ln>
                <a:noFill/>
              </a:ln>
              <a:effectLst/>
            </c:spPr>
            <c:extLst>
              <c:ext xmlns:c16="http://schemas.microsoft.com/office/drawing/2014/chart" uri="{C3380CC4-5D6E-409C-BE32-E72D297353CC}">
                <c16:uniqueId val="{00000007-F09E-47F7-B848-F4B307395195}"/>
              </c:ext>
            </c:extLst>
          </c:dPt>
          <c:dPt>
            <c:idx val="4"/>
            <c:invertIfNegative val="0"/>
            <c:bubble3D val="0"/>
            <c:spPr>
              <a:solidFill>
                <a:srgbClr val="FFFF00"/>
              </a:solidFill>
              <a:ln>
                <a:noFill/>
              </a:ln>
              <a:effectLst/>
            </c:spPr>
            <c:extLst>
              <c:ext xmlns:c16="http://schemas.microsoft.com/office/drawing/2014/chart" uri="{C3380CC4-5D6E-409C-BE32-E72D297353CC}">
                <c16:uniqueId val="{00000009-F09E-47F7-B848-F4B307395195}"/>
              </c:ext>
            </c:extLst>
          </c:dPt>
          <c:dPt>
            <c:idx val="5"/>
            <c:invertIfNegative val="0"/>
            <c:bubble3D val="0"/>
            <c:spPr>
              <a:solidFill>
                <a:srgbClr val="FF9900"/>
              </a:solidFill>
              <a:ln>
                <a:noFill/>
              </a:ln>
              <a:effectLst/>
            </c:spPr>
            <c:extLst>
              <c:ext xmlns:c16="http://schemas.microsoft.com/office/drawing/2014/chart" uri="{C3380CC4-5D6E-409C-BE32-E72D297353CC}">
                <c16:uniqueId val="{0000000B-F09E-47F7-B848-F4B307395195}"/>
              </c:ext>
            </c:extLst>
          </c:dPt>
          <c:dPt>
            <c:idx val="6"/>
            <c:invertIfNegative val="0"/>
            <c:bubble3D val="0"/>
            <c:spPr>
              <a:solidFill>
                <a:srgbClr val="CC9900"/>
              </a:solidFill>
              <a:ln>
                <a:noFill/>
              </a:ln>
              <a:effectLst/>
            </c:spPr>
            <c:extLst>
              <c:ext xmlns:c16="http://schemas.microsoft.com/office/drawing/2014/chart" uri="{C3380CC4-5D6E-409C-BE32-E72D297353CC}">
                <c16:uniqueId val="{0000000D-F09E-47F7-B848-F4B30739519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uz'!$A$114:$A$120</c:f>
              <c:strCache>
                <c:ptCount val="7"/>
                <c:pt idx="0">
                  <c:v>peanut</c:v>
                </c:pt>
                <c:pt idx="1">
                  <c:v>strawberry</c:v>
                </c:pt>
                <c:pt idx="2">
                  <c:v>peach</c:v>
                </c:pt>
                <c:pt idx="3">
                  <c:v>apple</c:v>
                </c:pt>
                <c:pt idx="4">
                  <c:v>apricot</c:v>
                </c:pt>
                <c:pt idx="5">
                  <c:v>carrot</c:v>
                </c:pt>
                <c:pt idx="6">
                  <c:v>potato</c:v>
                </c:pt>
              </c:strCache>
            </c:strRef>
          </c:cat>
          <c:val>
            <c:numRef>
              <c:f>'3 uz'!$B$114:$B$120</c:f>
              <c:numCache>
                <c:formatCode>General</c:formatCode>
                <c:ptCount val="7"/>
                <c:pt idx="0">
                  <c:v>8.1</c:v>
                </c:pt>
                <c:pt idx="1">
                  <c:v>14.3</c:v>
                </c:pt>
                <c:pt idx="2">
                  <c:v>15.5</c:v>
                </c:pt>
                <c:pt idx="3">
                  <c:v>18.600000000000001</c:v>
                </c:pt>
                <c:pt idx="4">
                  <c:v>19.3</c:v>
                </c:pt>
                <c:pt idx="5">
                  <c:v>18.600000000000001</c:v>
                </c:pt>
                <c:pt idx="6">
                  <c:v>23</c:v>
                </c:pt>
              </c:numCache>
            </c:numRef>
          </c:val>
          <c:extLst>
            <c:ext xmlns:c16="http://schemas.microsoft.com/office/drawing/2014/chart" uri="{C3380CC4-5D6E-409C-BE32-E72D297353CC}">
              <c16:uniqueId val="{0000000E-F09E-47F7-B848-F4B307395195}"/>
            </c:ext>
          </c:extLst>
        </c:ser>
        <c:dLbls>
          <c:showLegendKey val="0"/>
          <c:showVal val="0"/>
          <c:showCatName val="0"/>
          <c:showSerName val="0"/>
          <c:showPercent val="0"/>
          <c:showBubbleSize val="0"/>
        </c:dLbls>
        <c:gapWidth val="219"/>
        <c:overlap val="-27"/>
        <c:axId val="115041792"/>
        <c:axId val="115043328"/>
      </c:barChart>
      <c:catAx>
        <c:axId val="1150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43328"/>
        <c:crosses val="autoZero"/>
        <c:auto val="1"/>
        <c:lblAlgn val="ctr"/>
        <c:lblOffset val="100"/>
        <c:noMultiLvlLbl val="0"/>
      </c:catAx>
      <c:valAx>
        <c:axId val="11504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4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2E46-4D5D-A952-2F42D389C80F}"/>
              </c:ext>
            </c:extLst>
          </c:dPt>
          <c:dPt>
            <c:idx val="1"/>
            <c:invertIfNegative val="0"/>
            <c:bubble3D val="0"/>
            <c:spPr>
              <a:solidFill>
                <a:srgbClr val="FFCC99"/>
              </a:solidFill>
              <a:ln>
                <a:noFill/>
              </a:ln>
              <a:effectLst/>
            </c:spPr>
            <c:extLst>
              <c:ext xmlns:c16="http://schemas.microsoft.com/office/drawing/2014/chart" uri="{C3380CC4-5D6E-409C-BE32-E72D297353CC}">
                <c16:uniqueId val="{00000003-2E46-4D5D-A952-2F42D389C80F}"/>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2E46-4D5D-A952-2F42D389C80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uz'!$A$123:$A$125</c:f>
              <c:strCache>
                <c:ptCount val="3"/>
                <c:pt idx="0">
                  <c:v>sunflower seeds</c:v>
                </c:pt>
                <c:pt idx="1">
                  <c:v>peanut</c:v>
                </c:pt>
                <c:pt idx="2">
                  <c:v>walnut</c:v>
                </c:pt>
              </c:strCache>
            </c:strRef>
          </c:cat>
          <c:val>
            <c:numRef>
              <c:f>'3 uz'!$B$123:$B$125</c:f>
              <c:numCache>
                <c:formatCode>General</c:formatCode>
                <c:ptCount val="3"/>
                <c:pt idx="0">
                  <c:v>11.8</c:v>
                </c:pt>
                <c:pt idx="1">
                  <c:v>8.1</c:v>
                </c:pt>
                <c:pt idx="2">
                  <c:v>14.3</c:v>
                </c:pt>
              </c:numCache>
            </c:numRef>
          </c:val>
          <c:extLst>
            <c:ext xmlns:c16="http://schemas.microsoft.com/office/drawing/2014/chart" uri="{C3380CC4-5D6E-409C-BE32-E72D297353CC}">
              <c16:uniqueId val="{00000006-2E46-4D5D-A952-2F42D389C80F}"/>
            </c:ext>
          </c:extLst>
        </c:ser>
        <c:dLbls>
          <c:showLegendKey val="0"/>
          <c:showVal val="0"/>
          <c:showCatName val="0"/>
          <c:showSerName val="0"/>
          <c:showPercent val="0"/>
          <c:showBubbleSize val="0"/>
        </c:dLbls>
        <c:gapWidth val="219"/>
        <c:overlap val="-27"/>
        <c:axId val="115079040"/>
        <c:axId val="115080576"/>
      </c:barChart>
      <c:catAx>
        <c:axId val="1150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080576"/>
        <c:crosses val="autoZero"/>
        <c:auto val="1"/>
        <c:lblAlgn val="ctr"/>
        <c:lblOffset val="100"/>
        <c:noMultiLvlLbl val="0"/>
      </c:catAx>
      <c:valAx>
        <c:axId val="11508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07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1-A7D1-4D82-86B2-33A26966C880}"/>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A7D1-4D82-86B2-33A26966C880}"/>
              </c:ext>
            </c:extLst>
          </c:dPt>
          <c:dPt>
            <c:idx val="3"/>
            <c:invertIfNegative val="0"/>
            <c:bubble3D val="0"/>
            <c:spPr>
              <a:solidFill>
                <a:srgbClr val="009999"/>
              </a:solidFill>
              <a:ln>
                <a:noFill/>
              </a:ln>
              <a:effectLst/>
            </c:spPr>
            <c:extLst>
              <c:ext xmlns:c16="http://schemas.microsoft.com/office/drawing/2014/chart" uri="{C3380CC4-5D6E-409C-BE32-E72D297353CC}">
                <c16:uniqueId val="{00000005-A7D1-4D82-86B2-33A26966C880}"/>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7-A7D1-4D82-86B2-33A26966C880}"/>
              </c:ext>
            </c:extLst>
          </c:dPt>
          <c:dPt>
            <c:idx val="5"/>
            <c:invertIfNegative val="0"/>
            <c:bubble3D val="0"/>
            <c:spPr>
              <a:solidFill>
                <a:schemeClr val="bg1">
                  <a:lumMod val="85000"/>
                </a:schemeClr>
              </a:solidFill>
              <a:ln>
                <a:noFill/>
              </a:ln>
              <a:effectLst/>
            </c:spPr>
            <c:extLst>
              <c:ext xmlns:c16="http://schemas.microsoft.com/office/drawing/2014/chart" uri="{C3380CC4-5D6E-409C-BE32-E72D297353CC}">
                <c16:uniqueId val="{00000009-A7D1-4D82-86B2-33A26966C880}"/>
              </c:ext>
            </c:extLst>
          </c:dPt>
          <c:dPt>
            <c:idx val="6"/>
            <c:invertIfNegative val="0"/>
            <c:bubble3D val="0"/>
            <c:spPr>
              <a:solidFill>
                <a:srgbClr val="00B050"/>
              </a:solidFill>
              <a:ln>
                <a:noFill/>
              </a:ln>
              <a:effectLst/>
            </c:spPr>
            <c:extLst>
              <c:ext xmlns:c16="http://schemas.microsoft.com/office/drawing/2014/chart" uri="{C3380CC4-5D6E-409C-BE32-E72D297353CC}">
                <c16:uniqueId val="{0000000B-A7D1-4D82-86B2-33A26966C8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uz'!$A$621:$A$627</c:f>
              <c:strCache>
                <c:ptCount val="7"/>
                <c:pt idx="0">
                  <c:v>Cladosporium herbarum</c:v>
                </c:pt>
                <c:pt idx="1">
                  <c:v>Penicillium notatum</c:v>
                </c:pt>
                <c:pt idx="2">
                  <c:v>Candida albicans</c:v>
                </c:pt>
                <c:pt idx="3">
                  <c:v>Alternaria alternata</c:v>
                </c:pt>
                <c:pt idx="4">
                  <c:v>Aspergilli (Asp. flavus, Asp. fumigatus, Asp. niger, Asp. versicolor)</c:v>
                </c:pt>
                <c:pt idx="5">
                  <c:v>Mould fungi (Mucor mucedo, Rhizopus nigricans)</c:v>
                </c:pt>
                <c:pt idx="6">
                  <c:v>latex</c:v>
                </c:pt>
              </c:strCache>
            </c:strRef>
          </c:cat>
          <c:val>
            <c:numRef>
              <c:f>'1 uz'!$B$621:$B$627</c:f>
              <c:numCache>
                <c:formatCode>General</c:formatCode>
                <c:ptCount val="7"/>
                <c:pt idx="0">
                  <c:v>5</c:v>
                </c:pt>
                <c:pt idx="1">
                  <c:v>8.4</c:v>
                </c:pt>
                <c:pt idx="2">
                  <c:v>4.0999999999999996</c:v>
                </c:pt>
                <c:pt idx="3">
                  <c:v>6.1</c:v>
                </c:pt>
                <c:pt idx="4">
                  <c:v>5</c:v>
                </c:pt>
                <c:pt idx="5">
                  <c:v>14.9</c:v>
                </c:pt>
                <c:pt idx="6">
                  <c:v>17.899999999999999</c:v>
                </c:pt>
              </c:numCache>
            </c:numRef>
          </c:val>
          <c:extLst>
            <c:ext xmlns:c16="http://schemas.microsoft.com/office/drawing/2014/chart" uri="{C3380CC4-5D6E-409C-BE32-E72D297353CC}">
              <c16:uniqueId val="{0000000C-A7D1-4D82-86B2-33A26966C880}"/>
            </c:ext>
          </c:extLst>
        </c:ser>
        <c:dLbls>
          <c:showLegendKey val="0"/>
          <c:showVal val="0"/>
          <c:showCatName val="0"/>
          <c:showSerName val="0"/>
          <c:showPercent val="0"/>
          <c:showBubbleSize val="0"/>
        </c:dLbls>
        <c:gapWidth val="182"/>
        <c:axId val="115122560"/>
        <c:axId val="115124096"/>
      </c:barChart>
      <c:catAx>
        <c:axId val="11512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124096"/>
        <c:crosses val="autoZero"/>
        <c:auto val="1"/>
        <c:lblAlgn val="ctr"/>
        <c:lblOffset val="100"/>
        <c:noMultiLvlLbl val="0"/>
      </c:catAx>
      <c:valAx>
        <c:axId val="11512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12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42A1B-5264-4A54-9ED7-42D4E6E6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158</Pages>
  <Words>66698</Words>
  <Characters>380179</Characters>
  <Application>Microsoft Office Word</Application>
  <DocSecurity>0</DocSecurity>
  <Lines>3168</Lines>
  <Paragraphs>891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Маркс Абдуллаев</dc:creator>
  <cp:keywords/>
  <dc:description/>
  <cp:lastModifiedBy>MAK AB</cp:lastModifiedBy>
  <cp:revision>50</cp:revision>
  <cp:lastPrinted>2022-06-20T03:03:00Z</cp:lastPrinted>
  <dcterms:created xsi:type="dcterms:W3CDTF">2022-05-28T13:57:00Z</dcterms:created>
  <dcterms:modified xsi:type="dcterms:W3CDTF">2022-07-07T10:08:00Z</dcterms:modified>
</cp:coreProperties>
</file>